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辽宁省交通</w:t>
      </w:r>
      <w:r>
        <w:rPr>
          <w:rFonts w:hint="eastAsia" w:ascii="方正小标宋简体" w:eastAsia="方正小标宋简体"/>
          <w:sz w:val="44"/>
          <w:szCs w:val="44"/>
          <w:lang w:eastAsia="zh-CN"/>
        </w:rPr>
        <w:t>运输</w:t>
      </w:r>
      <w:r>
        <w:rPr>
          <w:rFonts w:hint="eastAsia" w:ascii="方正小标宋简体" w:eastAsia="方正小标宋简体"/>
          <w:sz w:val="44"/>
          <w:szCs w:val="44"/>
        </w:rPr>
        <w:t>厅行政审批</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中介服务事项清单</w:t>
      </w:r>
    </w:p>
    <w:p>
      <w:pPr>
        <w:rPr>
          <w:rFonts w:hint="eastAsia" w:ascii="仿宋_GB2312" w:eastAsia="仿宋_GB2312"/>
          <w:sz w:val="32"/>
          <w:szCs w:val="32"/>
        </w:rPr>
      </w:pPr>
    </w:p>
    <w:p>
      <w:pPr>
        <w:ind w:firstLine="480" w:firstLineChars="150"/>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关于调整辽宁省行政审批中介服务事项清单和公布辽宁省行政审批中介服务评审事项清单的通知</w:t>
      </w:r>
      <w:r>
        <w:rPr>
          <w:rFonts w:hint="eastAsia" w:ascii="仿宋_GB2312" w:eastAsia="仿宋_GB2312"/>
          <w:sz w:val="32"/>
          <w:szCs w:val="32"/>
        </w:rPr>
        <w:t>》（辽</w:t>
      </w:r>
      <w:r>
        <w:rPr>
          <w:rFonts w:hint="eastAsia" w:ascii="仿宋_GB2312" w:eastAsia="仿宋_GB2312"/>
          <w:sz w:val="32"/>
          <w:szCs w:val="32"/>
          <w:lang w:eastAsia="zh-CN"/>
        </w:rPr>
        <w:t>商改</w:t>
      </w:r>
      <w:r>
        <w:rPr>
          <w:rFonts w:hint="eastAsia" w:ascii="仿宋_GB2312" w:eastAsia="仿宋_GB2312"/>
          <w:sz w:val="32"/>
          <w:szCs w:val="32"/>
        </w:rPr>
        <w:t>发〔201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号），涉及我厅行政审批中介服务事项</w:t>
      </w:r>
      <w:r>
        <w:rPr>
          <w:rFonts w:hint="eastAsia" w:ascii="仿宋_GB2312" w:eastAsia="仿宋_GB2312"/>
          <w:sz w:val="32"/>
          <w:szCs w:val="32"/>
          <w:lang w:val="en-US" w:eastAsia="zh-CN"/>
        </w:rPr>
        <w:t>9</w:t>
      </w:r>
      <w:r>
        <w:rPr>
          <w:rFonts w:hint="eastAsia" w:ascii="仿宋_GB2312" w:eastAsia="仿宋_GB2312"/>
          <w:sz w:val="32"/>
          <w:szCs w:val="32"/>
        </w:rPr>
        <w:t>项（详见附表）。</w:t>
      </w:r>
    </w:p>
    <w:p>
      <w:pPr>
        <w:ind w:firstLine="480" w:firstLineChars="150"/>
        <w:rPr>
          <w:rFonts w:hint="eastAsia" w:ascii="仿宋_GB2312" w:eastAsia="仿宋_GB2312"/>
          <w:sz w:val="32"/>
          <w:szCs w:val="32"/>
        </w:rPr>
      </w:pPr>
      <w:bookmarkStart w:id="0" w:name="_GoBack"/>
      <w:bookmarkEnd w:id="0"/>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hint="eastAsia" w:ascii="仿宋_GB2312" w:eastAsia="仿宋_GB2312"/>
          <w:sz w:val="32"/>
          <w:szCs w:val="32"/>
        </w:rPr>
      </w:pPr>
    </w:p>
    <w:p>
      <w:pPr>
        <w:ind w:firstLine="480" w:firstLineChars="150"/>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方正小标宋简体" w:eastAsia="方正小标宋简体"/>
          <w:sz w:val="36"/>
          <w:szCs w:val="36"/>
        </w:rPr>
      </w:pPr>
      <w:r>
        <w:rPr>
          <w:rFonts w:hint="eastAsia" w:ascii="方正小标宋简体" w:eastAsia="方正小标宋简体"/>
          <w:sz w:val="36"/>
          <w:szCs w:val="36"/>
        </w:rPr>
        <w:t>辽宁省交通</w:t>
      </w:r>
      <w:r>
        <w:rPr>
          <w:rFonts w:hint="eastAsia" w:ascii="方正小标宋简体" w:eastAsia="方正小标宋简体"/>
          <w:sz w:val="36"/>
          <w:szCs w:val="36"/>
          <w:lang w:eastAsia="zh-CN"/>
        </w:rPr>
        <w:t>运输</w:t>
      </w:r>
      <w:r>
        <w:rPr>
          <w:rFonts w:hint="eastAsia" w:ascii="方正小标宋简体" w:eastAsia="方正小标宋简体"/>
          <w:sz w:val="36"/>
          <w:szCs w:val="36"/>
        </w:rPr>
        <w:t>厅行政审批中介服务事项清单</w:t>
      </w:r>
    </w:p>
    <w:tbl>
      <w:tblPr>
        <w:tblStyle w:val="2"/>
        <w:tblW w:w="144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54"/>
        <w:gridCol w:w="1188"/>
        <w:gridCol w:w="1917"/>
        <w:gridCol w:w="930"/>
        <w:gridCol w:w="1125"/>
        <w:gridCol w:w="5293"/>
        <w:gridCol w:w="1279"/>
        <w:gridCol w:w="93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75"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序号</w:t>
            </w:r>
          </w:p>
        </w:tc>
        <w:tc>
          <w:tcPr>
            <w:tcW w:w="11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涉及的行政审批事项</w:t>
            </w:r>
            <w:r>
              <w:rPr>
                <w:rFonts w:hint="default" w:ascii="黑体" w:hAnsi="黑体" w:eastAsia="黑体"/>
                <w:b/>
                <w:i w:val="0"/>
                <w:color w:val="000000"/>
                <w:sz w:val="18"/>
                <w:u w:val="none"/>
                <w:lang w:eastAsia="zh-CN"/>
              </w:rPr>
              <w:br w:type="textWrapping"/>
            </w:r>
            <w:r>
              <w:rPr>
                <w:rFonts w:hint="default" w:ascii="黑体" w:hAnsi="黑体" w:eastAsia="黑体"/>
                <w:b/>
                <w:i w:val="0"/>
                <w:color w:val="000000"/>
                <w:sz w:val="18"/>
                <w:u w:val="none"/>
                <w:lang w:eastAsia="zh-CN"/>
              </w:rPr>
              <w:t>项目名称</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具体办事事项</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中介服务</w:t>
            </w:r>
            <w:r>
              <w:rPr>
                <w:rFonts w:hint="default" w:ascii="黑体" w:hAnsi="黑体" w:eastAsia="黑体"/>
                <w:b/>
                <w:i w:val="0"/>
                <w:color w:val="000000"/>
                <w:sz w:val="18"/>
                <w:u w:val="none"/>
                <w:lang w:eastAsia="zh-CN"/>
              </w:rPr>
              <w:br w:type="textWrapping"/>
            </w:r>
            <w:r>
              <w:rPr>
                <w:rFonts w:hint="default" w:ascii="黑体" w:hAnsi="黑体" w:eastAsia="黑体"/>
                <w:b/>
                <w:i w:val="0"/>
                <w:color w:val="000000"/>
                <w:sz w:val="18"/>
                <w:u w:val="none"/>
                <w:lang w:eastAsia="zh-CN"/>
              </w:rPr>
              <w:t>事项名称</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行政审批事项项目审批部门</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设定依据</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中介服务实施机构</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中介服务行业主管部门</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黑体" w:hAnsi="黑体" w:eastAsia="黑体"/>
                <w:b/>
                <w:i w:val="0"/>
                <w:color w:val="000000"/>
                <w:sz w:val="18"/>
                <w:u w:val="none"/>
                <w:lang w:eastAsia="zh-CN"/>
              </w:rPr>
            </w:pPr>
            <w:r>
              <w:rPr>
                <w:rFonts w:hint="default" w:ascii="黑体" w:hAnsi="黑体" w:eastAsia="黑体"/>
                <w:b/>
                <w:i w:val="0"/>
                <w:color w:val="000000"/>
                <w:sz w:val="1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35"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w:t>
            </w:r>
          </w:p>
        </w:tc>
        <w:tc>
          <w:tcPr>
            <w:tcW w:w="118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公路超限运输许可</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公路桥梁结构荷载验算报告编制</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 xml:space="preserve">1.《公路安全保护条例》（国务院令第593号）                                                     2.《超限运输车辆行驶公路管理规定》（交通运输部令2016年第62号）                                                            3.《交通运输部关于开展跨省大件运输并联许可试点工作的通知》（交公路函〔2016〕189号）                                </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具有相应资质的交通勘测设计机构、公路水运工程试验检测机构</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交通运输主管部门</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由审批部门采取购买服务方式委托相关机构为其审批提供技术性服务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15" w:hRule="atLeast"/>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2</w:t>
            </w:r>
          </w:p>
        </w:tc>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涉路施工活动许可</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占用、挖掘公路、公路用地或者使公路改线审批</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质量和安全技术评价报告编制</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1.《公路安全保护条例》（国务院令第593号）</w:t>
            </w:r>
            <w:r>
              <w:rPr>
                <w:rFonts w:hint="default" w:ascii="仿宋" w:hAnsi="仿宋" w:eastAsia="仿宋"/>
                <w:b w:val="0"/>
                <w:i w:val="0"/>
                <w:color w:val="000000"/>
                <w:sz w:val="20"/>
                <w:u w:val="none"/>
                <w:lang w:eastAsia="zh-CN"/>
              </w:rPr>
              <w:br w:type="textWrapping"/>
            </w:r>
            <w:r>
              <w:rPr>
                <w:rFonts w:hint="default" w:ascii="仿宋" w:hAnsi="仿宋" w:eastAsia="仿宋"/>
                <w:b w:val="0"/>
                <w:i w:val="0"/>
                <w:color w:val="000000"/>
                <w:sz w:val="20"/>
                <w:u w:val="none"/>
                <w:lang w:eastAsia="zh-CN"/>
              </w:rPr>
              <w:t>2.《公路项目安全性评价规范》（交通运输部 JTG B05-2015)</w:t>
            </w:r>
          </w:p>
        </w:tc>
        <w:tc>
          <w:tcPr>
            <w:tcW w:w="12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建设工程设计机构、工程咨询机构、评价机构</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发展改革部门、住房城乡建设主管部门</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申请人可按要求自行编制、也可委托有关机构编制报告，审批部门不得以任何形式要求申请人必须委托特定中介机构提供服务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90" w:hRule="atLeast"/>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pacing w:val="-2"/>
                <w:sz w:val="20"/>
                <w:u w:val="none"/>
                <w:lang w:eastAsia="zh-CN"/>
              </w:rPr>
              <w:t>跨越、穿越公路及在公路用地范围内架设、埋设管线、电缆等设施，或者利用公路桥梁、公路隧道、涵洞铺设电缆等设施许可</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52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0" w:hRule="atLeast"/>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公路建筑控制区内埋设管线、电缆等设施许可</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52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65" w:hRule="atLeast"/>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设置非公路标志审批--高速公路</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52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70" w:hRule="atLeast"/>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在公路增设或改造平面交叉道口审批--普通公路</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52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0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3</w:t>
            </w:r>
          </w:p>
        </w:tc>
        <w:tc>
          <w:tcPr>
            <w:tcW w:w="118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水运工程建设项目设计文件审批</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技术审查咨询</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《港口工程建设管理规定》(交通运输部令2018年第42号)</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具备相应资质的设计文件编制单位</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发展改革部门、住房城乡建设主管部门</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由审批部门采取购买服务方式委托相关机构为其审批提供技术性服务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005"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4</w:t>
            </w:r>
          </w:p>
        </w:tc>
        <w:tc>
          <w:tcPr>
            <w:tcW w:w="118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新建、改建、扩建从事港口危险货物作业的建设项目安全条件审查</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港口危险货物建设项目安全预评价报告编制</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《港口危险货物安全管理规定》（交通运输部令2017年第27号）</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具有资质的安全评价机构</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省应急厅</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95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5</w:t>
            </w:r>
          </w:p>
        </w:tc>
        <w:tc>
          <w:tcPr>
            <w:tcW w:w="118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公路工程建设项目设计文件审批</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公路建设项目施工图设计文件审批</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公路建设项目施工图审查</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1.《公路建设市场管理办法》（交通运输部令2011年第11号）                                                         2.《公路工程技术标准》（JTB B01-2014）</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工程咨询或者设计单位</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发展改革部门、住房城乡建设主管部门</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申请人可按要求自行组织审查，也可委托有关机构开展，审批部门不得以任何形式要求申请人必须委托特定中介机构提供服务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15" w:hRule="atLeast"/>
        </w:trPr>
        <w:tc>
          <w:tcPr>
            <w:tcW w:w="45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6</w:t>
            </w:r>
          </w:p>
        </w:tc>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道路旅客运输经营许可</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省际、市际道路旅客运输经营许可</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车辆技术等级评定结论</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1.《道路旅客运输及客运站管理规定》（交通运输部令2016年第82号）                                 2.《检验检测机构资质认定管理办法》（国家质量监督检验检疫总局令第163号）</w:t>
            </w:r>
          </w:p>
        </w:tc>
        <w:tc>
          <w:tcPr>
            <w:tcW w:w="127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机动车综合性能检测机构</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市场监督管理部门</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95" w:hRule="atLeast"/>
        </w:trPr>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省际、市际道路旅客运输班线经营许可</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529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29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7</w:t>
            </w:r>
          </w:p>
        </w:tc>
        <w:tc>
          <w:tcPr>
            <w:tcW w:w="118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车辆营运证件核发</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省际、市际道路客运车辆营运证核发</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车辆技术等级评定结论</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1.《道路旅客运输及客运站管理规定》（交通运输部令2016年第82号）                                 2.《检验检测机构资质认定管理办法》（国家质量监督检验检疫总局令第163号）</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机动车综合性能检测机构</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市场监督管理部门</w:t>
            </w:r>
          </w:p>
        </w:tc>
        <w:tc>
          <w:tcPr>
            <w:tcW w:w="13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32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8</w:t>
            </w: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国际道路运输车辆营运证核发</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车辆技术等级证书</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1.《国际道路运输管理规定》（交通部令2005年第3号）                                           2.《检验检测机构资质认定管理办法》（国家质量监督检验检疫总局令第163号）</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机动车综合性能检测机构</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市场监督管理部门</w:t>
            </w:r>
          </w:p>
        </w:tc>
        <w:tc>
          <w:tcPr>
            <w:tcW w:w="136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70"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9</w:t>
            </w:r>
          </w:p>
        </w:tc>
        <w:tc>
          <w:tcPr>
            <w:tcW w:w="118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国际道路运输许可</w:t>
            </w:r>
          </w:p>
        </w:tc>
        <w:tc>
          <w:tcPr>
            <w:tcW w:w="191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国际道路运输经营许可证办理</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车辆技术等级证书</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省交通运输厅</w:t>
            </w:r>
          </w:p>
        </w:tc>
        <w:tc>
          <w:tcPr>
            <w:tcW w:w="529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1.《国际道路运输管理规定》（交通部令2005年第3号）                                                      2.《检验检测机构资质认定管理办法》（国家质量监督检验检疫总局令第163号）</w:t>
            </w:r>
          </w:p>
        </w:tc>
        <w:tc>
          <w:tcPr>
            <w:tcW w:w="12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机动车综合性能检测机构</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 w:hAnsi="仿宋" w:eastAsia="仿宋"/>
                <w:b w:val="0"/>
                <w:i w:val="0"/>
                <w:color w:val="000000"/>
                <w:sz w:val="20"/>
                <w:u w:val="none"/>
                <w:lang w:eastAsia="zh-CN"/>
              </w:rPr>
            </w:pPr>
            <w:r>
              <w:rPr>
                <w:rFonts w:hint="default" w:ascii="仿宋" w:hAnsi="仿宋" w:eastAsia="仿宋"/>
                <w:b w:val="0"/>
                <w:i w:val="0"/>
                <w:color w:val="000000"/>
                <w:sz w:val="20"/>
                <w:u w:val="none"/>
                <w:lang w:eastAsia="zh-CN"/>
              </w:rPr>
              <w:t>市场监督管理部门</w:t>
            </w:r>
          </w:p>
        </w:tc>
        <w:tc>
          <w:tcPr>
            <w:tcW w:w="136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4"/>
              </w:rPr>
            </w:pPr>
          </w:p>
        </w:tc>
      </w:tr>
    </w:tbl>
    <w:p>
      <w:pPr>
        <w:ind w:firstLine="480" w:firstLineChars="150"/>
        <w:rPr>
          <w:rFonts w:hint="eastAsia" w:ascii="仿宋_GB2312" w:eastAsia="仿宋_GB2312"/>
          <w:sz w:val="32"/>
          <w:szCs w:val="32"/>
        </w:rPr>
      </w:pPr>
    </w:p>
    <w:sectPr>
      <w:pgSz w:w="16838" w:h="11906" w:orient="landscape"/>
      <w:pgMar w:top="1684" w:right="1213" w:bottom="1684" w:left="1213" w:header="851" w:footer="992" w:gutter="0"/>
      <w:paperSrc/>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05934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487</Characters>
  <Lines>4</Lines>
  <Paragraphs>1</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2017-06-14T00:30:00Z</dcterms:created>
  <dc:creator>fgc</dc:creator>
  <cp:lastModifiedBy>lenovo</cp:lastModifiedBy>
  <dcterms:modified xsi:type="dcterms:W3CDTF">2019-09-11T01:41:15Z</dcterms:modified>
  <dc:title>辽宁省交通运输厅行政审批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