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27" w:line="222" w:lineRule="auto"/>
        <w:jc w:val="center"/>
        <w:outlineLvl w:val="0"/>
        <w:rPr>
          <w:rFonts w:ascii="宋体" w:hAnsi="宋体" w:eastAsia="宋体" w:cs="宋体"/>
          <w:sz w:val="43"/>
          <w:szCs w:val="43"/>
          <w:highlight w:val="none"/>
          <w:lang w:eastAsia="zh-CN"/>
        </w:rPr>
      </w:pPr>
      <w:r>
        <w:rPr>
          <w:rFonts w:hint="eastAsia" w:ascii="宋体" w:hAnsi="宋体" w:eastAsia="宋体" w:cs="宋体"/>
          <w:spacing w:val="7"/>
          <w:sz w:val="43"/>
          <w:szCs w:val="43"/>
          <w:highlight w:val="none"/>
          <w:lang w:eastAsia="zh-CN"/>
        </w:rPr>
        <w:t>沈抚示范区仁望路、仁望桥新建工程勘察设计</w:t>
      </w:r>
      <w:r>
        <w:rPr>
          <w:rFonts w:ascii="宋体" w:hAnsi="宋体" w:eastAsia="宋体" w:cs="宋体"/>
          <w:spacing w:val="7"/>
          <w:sz w:val="43"/>
          <w:szCs w:val="43"/>
          <w:highlight w:val="none"/>
          <w:lang w:eastAsia="zh-CN"/>
        </w:rPr>
        <w:t>评标办法（综合评估法）</w:t>
      </w:r>
    </w:p>
    <w:p>
      <w:pPr>
        <w:spacing w:before="78" w:line="219" w:lineRule="auto"/>
        <w:ind w:left="115"/>
        <w:jc w:val="center"/>
        <w:outlineLvl w:val="1"/>
        <w:rPr>
          <w:rFonts w:ascii="宋体" w:hAnsi="宋体" w:eastAsia="宋体" w:cs="宋体"/>
          <w:spacing w:val="-2"/>
          <w:sz w:val="24"/>
          <w:szCs w:val="24"/>
          <w:highlight w:val="none"/>
        </w:rPr>
      </w:pPr>
      <w:bookmarkStart w:id="0" w:name="_Toc435"/>
      <w:r>
        <w:rPr>
          <w:rFonts w:ascii="宋体" w:hAnsi="宋体" w:eastAsia="宋体" w:cs="宋体"/>
          <w:spacing w:val="-2"/>
          <w:sz w:val="24"/>
          <w:szCs w:val="24"/>
          <w:highlight w:val="none"/>
        </w:rPr>
        <w:t>评标办法前附表</w:t>
      </w:r>
      <w:bookmarkEnd w:id="0"/>
    </w:p>
    <w:tbl>
      <w:tblPr>
        <w:tblStyle w:val="11"/>
        <w:tblW w:w="94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1530"/>
        <w:gridCol w:w="70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2410" w:type="dxa"/>
            <w:gridSpan w:val="2"/>
            <w:tcBorders>
              <w:right w:val="single" w:color="000000" w:sz="4" w:space="0"/>
            </w:tcBorders>
          </w:tcPr>
          <w:p>
            <w:pPr>
              <w:pStyle w:val="10"/>
              <w:spacing w:before="134" w:line="224" w:lineRule="auto"/>
              <w:ind w:left="831"/>
              <w:rPr>
                <w:sz w:val="20"/>
                <w:szCs w:val="20"/>
                <w:highlight w:val="none"/>
              </w:rPr>
            </w:pPr>
            <w:r>
              <w:rPr>
                <w:spacing w:val="7"/>
                <w:sz w:val="20"/>
                <w:szCs w:val="20"/>
                <w:highlight w:val="none"/>
                <w14:textOutline w14:w="3797" w14:cap="sq" w14:cmpd="sng" w14:algn="ctr">
                  <w14:solidFill>
                    <w14:srgbClr w14:val="000000"/>
                  </w14:solidFill>
                  <w14:prstDash w14:val="solid"/>
                  <w14:bevel/>
                </w14:textOutline>
              </w:rPr>
              <w:t>条款号</w:t>
            </w:r>
          </w:p>
        </w:tc>
        <w:tc>
          <w:tcPr>
            <w:tcW w:w="7029" w:type="dxa"/>
            <w:tcBorders>
              <w:left w:val="single" w:color="000000" w:sz="4" w:space="0"/>
            </w:tcBorders>
          </w:tcPr>
          <w:p>
            <w:pPr>
              <w:pStyle w:val="10"/>
              <w:spacing w:before="134" w:line="224" w:lineRule="auto"/>
              <w:ind w:left="2363"/>
              <w:rPr>
                <w:sz w:val="20"/>
                <w:szCs w:val="20"/>
                <w:highlight w:val="none"/>
              </w:rPr>
            </w:pPr>
            <w:r>
              <w:rPr>
                <w:spacing w:val="9"/>
                <w:sz w:val="20"/>
                <w:szCs w:val="20"/>
                <w:highlight w:val="none"/>
                <w14:textOutline w14:w="3797" w14:cap="sq" w14:cmpd="sng" w14:algn="ctr">
                  <w14:solidFill>
                    <w14:srgbClr w14:val="000000"/>
                  </w14:solidFill>
                  <w14:prstDash w14:val="solid"/>
                  <w14:bevel/>
                </w14:textOutline>
              </w:rPr>
              <w:t>评审因素与评审标准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jc w:val="center"/>
        </w:trPr>
        <w:tc>
          <w:tcPr>
            <w:tcW w:w="880" w:type="dxa"/>
          </w:tcPr>
          <w:p>
            <w:pPr>
              <w:spacing w:line="256" w:lineRule="auto"/>
              <w:rPr>
                <w:highlight w:val="none"/>
              </w:rPr>
            </w:pPr>
          </w:p>
          <w:p>
            <w:pPr>
              <w:spacing w:line="257" w:lineRule="auto"/>
              <w:rPr>
                <w:highlight w:val="none"/>
              </w:rPr>
            </w:pPr>
          </w:p>
          <w:p>
            <w:pPr>
              <w:pStyle w:val="10"/>
              <w:spacing w:before="65" w:line="189" w:lineRule="auto"/>
              <w:ind w:left="468"/>
              <w:rPr>
                <w:sz w:val="20"/>
                <w:szCs w:val="20"/>
                <w:highlight w:val="none"/>
              </w:rPr>
            </w:pPr>
            <w:r>
              <w:rPr>
                <w:sz w:val="20"/>
                <w:szCs w:val="20"/>
                <w:highlight w:val="none"/>
              </w:rPr>
              <w:t>1</w:t>
            </w:r>
          </w:p>
        </w:tc>
        <w:tc>
          <w:tcPr>
            <w:tcW w:w="1530" w:type="dxa"/>
            <w:tcBorders>
              <w:right w:val="single" w:color="000000" w:sz="4" w:space="0"/>
            </w:tcBorders>
          </w:tcPr>
          <w:p>
            <w:pPr>
              <w:spacing w:line="243" w:lineRule="auto"/>
              <w:rPr>
                <w:highlight w:val="none"/>
              </w:rPr>
            </w:pPr>
          </w:p>
          <w:p>
            <w:pPr>
              <w:spacing w:line="243" w:lineRule="auto"/>
              <w:rPr>
                <w:rFonts w:eastAsia="宋体"/>
                <w:highlight w:val="none"/>
                <w:lang w:eastAsia="zh-CN"/>
              </w:rPr>
            </w:pPr>
          </w:p>
          <w:p>
            <w:pPr>
              <w:pStyle w:val="10"/>
              <w:spacing w:before="65" w:line="228" w:lineRule="auto"/>
              <w:ind w:left="224"/>
              <w:rPr>
                <w:sz w:val="20"/>
                <w:szCs w:val="20"/>
                <w:highlight w:val="none"/>
              </w:rPr>
            </w:pPr>
            <w:r>
              <w:rPr>
                <w:spacing w:val="7"/>
                <w:sz w:val="20"/>
                <w:szCs w:val="20"/>
                <w:highlight w:val="none"/>
              </w:rPr>
              <w:t>评标方法</w:t>
            </w:r>
          </w:p>
        </w:tc>
        <w:tc>
          <w:tcPr>
            <w:tcW w:w="7029" w:type="dxa"/>
            <w:tcBorders>
              <w:left w:val="single" w:color="000000" w:sz="4" w:space="0"/>
            </w:tcBorders>
          </w:tcPr>
          <w:p>
            <w:pPr>
              <w:pStyle w:val="10"/>
              <w:spacing w:before="117" w:line="228" w:lineRule="auto"/>
              <w:ind w:firstLine="400" w:firstLineChars="200"/>
              <w:rPr>
                <w:sz w:val="20"/>
                <w:szCs w:val="20"/>
                <w:highlight w:val="none"/>
                <w:lang w:eastAsia="zh-CN"/>
              </w:rPr>
            </w:pPr>
            <w:r>
              <w:rPr>
                <w:rFonts w:hint="eastAsia"/>
                <w:sz w:val="20"/>
                <w:szCs w:val="20"/>
                <w:highlight w:val="none"/>
                <w:lang w:eastAsia="zh-CN"/>
              </w:rPr>
              <w:t>综合评估法，综合评分相等时，以报价低者优先；报价也相等的，以技术评分高者优先；技术评分也相等的，以</w:t>
            </w:r>
            <w:r>
              <w:rPr>
                <w:rFonts w:hint="eastAsia"/>
                <w:sz w:val="20"/>
                <w:szCs w:val="20"/>
                <w:highlight w:val="none"/>
                <w:lang w:val="en-US" w:eastAsia="zh-CN"/>
              </w:rPr>
              <w:t>其他因素</w:t>
            </w:r>
            <w:r>
              <w:rPr>
                <w:rFonts w:hint="eastAsia"/>
                <w:sz w:val="20"/>
                <w:szCs w:val="20"/>
                <w:highlight w:val="none"/>
                <w:lang w:eastAsia="zh-CN"/>
              </w:rPr>
              <w:t>评分高者优先，</w:t>
            </w:r>
            <w:r>
              <w:rPr>
                <w:rFonts w:hint="eastAsia"/>
                <w:sz w:val="20"/>
                <w:szCs w:val="20"/>
                <w:highlight w:val="none"/>
                <w:lang w:val="en-US" w:eastAsia="zh-CN"/>
              </w:rPr>
              <w:t>其他因素</w:t>
            </w:r>
            <w:r>
              <w:rPr>
                <w:rFonts w:hint="eastAsia"/>
                <w:sz w:val="20"/>
                <w:szCs w:val="20"/>
                <w:highlight w:val="none"/>
                <w:lang w:eastAsia="zh-CN"/>
              </w:rPr>
              <w:t>评分也相等的。以评标委员会投票决定。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80" w:type="dxa"/>
          </w:tcPr>
          <w:p>
            <w:pPr>
              <w:spacing w:line="247" w:lineRule="auto"/>
              <w:rPr>
                <w:highlight w:val="none"/>
                <w:lang w:eastAsia="zh-CN"/>
              </w:rPr>
            </w:pPr>
          </w:p>
          <w:p>
            <w:pPr>
              <w:spacing w:line="247" w:lineRule="auto"/>
              <w:rPr>
                <w:highlight w:val="none"/>
                <w:lang w:eastAsia="zh-CN"/>
              </w:rPr>
            </w:pPr>
          </w:p>
          <w:p>
            <w:pPr>
              <w:spacing w:line="247" w:lineRule="auto"/>
              <w:rPr>
                <w:highlight w:val="none"/>
                <w:lang w:eastAsia="zh-CN"/>
              </w:rPr>
            </w:pPr>
          </w:p>
          <w:p>
            <w:pPr>
              <w:spacing w:line="247" w:lineRule="auto"/>
              <w:rPr>
                <w:highlight w:val="none"/>
                <w:lang w:eastAsia="zh-CN"/>
              </w:rPr>
            </w:pPr>
          </w:p>
          <w:p>
            <w:pPr>
              <w:spacing w:line="247" w:lineRule="auto"/>
              <w:rPr>
                <w:highlight w:val="none"/>
                <w:lang w:eastAsia="zh-CN"/>
              </w:rPr>
            </w:pPr>
          </w:p>
          <w:p>
            <w:pPr>
              <w:spacing w:line="247" w:lineRule="auto"/>
              <w:rPr>
                <w:highlight w:val="none"/>
                <w:lang w:eastAsia="zh-CN"/>
              </w:rPr>
            </w:pPr>
          </w:p>
          <w:p>
            <w:pPr>
              <w:spacing w:line="247" w:lineRule="auto"/>
              <w:rPr>
                <w:highlight w:val="none"/>
                <w:lang w:eastAsia="zh-CN"/>
              </w:rPr>
            </w:pPr>
          </w:p>
          <w:p>
            <w:pPr>
              <w:spacing w:line="247" w:lineRule="auto"/>
              <w:rPr>
                <w:highlight w:val="none"/>
                <w:lang w:eastAsia="zh-CN"/>
              </w:rPr>
            </w:pPr>
          </w:p>
          <w:p>
            <w:pPr>
              <w:spacing w:line="247" w:lineRule="auto"/>
              <w:rPr>
                <w:highlight w:val="none"/>
                <w:lang w:eastAsia="zh-CN"/>
              </w:rPr>
            </w:pPr>
          </w:p>
          <w:p>
            <w:pPr>
              <w:spacing w:line="247" w:lineRule="auto"/>
              <w:rPr>
                <w:highlight w:val="none"/>
                <w:lang w:eastAsia="zh-CN"/>
              </w:rPr>
            </w:pPr>
          </w:p>
          <w:p>
            <w:pPr>
              <w:spacing w:line="247" w:lineRule="auto"/>
              <w:rPr>
                <w:highlight w:val="none"/>
                <w:lang w:eastAsia="zh-CN"/>
              </w:rPr>
            </w:pPr>
          </w:p>
          <w:p>
            <w:pPr>
              <w:spacing w:line="248" w:lineRule="auto"/>
              <w:rPr>
                <w:highlight w:val="none"/>
                <w:lang w:eastAsia="zh-CN"/>
              </w:rPr>
            </w:pPr>
          </w:p>
          <w:p>
            <w:pPr>
              <w:spacing w:line="248" w:lineRule="auto"/>
              <w:rPr>
                <w:highlight w:val="none"/>
                <w:lang w:eastAsia="zh-CN"/>
              </w:rPr>
            </w:pPr>
          </w:p>
          <w:p>
            <w:pPr>
              <w:spacing w:line="248" w:lineRule="auto"/>
              <w:rPr>
                <w:highlight w:val="none"/>
                <w:lang w:eastAsia="zh-CN"/>
              </w:rPr>
            </w:pPr>
          </w:p>
          <w:p>
            <w:pPr>
              <w:spacing w:line="248" w:lineRule="auto"/>
              <w:rPr>
                <w:highlight w:val="none"/>
                <w:lang w:eastAsia="zh-CN"/>
              </w:rPr>
            </w:pPr>
          </w:p>
          <w:p>
            <w:pPr>
              <w:pStyle w:val="10"/>
              <w:spacing w:before="65" w:line="441" w:lineRule="exact"/>
              <w:ind w:left="297"/>
              <w:rPr>
                <w:sz w:val="20"/>
                <w:szCs w:val="20"/>
                <w:highlight w:val="none"/>
              </w:rPr>
            </w:pPr>
            <w:r>
              <w:rPr>
                <w:spacing w:val="2"/>
                <w:position w:val="21"/>
                <w:sz w:val="20"/>
                <w:szCs w:val="20"/>
                <w:highlight w:val="none"/>
              </w:rPr>
              <w:t>2.1.1</w:t>
            </w:r>
          </w:p>
          <w:p>
            <w:pPr>
              <w:pStyle w:val="10"/>
              <w:spacing w:line="189" w:lineRule="auto"/>
              <w:ind w:left="297"/>
              <w:rPr>
                <w:sz w:val="20"/>
                <w:szCs w:val="20"/>
                <w:highlight w:val="none"/>
              </w:rPr>
            </w:pPr>
            <w:r>
              <w:rPr>
                <w:spacing w:val="2"/>
                <w:sz w:val="20"/>
                <w:szCs w:val="20"/>
                <w:highlight w:val="none"/>
              </w:rPr>
              <w:t>2.1.3</w:t>
            </w:r>
          </w:p>
        </w:tc>
        <w:tc>
          <w:tcPr>
            <w:tcW w:w="1530" w:type="dxa"/>
            <w:tcBorders>
              <w:right w:val="single" w:color="000000" w:sz="4" w:space="0"/>
            </w:tcBorders>
          </w:tcPr>
          <w:p>
            <w:pPr>
              <w:spacing w:line="245" w:lineRule="auto"/>
              <w:rPr>
                <w:highlight w:val="none"/>
                <w:lang w:eastAsia="zh-CN"/>
              </w:rPr>
            </w:pPr>
          </w:p>
          <w:p>
            <w:pPr>
              <w:spacing w:line="246" w:lineRule="auto"/>
              <w:rPr>
                <w:highlight w:val="none"/>
                <w:lang w:eastAsia="zh-CN"/>
              </w:rPr>
            </w:pPr>
          </w:p>
          <w:p>
            <w:pPr>
              <w:spacing w:line="246" w:lineRule="auto"/>
              <w:rPr>
                <w:highlight w:val="none"/>
                <w:lang w:eastAsia="zh-CN"/>
              </w:rPr>
            </w:pPr>
          </w:p>
          <w:p>
            <w:pPr>
              <w:spacing w:line="246" w:lineRule="auto"/>
              <w:rPr>
                <w:highlight w:val="none"/>
                <w:lang w:eastAsia="zh-CN"/>
              </w:rPr>
            </w:pPr>
          </w:p>
          <w:p>
            <w:pPr>
              <w:spacing w:line="246" w:lineRule="auto"/>
              <w:rPr>
                <w:highlight w:val="none"/>
                <w:lang w:eastAsia="zh-CN"/>
              </w:rPr>
            </w:pPr>
          </w:p>
          <w:p>
            <w:pPr>
              <w:spacing w:line="246" w:lineRule="auto"/>
              <w:rPr>
                <w:highlight w:val="none"/>
                <w:lang w:eastAsia="zh-CN"/>
              </w:rPr>
            </w:pPr>
          </w:p>
          <w:p>
            <w:pPr>
              <w:spacing w:line="246" w:lineRule="auto"/>
              <w:rPr>
                <w:highlight w:val="none"/>
                <w:lang w:eastAsia="zh-CN"/>
              </w:rPr>
            </w:pPr>
          </w:p>
          <w:p>
            <w:pPr>
              <w:spacing w:line="246" w:lineRule="auto"/>
              <w:rPr>
                <w:highlight w:val="none"/>
                <w:lang w:eastAsia="zh-CN"/>
              </w:rPr>
            </w:pPr>
          </w:p>
          <w:p>
            <w:pPr>
              <w:spacing w:line="246" w:lineRule="auto"/>
              <w:rPr>
                <w:highlight w:val="none"/>
                <w:lang w:eastAsia="zh-CN"/>
              </w:rPr>
            </w:pPr>
          </w:p>
          <w:p>
            <w:pPr>
              <w:spacing w:line="246" w:lineRule="auto"/>
              <w:rPr>
                <w:highlight w:val="none"/>
                <w:lang w:eastAsia="zh-CN"/>
              </w:rPr>
            </w:pPr>
          </w:p>
          <w:p>
            <w:pPr>
              <w:spacing w:line="246" w:lineRule="auto"/>
              <w:rPr>
                <w:highlight w:val="none"/>
                <w:lang w:eastAsia="zh-CN"/>
              </w:rPr>
            </w:pPr>
          </w:p>
          <w:p>
            <w:pPr>
              <w:spacing w:line="246" w:lineRule="auto"/>
              <w:rPr>
                <w:highlight w:val="none"/>
                <w:lang w:eastAsia="zh-CN"/>
              </w:rPr>
            </w:pPr>
          </w:p>
          <w:p>
            <w:pPr>
              <w:spacing w:line="246" w:lineRule="auto"/>
              <w:rPr>
                <w:highlight w:val="none"/>
                <w:lang w:eastAsia="zh-CN"/>
              </w:rPr>
            </w:pPr>
          </w:p>
          <w:p>
            <w:pPr>
              <w:spacing w:line="246" w:lineRule="auto"/>
              <w:rPr>
                <w:highlight w:val="none"/>
                <w:lang w:eastAsia="zh-CN"/>
              </w:rPr>
            </w:pPr>
          </w:p>
          <w:p>
            <w:pPr>
              <w:pStyle w:val="10"/>
              <w:spacing w:before="65" w:line="228" w:lineRule="auto"/>
              <w:ind w:left="127"/>
              <w:rPr>
                <w:sz w:val="20"/>
                <w:szCs w:val="20"/>
                <w:highlight w:val="none"/>
                <w:lang w:eastAsia="zh-CN"/>
              </w:rPr>
            </w:pPr>
            <w:r>
              <w:rPr>
                <w:spacing w:val="7"/>
                <w:sz w:val="20"/>
                <w:szCs w:val="20"/>
                <w:highlight w:val="none"/>
                <w:lang w:eastAsia="zh-CN"/>
              </w:rPr>
              <w:t>形式评审与</w:t>
            </w:r>
          </w:p>
          <w:p>
            <w:pPr>
              <w:pStyle w:val="10"/>
              <w:spacing w:before="50" w:line="228" w:lineRule="auto"/>
              <w:ind w:left="135"/>
              <w:rPr>
                <w:sz w:val="20"/>
                <w:szCs w:val="20"/>
                <w:highlight w:val="none"/>
                <w:lang w:eastAsia="zh-CN"/>
              </w:rPr>
            </w:pPr>
            <w:r>
              <w:rPr>
                <w:spacing w:val="6"/>
                <w:sz w:val="20"/>
                <w:szCs w:val="20"/>
                <w:highlight w:val="none"/>
                <w:lang w:eastAsia="zh-CN"/>
              </w:rPr>
              <w:t>响应性评审</w:t>
            </w:r>
          </w:p>
          <w:p>
            <w:pPr>
              <w:pStyle w:val="10"/>
              <w:spacing w:before="53" w:line="228" w:lineRule="auto"/>
              <w:ind w:left="440"/>
              <w:rPr>
                <w:sz w:val="20"/>
                <w:szCs w:val="20"/>
                <w:highlight w:val="none"/>
                <w:lang w:eastAsia="zh-CN"/>
              </w:rPr>
            </w:pPr>
            <w:r>
              <w:rPr>
                <w:spacing w:val="4"/>
                <w:sz w:val="20"/>
                <w:szCs w:val="20"/>
                <w:highlight w:val="none"/>
                <w:lang w:eastAsia="zh-CN"/>
              </w:rPr>
              <w:t>标准</w:t>
            </w:r>
          </w:p>
        </w:tc>
        <w:tc>
          <w:tcPr>
            <w:tcW w:w="7029" w:type="dxa"/>
            <w:tcBorders>
              <w:left w:val="single" w:color="000000" w:sz="4" w:space="0"/>
            </w:tcBorders>
          </w:tcPr>
          <w:p>
            <w:pPr>
              <w:widowControl w:val="0"/>
              <w:spacing w:before="92" w:line="264" w:lineRule="auto"/>
              <w:ind w:left="527"/>
              <w:jc w:val="both"/>
              <w:rPr>
                <w:rFonts w:ascii="Times New Roman" w:hAnsi="Times New Roman" w:eastAsia="宋体" w:cs="Times New Roman"/>
                <w:b/>
                <w:color w:val="auto"/>
                <w:kern w:val="2"/>
                <w:szCs w:val="22"/>
                <w:highlight w:val="none"/>
                <w:lang w:eastAsia="zh-CN"/>
              </w:rPr>
            </w:pPr>
            <w:r>
              <w:rPr>
                <w:rFonts w:hint="eastAsia" w:ascii="Times New Roman" w:hAnsi="Times New Roman" w:eastAsia="宋体" w:cs="Times New Roman"/>
                <w:b/>
                <w:color w:val="auto"/>
                <w:kern w:val="2"/>
                <w:szCs w:val="22"/>
                <w:highlight w:val="none"/>
                <w:lang w:eastAsia="zh-CN"/>
              </w:rPr>
              <w:t>第一个信封（商务及技术文件）评审标准：</w:t>
            </w:r>
          </w:p>
          <w:p>
            <w:pPr>
              <w:widowControl w:val="0"/>
              <w:spacing w:before="91" w:line="288" w:lineRule="auto"/>
              <w:ind w:right="95" w:firstLine="210" w:firstLineChars="100"/>
              <w:jc w:val="both"/>
              <w:rPr>
                <w:rFonts w:ascii="Times New Roman" w:hAnsi="Times New Roman" w:eastAsia="宋体" w:cs="Times New Roman"/>
                <w:color w:val="auto"/>
                <w:kern w:val="2"/>
                <w:szCs w:val="22"/>
                <w:highlight w:val="none"/>
                <w:lang w:eastAsia="zh-CN"/>
              </w:rPr>
            </w:pPr>
            <w:r>
              <w:rPr>
                <w:rFonts w:hint="eastAsia" w:ascii="Times New Roman" w:hAnsi="Times New Roman" w:eastAsia="宋体" w:cs="Times New Roman"/>
                <w:color w:val="auto"/>
                <w:kern w:val="2"/>
                <w:szCs w:val="22"/>
                <w:highlight w:val="none"/>
                <w:lang w:eastAsia="zh-CN"/>
              </w:rPr>
              <w:t>（1）投标文件按照招标文件规定的格式、内容填写，字迹清晰可辨：</w:t>
            </w:r>
          </w:p>
          <w:p>
            <w:pPr>
              <w:spacing w:line="400" w:lineRule="exact"/>
              <w:ind w:firstLine="420" w:firstLineChars="200"/>
              <w:rPr>
                <w:highlight w:val="none"/>
                <w:lang w:eastAsia="zh-CN"/>
              </w:rPr>
            </w:pPr>
            <w:r>
              <w:rPr>
                <w:highlight w:val="none"/>
                <w:lang w:eastAsia="zh-CN"/>
              </w:rPr>
              <w:t>a.</w:t>
            </w:r>
            <w:r>
              <w:rPr>
                <w:rFonts w:hint="eastAsia"/>
                <w:highlight w:val="none"/>
                <w:lang w:eastAsia="zh-CN"/>
              </w:rPr>
              <w:t>投标函按招标文件规定填报了项目名称、标段号、补遗书编号（如有）、工程质量要求及安全目标；</w:t>
            </w:r>
          </w:p>
          <w:p>
            <w:pPr>
              <w:spacing w:line="400" w:lineRule="exact"/>
              <w:ind w:firstLine="420" w:firstLineChars="200"/>
              <w:rPr>
                <w:highlight w:val="none"/>
                <w:lang w:eastAsia="zh-CN"/>
              </w:rPr>
            </w:pPr>
            <w:r>
              <w:rPr>
                <w:highlight w:val="none"/>
                <w:lang w:eastAsia="zh-CN"/>
              </w:rPr>
              <w:t>b.</w:t>
            </w:r>
            <w:r>
              <w:rPr>
                <w:rFonts w:hint="eastAsia"/>
                <w:highlight w:val="none"/>
                <w:lang w:eastAsia="zh-CN"/>
              </w:rPr>
              <w:t>投标文件组成齐全完整，内容均按规定填写。</w:t>
            </w:r>
          </w:p>
          <w:p>
            <w:pPr>
              <w:spacing w:line="400" w:lineRule="exact"/>
              <w:ind w:firstLine="420" w:firstLineChars="200"/>
              <w:rPr>
                <w:highlight w:val="none"/>
                <w:lang w:eastAsia="zh-CN"/>
              </w:rPr>
            </w:pPr>
            <w:r>
              <w:rPr>
                <w:highlight w:val="none"/>
                <w:lang w:eastAsia="zh-CN"/>
              </w:rPr>
              <w:t>c.</w:t>
            </w:r>
            <w:r>
              <w:rPr>
                <w:rFonts w:hint="eastAsia"/>
                <w:highlight w:val="none"/>
                <w:lang w:eastAsia="zh-CN"/>
              </w:rPr>
              <w:t>投标函文字与招标文件规定一致，未进行实质性的修改和删减；</w:t>
            </w:r>
          </w:p>
          <w:p>
            <w:pPr>
              <w:spacing w:line="400" w:lineRule="exact"/>
              <w:ind w:firstLine="420" w:firstLineChars="200"/>
              <w:rPr>
                <w:highlight w:val="none"/>
                <w:lang w:eastAsia="zh-CN"/>
              </w:rPr>
            </w:pPr>
            <w:r>
              <w:rPr>
                <w:highlight w:val="none"/>
                <w:lang w:eastAsia="zh-CN"/>
              </w:rPr>
              <w:t>d.</w:t>
            </w:r>
            <w:r>
              <w:rPr>
                <w:rFonts w:hint="eastAsia"/>
                <w:highlight w:val="none"/>
                <w:lang w:eastAsia="zh-CN"/>
              </w:rPr>
              <w:t>按照招标文件规定的格式、内容编制了技术建议书；</w:t>
            </w:r>
          </w:p>
          <w:p>
            <w:pPr>
              <w:widowControl w:val="0"/>
              <w:tabs>
                <w:tab w:val="left" w:pos="1054"/>
              </w:tabs>
              <w:spacing w:before="90" w:line="288" w:lineRule="auto"/>
              <w:ind w:right="95" w:firstLine="204" w:firstLineChars="100"/>
              <w:jc w:val="both"/>
              <w:rPr>
                <w:rFonts w:ascii="Times New Roman" w:hAnsi="Times New Roman" w:eastAsia="宋体" w:cs="Times New Roman"/>
                <w:color w:val="auto"/>
                <w:kern w:val="2"/>
                <w:szCs w:val="22"/>
                <w:highlight w:val="none"/>
                <w:lang w:eastAsia="zh-CN"/>
              </w:rPr>
            </w:pPr>
            <w:r>
              <w:rPr>
                <w:rFonts w:hint="eastAsia" w:ascii="Times New Roman" w:hAnsi="Times New Roman" w:eastAsia="宋体" w:cs="Times New Roman"/>
                <w:color w:val="auto"/>
                <w:spacing w:val="-3"/>
                <w:kern w:val="2"/>
                <w:szCs w:val="22"/>
                <w:highlight w:val="none"/>
                <w:lang w:eastAsia="zh-CN"/>
              </w:rPr>
              <w:t>（2）投标文件上法定代表人或其委托代理人的签字、投标人的单位章盖章齐全，符合招标文件规定。</w:t>
            </w:r>
          </w:p>
          <w:p>
            <w:pPr>
              <w:widowControl w:val="0"/>
              <w:spacing w:line="288" w:lineRule="auto"/>
              <w:ind w:firstLine="210" w:firstLineChars="100"/>
              <w:jc w:val="both"/>
              <w:rPr>
                <w:rFonts w:ascii="Times New Roman" w:hAnsi="Times New Roman" w:eastAsia="宋体" w:cs="Times New Roman"/>
                <w:color w:val="auto"/>
                <w:kern w:val="2"/>
                <w:szCs w:val="22"/>
                <w:highlight w:val="none"/>
                <w:lang w:eastAsia="zh-CN"/>
              </w:rPr>
            </w:pPr>
            <w:r>
              <w:rPr>
                <w:rFonts w:hint="eastAsia" w:ascii="Times New Roman" w:hAnsi="Times New Roman" w:eastAsia="宋体" w:cs="Times New Roman"/>
                <w:color w:val="auto"/>
                <w:kern w:val="2"/>
                <w:szCs w:val="22"/>
                <w:highlight w:val="none"/>
                <w:lang w:eastAsia="zh-CN"/>
              </w:rPr>
              <w:t>（3）投标人按照招标文件的规定提供了投标保证金：</w:t>
            </w:r>
          </w:p>
          <w:p>
            <w:pPr>
              <w:widowControl w:val="0"/>
              <w:spacing w:line="288" w:lineRule="auto"/>
              <w:ind w:left="104" w:right="44" w:firstLine="420"/>
              <w:jc w:val="both"/>
              <w:rPr>
                <w:rFonts w:ascii="Times New Roman" w:hAnsi="Times New Roman" w:eastAsia="宋体" w:cs="Times New Roman"/>
                <w:color w:val="auto"/>
                <w:kern w:val="2"/>
                <w:szCs w:val="22"/>
                <w:highlight w:val="none"/>
                <w:lang w:eastAsia="zh-CN"/>
              </w:rPr>
            </w:pPr>
            <w:r>
              <w:rPr>
                <w:rFonts w:ascii="Times New Roman" w:hAnsi="Times New Roman" w:eastAsia="Times New Roman" w:cs="Times New Roman"/>
                <w:color w:val="auto"/>
                <w:kern w:val="2"/>
                <w:szCs w:val="22"/>
                <w:highlight w:val="none"/>
                <w:lang w:eastAsia="zh-CN"/>
              </w:rPr>
              <w:t>a.</w:t>
            </w:r>
            <w:r>
              <w:rPr>
                <w:rFonts w:hint="eastAsia" w:ascii="Times New Roman" w:hAnsi="Times New Roman" w:eastAsia="宋体" w:cs="Times New Roman"/>
                <w:color w:val="auto"/>
                <w:kern w:val="2"/>
                <w:szCs w:val="22"/>
                <w:highlight w:val="none"/>
                <w:lang w:eastAsia="zh-CN"/>
              </w:rPr>
              <w:t>投标保证金金额符合招标文件规定的金额，且投标保证金有效期不少于投标有效期；</w:t>
            </w:r>
          </w:p>
          <w:p>
            <w:pPr>
              <w:widowControl w:val="0"/>
              <w:numPr>
                <w:ilvl w:val="0"/>
                <w:numId w:val="1"/>
              </w:numPr>
              <w:tabs>
                <w:tab w:val="left" w:pos="685"/>
              </w:tabs>
              <w:spacing w:before="70" w:line="288" w:lineRule="auto"/>
              <w:ind w:right="95" w:firstLine="420"/>
              <w:jc w:val="both"/>
              <w:rPr>
                <w:rFonts w:ascii="Times New Roman" w:hAnsi="Times New Roman" w:eastAsia="宋体" w:cs="Times New Roman"/>
                <w:color w:val="auto"/>
                <w:kern w:val="2"/>
                <w:szCs w:val="22"/>
                <w:highlight w:val="none"/>
                <w:lang w:eastAsia="zh-CN"/>
              </w:rPr>
            </w:pPr>
            <w:r>
              <w:rPr>
                <w:rFonts w:hint="eastAsia" w:ascii="Times New Roman" w:hAnsi="Times New Roman" w:eastAsia="宋体" w:cs="Times New Roman"/>
                <w:color w:val="auto"/>
                <w:spacing w:val="-6"/>
                <w:kern w:val="2"/>
                <w:szCs w:val="22"/>
                <w:highlight w:val="none"/>
                <w:lang w:eastAsia="zh-CN"/>
              </w:rPr>
              <w:t>若投标保证金采用现金或支票形式提交，投标人应在递交投标文</w:t>
            </w:r>
            <w:r>
              <w:rPr>
                <w:rFonts w:hint="eastAsia" w:ascii="Times New Roman" w:hAnsi="Times New Roman" w:eastAsia="宋体" w:cs="Times New Roman"/>
                <w:color w:val="auto"/>
                <w:spacing w:val="-13"/>
                <w:kern w:val="2"/>
                <w:szCs w:val="22"/>
                <w:highlight w:val="none"/>
                <w:lang w:eastAsia="zh-CN"/>
              </w:rPr>
              <w:t>件截止时间之前，将投标保证金由投标人的基本账户转入招标人指定账户；</w:t>
            </w:r>
          </w:p>
          <w:p>
            <w:pPr>
              <w:widowControl w:val="0"/>
              <w:numPr>
                <w:ilvl w:val="0"/>
                <w:numId w:val="1"/>
              </w:numPr>
              <w:tabs>
                <w:tab w:val="left" w:pos="673"/>
              </w:tabs>
              <w:spacing w:before="3" w:line="288" w:lineRule="auto"/>
              <w:ind w:right="95" w:firstLine="420"/>
              <w:jc w:val="both"/>
              <w:rPr>
                <w:rFonts w:ascii="Times New Roman" w:hAnsi="Times New Roman" w:eastAsia="宋体" w:cs="Times New Roman"/>
                <w:color w:val="auto"/>
                <w:kern w:val="2"/>
                <w:szCs w:val="22"/>
                <w:highlight w:val="none"/>
                <w:lang w:eastAsia="zh-CN"/>
              </w:rPr>
            </w:pPr>
            <w:r>
              <w:rPr>
                <w:rFonts w:hint="eastAsia" w:ascii="Times New Roman" w:hAnsi="Times New Roman" w:eastAsia="宋体" w:cs="Times New Roman"/>
                <w:color w:val="auto"/>
                <w:spacing w:val="-6"/>
                <w:kern w:val="2"/>
                <w:szCs w:val="22"/>
                <w:highlight w:val="none"/>
                <w:lang w:eastAsia="zh-CN"/>
              </w:rPr>
              <w:t>若投标保证金采用银行保函形式提交，银行保函的格式、开具保</w:t>
            </w:r>
            <w:r>
              <w:rPr>
                <w:rFonts w:hint="eastAsia" w:ascii="Times New Roman" w:hAnsi="Times New Roman" w:eastAsia="宋体" w:cs="Times New Roman"/>
                <w:color w:val="auto"/>
                <w:spacing w:val="-12"/>
                <w:kern w:val="2"/>
                <w:szCs w:val="22"/>
                <w:highlight w:val="none"/>
                <w:lang w:eastAsia="zh-CN"/>
              </w:rPr>
              <w:t>函的银行均满足招标文件要求，且在递交投标文件截止时间之前向招标</w:t>
            </w:r>
            <w:r>
              <w:rPr>
                <w:rFonts w:hint="eastAsia" w:ascii="Times New Roman" w:hAnsi="Times New Roman" w:eastAsia="宋体" w:cs="Times New Roman"/>
                <w:color w:val="auto"/>
                <w:spacing w:val="-6"/>
                <w:kern w:val="2"/>
                <w:szCs w:val="22"/>
                <w:highlight w:val="none"/>
                <w:lang w:eastAsia="zh-CN"/>
              </w:rPr>
              <w:t>人提交了银行保函原件。</w:t>
            </w:r>
          </w:p>
          <w:p>
            <w:pPr>
              <w:widowControl w:val="0"/>
              <w:tabs>
                <w:tab w:val="left" w:pos="1054"/>
              </w:tabs>
              <w:spacing w:before="4" w:line="288" w:lineRule="auto"/>
              <w:ind w:right="-15" w:firstLine="204" w:firstLineChars="100"/>
              <w:jc w:val="both"/>
              <w:rPr>
                <w:rFonts w:ascii="Times New Roman" w:hAnsi="Times New Roman" w:eastAsia="宋体" w:cs="Times New Roman"/>
                <w:color w:val="auto"/>
                <w:kern w:val="2"/>
                <w:szCs w:val="22"/>
                <w:highlight w:val="none"/>
                <w:lang w:eastAsia="zh-CN"/>
              </w:rPr>
            </w:pPr>
            <w:r>
              <w:rPr>
                <w:rFonts w:hint="eastAsia" w:ascii="Times New Roman" w:hAnsi="Times New Roman" w:eastAsia="宋体" w:cs="Times New Roman"/>
                <w:color w:val="auto"/>
                <w:spacing w:val="-3"/>
                <w:kern w:val="2"/>
                <w:szCs w:val="22"/>
                <w:highlight w:val="none"/>
                <w:lang w:eastAsia="zh-CN"/>
              </w:rPr>
              <w:t>（4）投标人法定代表人授权委托代理人签署投标文件的，须提交</w:t>
            </w:r>
            <w:r>
              <w:rPr>
                <w:rFonts w:hint="eastAsia" w:ascii="Times New Roman" w:hAnsi="Times New Roman" w:eastAsia="宋体" w:cs="Times New Roman"/>
                <w:color w:val="auto"/>
                <w:spacing w:val="-17"/>
                <w:kern w:val="2"/>
                <w:szCs w:val="22"/>
                <w:highlight w:val="none"/>
                <w:lang w:eastAsia="zh-CN"/>
              </w:rPr>
              <w:t>授权委托书，且授权人和被授权人均在授权委托书上签名，未使用印章、</w:t>
            </w:r>
            <w:r>
              <w:rPr>
                <w:rFonts w:hint="eastAsia" w:ascii="Times New Roman" w:hAnsi="Times New Roman" w:eastAsia="宋体" w:cs="Times New Roman"/>
                <w:color w:val="auto"/>
                <w:spacing w:val="-7"/>
                <w:kern w:val="2"/>
                <w:szCs w:val="22"/>
                <w:highlight w:val="none"/>
                <w:lang w:eastAsia="zh-CN"/>
              </w:rPr>
              <w:t>签名章或其他电子制版签名代替。</w:t>
            </w:r>
          </w:p>
          <w:p>
            <w:pPr>
              <w:widowControl w:val="0"/>
              <w:tabs>
                <w:tab w:val="left" w:pos="1054"/>
              </w:tabs>
              <w:spacing w:before="3" w:line="288" w:lineRule="auto"/>
              <w:ind w:right="-15" w:firstLine="204" w:firstLineChars="100"/>
              <w:jc w:val="both"/>
              <w:rPr>
                <w:rFonts w:ascii="Times New Roman" w:hAnsi="Times New Roman" w:eastAsia="宋体" w:cs="Times New Roman"/>
                <w:color w:val="auto"/>
                <w:kern w:val="2"/>
                <w:szCs w:val="22"/>
                <w:highlight w:val="none"/>
                <w:lang w:eastAsia="zh-CN"/>
              </w:rPr>
            </w:pPr>
            <w:r>
              <w:rPr>
                <w:rFonts w:hint="eastAsia" w:ascii="Times New Roman" w:hAnsi="Times New Roman" w:eastAsia="宋体" w:cs="Times New Roman"/>
                <w:color w:val="auto"/>
                <w:spacing w:val="-3"/>
                <w:kern w:val="2"/>
                <w:szCs w:val="22"/>
                <w:highlight w:val="none"/>
                <w:lang w:eastAsia="zh-CN"/>
              </w:rPr>
              <w:t>（5）投标人法定代表人亲自签署投标文件的，提供了法定代表人身份证明，且法定代表人在法定代表人身份证明上签名，未使用印章、签名章或其他电子制版签名代替。</w:t>
            </w:r>
          </w:p>
          <w:p>
            <w:pPr>
              <w:pStyle w:val="6"/>
              <w:ind w:firstLine="210" w:firstLineChars="100"/>
              <w:rPr>
                <w:highlight w:val="none"/>
                <w:lang w:eastAsia="zh-CN"/>
              </w:rPr>
            </w:pPr>
            <w:r>
              <w:rPr>
                <w:rFonts w:hint="eastAsia"/>
                <w:highlight w:val="none"/>
                <w:lang w:eastAsia="zh-CN"/>
              </w:rPr>
              <w:t>（</w:t>
            </w:r>
            <w:r>
              <w:rPr>
                <w:rFonts w:hint="eastAsia" w:ascii="Times New Roman" w:hAnsi="Times New Roman" w:eastAsia="宋体" w:cs="Times New Roman"/>
                <w:color w:val="auto"/>
                <w:spacing w:val="-3"/>
                <w:kern w:val="2"/>
                <w:szCs w:val="22"/>
                <w:highlight w:val="none"/>
                <w:lang w:eastAsia="zh-CN"/>
              </w:rPr>
              <w:t>6</w:t>
            </w:r>
            <w:r>
              <w:rPr>
                <w:rFonts w:hint="eastAsia"/>
                <w:highlight w:val="none"/>
                <w:lang w:eastAsia="zh-CN"/>
              </w:rPr>
              <w:t>）</w:t>
            </w:r>
            <w:r>
              <w:rPr>
                <w:rFonts w:hint="eastAsia" w:ascii="Times New Roman" w:hAnsi="Times New Roman" w:eastAsia="宋体" w:cs="Times New Roman"/>
                <w:color w:val="auto"/>
                <w:spacing w:val="-3"/>
                <w:kern w:val="2"/>
                <w:szCs w:val="22"/>
                <w:highlight w:val="none"/>
                <w:lang w:eastAsia="zh-CN"/>
              </w:rPr>
              <w:t>投标人以联合体形式投标时，联合体满足招标文件的要求：</w:t>
            </w:r>
          </w:p>
          <w:p>
            <w:pPr>
              <w:widowControl w:val="0"/>
              <w:numPr>
                <w:ilvl w:val="0"/>
                <w:numId w:val="2"/>
              </w:numPr>
              <w:tabs>
                <w:tab w:val="left" w:pos="673"/>
              </w:tabs>
              <w:spacing w:before="69" w:line="264" w:lineRule="auto"/>
              <w:ind w:right="95" w:firstLine="420"/>
              <w:jc w:val="both"/>
              <w:rPr>
                <w:rFonts w:ascii="Times New Roman" w:hAnsi="Times New Roman" w:eastAsia="宋体" w:cs="Times New Roman"/>
                <w:color w:val="auto"/>
                <w:kern w:val="2"/>
                <w:szCs w:val="22"/>
                <w:highlight w:val="none"/>
                <w:lang w:eastAsia="zh-CN"/>
              </w:rPr>
            </w:pPr>
            <w:r>
              <w:rPr>
                <w:rFonts w:hint="eastAsia" w:ascii="Times New Roman" w:hAnsi="Times New Roman" w:eastAsia="宋体" w:cs="Times New Roman"/>
                <w:color w:val="auto"/>
                <w:spacing w:val="-8"/>
                <w:kern w:val="2"/>
                <w:szCs w:val="22"/>
                <w:highlight w:val="none"/>
                <w:lang w:eastAsia="zh-CN"/>
              </w:rPr>
              <w:t>未进行资格预审的，投标人按照招标文件提供的格式签订了联合</w:t>
            </w:r>
            <w:r>
              <w:rPr>
                <w:rFonts w:hint="eastAsia" w:ascii="Times New Roman" w:hAnsi="Times New Roman" w:eastAsia="宋体" w:cs="Times New Roman"/>
                <w:color w:val="auto"/>
                <w:spacing w:val="-5"/>
                <w:kern w:val="2"/>
                <w:szCs w:val="22"/>
                <w:highlight w:val="none"/>
                <w:lang w:eastAsia="zh-CN"/>
              </w:rPr>
              <w:t>体协议书，明确各方承担连带责任，并明确了联合体牵头人；</w:t>
            </w:r>
          </w:p>
          <w:p>
            <w:pPr>
              <w:widowControl w:val="0"/>
              <w:numPr>
                <w:ilvl w:val="0"/>
                <w:numId w:val="2"/>
              </w:numPr>
              <w:tabs>
                <w:tab w:val="left" w:pos="685"/>
              </w:tabs>
              <w:spacing w:line="264" w:lineRule="auto"/>
              <w:ind w:right="95" w:firstLine="420"/>
              <w:jc w:val="both"/>
              <w:rPr>
                <w:rFonts w:ascii="Times New Roman" w:hAnsi="Times New Roman" w:eastAsia="宋体" w:cs="Times New Roman"/>
                <w:color w:val="auto"/>
                <w:kern w:val="2"/>
                <w:szCs w:val="22"/>
                <w:highlight w:val="none"/>
                <w:lang w:eastAsia="zh-CN"/>
              </w:rPr>
            </w:pPr>
            <w:r>
              <w:rPr>
                <w:rFonts w:hint="eastAsia" w:ascii="Times New Roman" w:hAnsi="Times New Roman" w:eastAsia="宋体" w:cs="Times New Roman"/>
                <w:color w:val="auto"/>
                <w:spacing w:val="-9"/>
                <w:kern w:val="2"/>
                <w:szCs w:val="22"/>
                <w:highlight w:val="none"/>
                <w:lang w:eastAsia="zh-CN"/>
              </w:rPr>
              <w:t>已进行资格预审的，投标人提供了资格预审申请文件中所附的联</w:t>
            </w:r>
            <w:r>
              <w:rPr>
                <w:rFonts w:hint="eastAsia" w:ascii="Times New Roman" w:hAnsi="Times New Roman" w:eastAsia="宋体" w:cs="Times New Roman"/>
                <w:color w:val="auto"/>
                <w:spacing w:val="-13"/>
                <w:kern w:val="2"/>
                <w:szCs w:val="22"/>
                <w:highlight w:val="none"/>
                <w:lang w:eastAsia="zh-CN"/>
              </w:rPr>
              <w:t>合体协议书复印件，且通过资格预审后的联合体无成员增减或更换的情</w:t>
            </w:r>
            <w:r>
              <w:rPr>
                <w:rFonts w:hint="eastAsia" w:ascii="Times New Roman" w:hAnsi="Times New Roman" w:eastAsia="宋体" w:cs="Times New Roman"/>
                <w:color w:val="auto"/>
                <w:kern w:val="2"/>
                <w:szCs w:val="22"/>
                <w:highlight w:val="none"/>
                <w:lang w:eastAsia="zh-CN"/>
              </w:rPr>
              <w:t>况。</w:t>
            </w:r>
          </w:p>
          <w:p>
            <w:pPr>
              <w:widowControl w:val="0"/>
              <w:tabs>
                <w:tab w:val="left" w:pos="1054"/>
              </w:tabs>
              <w:spacing w:before="2" w:line="264" w:lineRule="auto"/>
              <w:ind w:right="95" w:firstLine="204" w:firstLineChars="100"/>
              <w:jc w:val="both"/>
              <w:rPr>
                <w:rFonts w:ascii="Times New Roman" w:hAnsi="Times New Roman" w:eastAsia="宋体" w:cs="Times New Roman"/>
                <w:color w:val="auto"/>
                <w:kern w:val="2"/>
                <w:szCs w:val="22"/>
                <w:highlight w:val="none"/>
                <w:lang w:eastAsia="zh-CN"/>
              </w:rPr>
            </w:pPr>
            <w:r>
              <w:rPr>
                <w:rFonts w:hint="eastAsia" w:ascii="Times New Roman" w:hAnsi="Times New Roman" w:eastAsia="宋体" w:cs="Times New Roman"/>
                <w:color w:val="auto"/>
                <w:spacing w:val="-3"/>
                <w:kern w:val="2"/>
                <w:szCs w:val="22"/>
                <w:highlight w:val="none"/>
                <w:lang w:eastAsia="zh-CN"/>
              </w:rPr>
              <w:t>（</w:t>
            </w:r>
            <w:r>
              <w:rPr>
                <w:rFonts w:ascii="Times New Roman" w:hAnsi="Times New Roman" w:eastAsia="宋体" w:cs="Times New Roman"/>
                <w:color w:val="auto"/>
                <w:spacing w:val="-3"/>
                <w:kern w:val="2"/>
                <w:szCs w:val="22"/>
                <w:highlight w:val="none"/>
                <w:lang w:eastAsia="zh-CN"/>
              </w:rPr>
              <w:t>7</w:t>
            </w:r>
            <w:r>
              <w:rPr>
                <w:rFonts w:hint="eastAsia" w:ascii="Times New Roman" w:hAnsi="Times New Roman" w:eastAsia="宋体" w:cs="Times New Roman"/>
                <w:color w:val="auto"/>
                <w:spacing w:val="-3"/>
                <w:kern w:val="2"/>
                <w:szCs w:val="22"/>
                <w:highlight w:val="none"/>
                <w:lang w:eastAsia="zh-CN"/>
              </w:rPr>
              <w:t>）投标人如有分包计划，符合招标文件第二章“投标人须知”</w:t>
            </w:r>
            <w:r>
              <w:rPr>
                <w:rFonts w:ascii="Times New Roman" w:hAnsi="Times New Roman" w:eastAsia="宋体" w:cs="Times New Roman"/>
                <w:color w:val="auto"/>
                <w:spacing w:val="-3"/>
                <w:kern w:val="2"/>
                <w:szCs w:val="22"/>
                <w:highlight w:val="none"/>
                <w:lang w:eastAsia="zh-CN"/>
              </w:rPr>
              <w:t xml:space="preserve"> </w:t>
            </w:r>
            <w:r>
              <w:rPr>
                <w:rFonts w:hint="eastAsia" w:ascii="Times New Roman" w:hAnsi="Times New Roman" w:eastAsia="宋体" w:cs="Times New Roman"/>
                <w:color w:val="auto"/>
                <w:spacing w:val="-4"/>
                <w:kern w:val="2"/>
                <w:szCs w:val="22"/>
                <w:highlight w:val="none"/>
                <w:lang w:eastAsia="zh-CN"/>
              </w:rPr>
              <w:t>第</w:t>
            </w:r>
            <w:r>
              <w:rPr>
                <w:rFonts w:ascii="Times New Roman" w:hAnsi="Times New Roman" w:eastAsia="宋体" w:cs="Times New Roman"/>
                <w:color w:val="auto"/>
                <w:spacing w:val="-4"/>
                <w:kern w:val="2"/>
                <w:szCs w:val="22"/>
                <w:highlight w:val="none"/>
                <w:lang w:eastAsia="zh-CN"/>
              </w:rPr>
              <w:t xml:space="preserve"> </w:t>
            </w:r>
            <w:r>
              <w:rPr>
                <w:rFonts w:ascii="Times New Roman" w:hAnsi="Times New Roman" w:eastAsia="宋体" w:cs="Times New Roman"/>
                <w:color w:val="auto"/>
                <w:spacing w:val="-3"/>
                <w:kern w:val="2"/>
                <w:szCs w:val="22"/>
                <w:highlight w:val="none"/>
                <w:lang w:eastAsia="zh-CN"/>
              </w:rPr>
              <w:t>1.11</w:t>
            </w:r>
            <w:r>
              <w:rPr>
                <w:rFonts w:ascii="Times New Roman" w:hAnsi="Times New Roman" w:eastAsia="宋体" w:cs="Times New Roman"/>
                <w:color w:val="auto"/>
                <w:spacing w:val="45"/>
                <w:kern w:val="2"/>
                <w:szCs w:val="22"/>
                <w:highlight w:val="none"/>
                <w:lang w:eastAsia="zh-CN"/>
              </w:rPr>
              <w:t xml:space="preserve"> </w:t>
            </w:r>
            <w:r>
              <w:rPr>
                <w:rFonts w:hint="eastAsia" w:ascii="Times New Roman" w:hAnsi="Times New Roman" w:eastAsia="宋体" w:cs="Times New Roman"/>
                <w:color w:val="auto"/>
                <w:spacing w:val="-3"/>
                <w:kern w:val="2"/>
                <w:szCs w:val="22"/>
                <w:highlight w:val="none"/>
                <w:lang w:eastAsia="zh-CN"/>
              </w:rPr>
              <w:t>款规定，且按招标文件第六章“投标文件格式”的要求填写了</w:t>
            </w:r>
            <w:r>
              <w:rPr>
                <w:rFonts w:hint="eastAsia" w:ascii="Times New Roman" w:hAnsi="Times New Roman" w:eastAsia="宋体" w:cs="Times New Roman"/>
                <w:color w:val="auto"/>
                <w:spacing w:val="-13"/>
                <w:kern w:val="2"/>
                <w:szCs w:val="22"/>
                <w:highlight w:val="none"/>
                <w:lang w:eastAsia="zh-CN"/>
              </w:rPr>
              <w:t>“拟分包项目情况表”。</w:t>
            </w:r>
          </w:p>
          <w:p>
            <w:pPr>
              <w:widowControl w:val="0"/>
              <w:tabs>
                <w:tab w:val="left" w:pos="1054"/>
              </w:tabs>
              <w:spacing w:before="2" w:line="264" w:lineRule="auto"/>
              <w:ind w:right="95" w:firstLine="204" w:firstLineChars="100"/>
              <w:jc w:val="both"/>
              <w:rPr>
                <w:rFonts w:ascii="Times New Roman" w:hAnsi="Times New Roman" w:eastAsia="宋体" w:cs="Times New Roman"/>
                <w:color w:val="auto"/>
                <w:kern w:val="2"/>
                <w:szCs w:val="22"/>
                <w:highlight w:val="none"/>
                <w:lang w:eastAsia="zh-CN"/>
              </w:rPr>
            </w:pPr>
            <w:r>
              <w:rPr>
                <w:rFonts w:hint="eastAsia" w:ascii="Times New Roman" w:hAnsi="Times New Roman" w:eastAsia="宋体" w:cs="Times New Roman"/>
                <w:color w:val="auto"/>
                <w:spacing w:val="-3"/>
                <w:kern w:val="2"/>
                <w:szCs w:val="22"/>
                <w:highlight w:val="none"/>
                <w:lang w:eastAsia="zh-CN"/>
              </w:rPr>
              <w:t>（8）同一投标人未提交两个以上不同的投标文件，但招标文件要求提交备选投标的除外。</w:t>
            </w:r>
          </w:p>
          <w:p>
            <w:pPr>
              <w:widowControl w:val="0"/>
              <w:tabs>
                <w:tab w:val="left" w:pos="1160"/>
              </w:tabs>
              <w:spacing w:before="2" w:line="264" w:lineRule="auto"/>
              <w:ind w:firstLine="204" w:firstLineChars="100"/>
              <w:jc w:val="both"/>
              <w:rPr>
                <w:rFonts w:ascii="Times New Roman" w:hAnsi="Times New Roman" w:eastAsia="宋体" w:cs="Times New Roman"/>
                <w:color w:val="auto"/>
                <w:kern w:val="2"/>
                <w:szCs w:val="22"/>
                <w:highlight w:val="none"/>
                <w:lang w:eastAsia="zh-CN"/>
              </w:rPr>
            </w:pPr>
            <w:r>
              <w:rPr>
                <w:rFonts w:hint="eastAsia" w:ascii="Times New Roman" w:hAnsi="Times New Roman" w:eastAsia="宋体" w:cs="Times New Roman"/>
                <w:color w:val="auto"/>
                <w:spacing w:val="-3"/>
                <w:kern w:val="2"/>
                <w:szCs w:val="22"/>
                <w:highlight w:val="none"/>
                <w:lang w:eastAsia="zh-CN"/>
              </w:rPr>
              <w:t>（9）投标文件中未出现有关投标报价的内容。</w:t>
            </w:r>
          </w:p>
          <w:p>
            <w:pPr>
              <w:widowControl w:val="0"/>
              <w:tabs>
                <w:tab w:val="left" w:pos="1150"/>
              </w:tabs>
              <w:spacing w:before="71" w:line="264" w:lineRule="auto"/>
              <w:ind w:right="95" w:firstLine="204" w:firstLineChars="100"/>
              <w:jc w:val="both"/>
              <w:rPr>
                <w:rFonts w:ascii="Times New Roman" w:hAnsi="Times New Roman" w:eastAsia="宋体" w:cs="Times New Roman"/>
                <w:color w:val="auto"/>
                <w:kern w:val="2"/>
                <w:szCs w:val="22"/>
                <w:highlight w:val="none"/>
                <w:lang w:eastAsia="zh-CN"/>
              </w:rPr>
            </w:pPr>
            <w:r>
              <w:rPr>
                <w:rFonts w:hint="eastAsia" w:ascii="Times New Roman" w:hAnsi="Times New Roman" w:eastAsia="宋体" w:cs="Times New Roman"/>
                <w:color w:val="auto"/>
                <w:spacing w:val="-3"/>
                <w:kern w:val="2"/>
                <w:szCs w:val="22"/>
                <w:highlight w:val="none"/>
                <w:lang w:eastAsia="zh-CN"/>
              </w:rPr>
              <w:t>（10）投标文件载明的招标项目完成期限未超过招标文件规定的</w:t>
            </w:r>
            <w:r>
              <w:rPr>
                <w:rFonts w:hint="eastAsia" w:ascii="Times New Roman" w:hAnsi="Times New Roman" w:eastAsia="宋体" w:cs="Times New Roman"/>
                <w:color w:val="auto"/>
                <w:kern w:val="2"/>
                <w:szCs w:val="22"/>
                <w:highlight w:val="none"/>
                <w:lang w:eastAsia="zh-CN"/>
              </w:rPr>
              <w:t>时限。</w:t>
            </w:r>
          </w:p>
          <w:p>
            <w:pPr>
              <w:widowControl w:val="0"/>
              <w:tabs>
                <w:tab w:val="left" w:pos="1160"/>
              </w:tabs>
              <w:spacing w:before="2" w:line="264" w:lineRule="auto"/>
              <w:ind w:firstLine="204" w:firstLineChars="100"/>
              <w:jc w:val="both"/>
              <w:rPr>
                <w:rFonts w:ascii="Times New Roman" w:hAnsi="Times New Roman" w:eastAsia="宋体" w:cs="Times New Roman"/>
                <w:color w:val="auto"/>
                <w:kern w:val="2"/>
                <w:szCs w:val="22"/>
                <w:highlight w:val="none"/>
                <w:lang w:eastAsia="zh-CN"/>
              </w:rPr>
            </w:pPr>
            <w:r>
              <w:rPr>
                <w:rFonts w:hint="eastAsia" w:ascii="Times New Roman" w:hAnsi="Times New Roman" w:eastAsia="宋体" w:cs="Times New Roman"/>
                <w:color w:val="auto"/>
                <w:spacing w:val="-3"/>
                <w:kern w:val="2"/>
                <w:szCs w:val="22"/>
                <w:highlight w:val="none"/>
                <w:lang w:eastAsia="zh-CN"/>
              </w:rPr>
              <w:t>（11）投标文件对招标文件的实质性要求和条件作出响应。</w:t>
            </w:r>
          </w:p>
          <w:p>
            <w:pPr>
              <w:widowControl w:val="0"/>
              <w:tabs>
                <w:tab w:val="left" w:pos="1160"/>
              </w:tabs>
              <w:spacing w:before="72" w:line="264" w:lineRule="auto"/>
              <w:ind w:firstLine="204" w:firstLineChars="100"/>
              <w:jc w:val="both"/>
              <w:rPr>
                <w:rFonts w:ascii="Times New Roman" w:hAnsi="Times New Roman" w:eastAsia="宋体" w:cs="Times New Roman"/>
                <w:color w:val="auto"/>
                <w:kern w:val="2"/>
                <w:szCs w:val="22"/>
                <w:highlight w:val="none"/>
                <w:lang w:eastAsia="zh-CN"/>
              </w:rPr>
            </w:pPr>
            <w:r>
              <w:rPr>
                <w:rFonts w:hint="eastAsia" w:ascii="Times New Roman" w:hAnsi="Times New Roman" w:eastAsia="宋体" w:cs="Times New Roman"/>
                <w:color w:val="auto"/>
                <w:spacing w:val="-3"/>
                <w:kern w:val="2"/>
                <w:szCs w:val="22"/>
                <w:highlight w:val="none"/>
                <w:lang w:eastAsia="zh-CN"/>
              </w:rPr>
              <w:t>（12）权利义务符合招标文件规定：</w:t>
            </w:r>
          </w:p>
          <w:p>
            <w:pPr>
              <w:widowControl w:val="0"/>
              <w:numPr>
                <w:ilvl w:val="0"/>
                <w:numId w:val="3"/>
              </w:numPr>
              <w:tabs>
                <w:tab w:val="left" w:pos="673"/>
              </w:tabs>
              <w:spacing w:before="69" w:line="264" w:lineRule="auto"/>
              <w:ind w:right="97" w:firstLine="420"/>
              <w:jc w:val="both"/>
              <w:rPr>
                <w:rFonts w:ascii="Times New Roman" w:hAnsi="Times New Roman" w:eastAsia="宋体" w:cs="Times New Roman"/>
                <w:color w:val="auto"/>
                <w:kern w:val="2"/>
                <w:szCs w:val="22"/>
                <w:highlight w:val="none"/>
                <w:lang w:eastAsia="zh-CN"/>
              </w:rPr>
            </w:pPr>
            <w:r>
              <w:rPr>
                <w:rFonts w:hint="eastAsia" w:ascii="Times New Roman" w:hAnsi="Times New Roman" w:eastAsia="宋体" w:cs="Times New Roman"/>
                <w:color w:val="auto"/>
                <w:spacing w:val="-5"/>
                <w:kern w:val="2"/>
                <w:szCs w:val="22"/>
                <w:highlight w:val="none"/>
                <w:lang w:eastAsia="zh-CN"/>
              </w:rPr>
              <w:t>投标人应接受招标文件规定的风险划分原则，未提出新的风险划</w:t>
            </w:r>
            <w:r>
              <w:rPr>
                <w:rFonts w:hint="eastAsia" w:ascii="Times New Roman" w:hAnsi="Times New Roman" w:eastAsia="宋体" w:cs="Times New Roman"/>
                <w:color w:val="auto"/>
                <w:spacing w:val="-4"/>
                <w:kern w:val="2"/>
                <w:szCs w:val="22"/>
                <w:highlight w:val="none"/>
                <w:lang w:eastAsia="zh-CN"/>
              </w:rPr>
              <w:t>分办法；</w:t>
            </w:r>
          </w:p>
          <w:p>
            <w:pPr>
              <w:widowControl w:val="0"/>
              <w:numPr>
                <w:ilvl w:val="0"/>
                <w:numId w:val="3"/>
              </w:numPr>
              <w:tabs>
                <w:tab w:val="left" w:pos="685"/>
              </w:tabs>
              <w:spacing w:line="264" w:lineRule="auto"/>
              <w:ind w:left="524" w:right="882" w:firstLine="0"/>
              <w:jc w:val="both"/>
              <w:rPr>
                <w:rFonts w:ascii="Times New Roman" w:hAnsi="Times New Roman" w:eastAsia="宋体" w:cs="Times New Roman"/>
                <w:color w:val="auto"/>
                <w:kern w:val="2"/>
                <w:szCs w:val="22"/>
                <w:highlight w:val="none"/>
                <w:lang w:eastAsia="zh-CN"/>
              </w:rPr>
            </w:pPr>
            <w:r>
              <w:rPr>
                <w:rFonts w:hint="eastAsia" w:ascii="Times New Roman" w:hAnsi="Times New Roman" w:eastAsia="宋体" w:cs="Times New Roman"/>
                <w:color w:val="auto"/>
                <w:spacing w:val="-3"/>
                <w:kern w:val="2"/>
                <w:szCs w:val="22"/>
                <w:highlight w:val="none"/>
                <w:lang w:eastAsia="zh-CN"/>
              </w:rPr>
              <w:t>投标人未增加发包人的责任范围，或减少投标人义务；</w:t>
            </w:r>
            <w:r>
              <w:rPr>
                <w:rFonts w:ascii="Times New Roman" w:hAnsi="Times New Roman" w:eastAsia="宋体" w:cs="Times New Roman"/>
                <w:color w:val="auto"/>
                <w:spacing w:val="-3"/>
                <w:kern w:val="2"/>
                <w:szCs w:val="22"/>
                <w:highlight w:val="none"/>
                <w:lang w:eastAsia="zh-CN"/>
              </w:rPr>
              <w:t xml:space="preserve"> </w:t>
            </w:r>
            <w:r>
              <w:rPr>
                <w:rFonts w:ascii="Times New Roman" w:hAnsi="Times New Roman" w:eastAsia="Times New Roman" w:cs="Times New Roman"/>
                <w:color w:val="auto"/>
                <w:spacing w:val="-3"/>
                <w:kern w:val="2"/>
                <w:szCs w:val="22"/>
                <w:highlight w:val="none"/>
                <w:lang w:eastAsia="zh-CN"/>
              </w:rPr>
              <w:t>c.</w:t>
            </w:r>
            <w:r>
              <w:rPr>
                <w:rFonts w:hint="eastAsia" w:ascii="Times New Roman" w:hAnsi="Times New Roman" w:eastAsia="宋体" w:cs="Times New Roman"/>
                <w:color w:val="auto"/>
                <w:spacing w:val="-3"/>
                <w:kern w:val="2"/>
                <w:szCs w:val="22"/>
                <w:highlight w:val="none"/>
                <w:lang w:eastAsia="zh-CN"/>
              </w:rPr>
              <w:t>投标人未提出不同的支付办法；</w:t>
            </w:r>
          </w:p>
          <w:p>
            <w:pPr>
              <w:widowControl w:val="0"/>
              <w:spacing w:line="264" w:lineRule="auto"/>
              <w:ind w:left="524" w:right="1480"/>
              <w:jc w:val="both"/>
              <w:rPr>
                <w:rFonts w:ascii="Times New Roman" w:hAnsi="Times New Roman" w:eastAsia="宋体" w:cs="Times New Roman"/>
                <w:color w:val="auto"/>
                <w:spacing w:val="-4"/>
                <w:kern w:val="2"/>
                <w:szCs w:val="22"/>
                <w:highlight w:val="none"/>
                <w:lang w:eastAsia="zh-CN"/>
              </w:rPr>
            </w:pPr>
            <w:r>
              <w:rPr>
                <w:rFonts w:ascii="Times New Roman" w:hAnsi="Times New Roman" w:eastAsia="Times New Roman" w:cs="Times New Roman"/>
                <w:color w:val="auto"/>
                <w:kern w:val="2"/>
                <w:szCs w:val="22"/>
                <w:highlight w:val="none"/>
                <w:lang w:eastAsia="zh-CN"/>
              </w:rPr>
              <w:t>d.</w:t>
            </w:r>
            <w:r>
              <w:rPr>
                <w:rFonts w:hint="eastAsia" w:ascii="Times New Roman" w:hAnsi="Times New Roman" w:eastAsia="宋体" w:cs="Times New Roman"/>
                <w:color w:val="auto"/>
                <w:spacing w:val="-4"/>
                <w:kern w:val="2"/>
                <w:szCs w:val="22"/>
                <w:highlight w:val="none"/>
                <w:lang w:eastAsia="zh-CN"/>
              </w:rPr>
              <w:t>投标人对合同纠纷、事故处理办法未提出异议；</w:t>
            </w:r>
          </w:p>
          <w:p>
            <w:pPr>
              <w:widowControl w:val="0"/>
              <w:spacing w:line="264" w:lineRule="auto"/>
              <w:ind w:left="524" w:right="1480"/>
              <w:jc w:val="both"/>
              <w:rPr>
                <w:rFonts w:ascii="Times New Roman" w:hAnsi="Times New Roman" w:eastAsia="宋体" w:cs="Times New Roman"/>
                <w:color w:val="auto"/>
                <w:kern w:val="2"/>
                <w:szCs w:val="22"/>
                <w:highlight w:val="none"/>
                <w:lang w:eastAsia="zh-CN"/>
              </w:rPr>
            </w:pPr>
            <w:r>
              <w:rPr>
                <w:rFonts w:ascii="Times New Roman" w:hAnsi="Times New Roman" w:eastAsia="Times New Roman" w:cs="Times New Roman"/>
                <w:color w:val="auto"/>
                <w:kern w:val="2"/>
                <w:szCs w:val="22"/>
                <w:highlight w:val="none"/>
                <w:lang w:eastAsia="zh-CN"/>
              </w:rPr>
              <w:t>e.</w:t>
            </w:r>
            <w:r>
              <w:rPr>
                <w:rFonts w:hint="eastAsia" w:ascii="Times New Roman" w:hAnsi="Times New Roman" w:eastAsia="宋体" w:cs="Times New Roman"/>
                <w:color w:val="auto"/>
                <w:spacing w:val="-3"/>
                <w:kern w:val="2"/>
                <w:szCs w:val="22"/>
                <w:highlight w:val="none"/>
                <w:lang w:eastAsia="zh-CN"/>
              </w:rPr>
              <w:t>投标人在投标活动中无欺诈行为；</w:t>
            </w:r>
          </w:p>
          <w:p>
            <w:pPr>
              <w:widowControl w:val="0"/>
              <w:spacing w:line="264" w:lineRule="auto"/>
              <w:ind w:left="524"/>
              <w:jc w:val="both"/>
              <w:rPr>
                <w:rFonts w:ascii="Times New Roman" w:hAnsi="Times New Roman" w:eastAsia="宋体" w:cs="Times New Roman"/>
                <w:color w:val="auto"/>
                <w:kern w:val="2"/>
                <w:szCs w:val="22"/>
                <w:highlight w:val="none"/>
                <w:lang w:eastAsia="zh-CN"/>
              </w:rPr>
            </w:pPr>
            <w:r>
              <w:rPr>
                <w:rFonts w:ascii="Times New Roman" w:hAnsi="Times New Roman" w:eastAsia="Times New Roman" w:cs="Times New Roman"/>
                <w:color w:val="auto"/>
                <w:spacing w:val="-1"/>
                <w:kern w:val="2"/>
                <w:szCs w:val="22"/>
                <w:highlight w:val="none"/>
                <w:lang w:eastAsia="zh-CN"/>
              </w:rPr>
              <w:t>f.</w:t>
            </w:r>
            <w:r>
              <w:rPr>
                <w:rFonts w:hint="eastAsia" w:ascii="Times New Roman" w:hAnsi="Times New Roman" w:eastAsia="宋体" w:cs="Times New Roman"/>
                <w:color w:val="auto"/>
                <w:spacing w:val="-3"/>
                <w:kern w:val="2"/>
                <w:szCs w:val="22"/>
                <w:highlight w:val="none"/>
                <w:lang w:eastAsia="zh-CN"/>
              </w:rPr>
              <w:t>投标人未对合同条款有重要保留。</w:t>
            </w:r>
          </w:p>
          <w:p>
            <w:pPr>
              <w:widowControl w:val="0"/>
              <w:spacing w:before="71" w:line="264" w:lineRule="auto"/>
              <w:ind w:right="96" w:firstLine="210" w:firstLineChars="100"/>
              <w:jc w:val="both"/>
              <w:rPr>
                <w:rFonts w:ascii="Times New Roman" w:hAnsi="Times New Roman" w:eastAsia="宋体" w:cs="Times New Roman"/>
                <w:color w:val="auto"/>
                <w:kern w:val="2"/>
                <w:szCs w:val="22"/>
                <w:highlight w:val="none"/>
                <w:lang w:eastAsia="zh-CN"/>
              </w:rPr>
            </w:pPr>
            <w:r>
              <w:rPr>
                <w:rFonts w:hint="eastAsia" w:ascii="Times New Roman" w:hAnsi="Times New Roman" w:eastAsia="宋体" w:cs="Times New Roman"/>
                <w:color w:val="auto"/>
                <w:kern w:val="2"/>
                <w:szCs w:val="22"/>
                <w:highlight w:val="none"/>
                <w:lang w:eastAsia="zh-CN"/>
              </w:rPr>
              <w:t>（</w:t>
            </w:r>
            <w:r>
              <w:rPr>
                <w:rFonts w:ascii="Times New Roman" w:hAnsi="Times New Roman" w:eastAsia="宋体" w:cs="Times New Roman"/>
                <w:color w:val="auto"/>
                <w:kern w:val="2"/>
                <w:szCs w:val="22"/>
                <w:highlight w:val="none"/>
                <w:lang w:eastAsia="zh-CN"/>
              </w:rPr>
              <w:t>13</w:t>
            </w:r>
            <w:r>
              <w:rPr>
                <w:rFonts w:hint="eastAsia" w:ascii="Times New Roman" w:hAnsi="Times New Roman" w:eastAsia="宋体" w:cs="Times New Roman"/>
                <w:color w:val="auto"/>
                <w:kern w:val="2"/>
                <w:szCs w:val="22"/>
                <w:highlight w:val="none"/>
                <w:lang w:eastAsia="zh-CN"/>
              </w:rPr>
              <w:t>）投标文件份数符合招标文件第二章</w:t>
            </w:r>
            <w:r>
              <w:rPr>
                <w:rFonts w:ascii="Times New Roman" w:hAnsi="Times New Roman" w:eastAsia="宋体" w:cs="Times New Roman"/>
                <w:color w:val="auto"/>
                <w:kern w:val="2"/>
                <w:szCs w:val="22"/>
                <w:highlight w:val="none"/>
                <w:lang w:eastAsia="zh-CN"/>
              </w:rPr>
              <w:t>“</w:t>
            </w:r>
            <w:r>
              <w:rPr>
                <w:rFonts w:hint="eastAsia" w:ascii="Times New Roman" w:hAnsi="Times New Roman" w:eastAsia="宋体" w:cs="Times New Roman"/>
                <w:color w:val="auto"/>
                <w:kern w:val="2"/>
                <w:szCs w:val="22"/>
                <w:highlight w:val="none"/>
                <w:lang w:eastAsia="zh-CN"/>
              </w:rPr>
              <w:t>投标人须知</w:t>
            </w:r>
            <w:r>
              <w:rPr>
                <w:rFonts w:ascii="Times New Roman" w:hAnsi="Times New Roman" w:eastAsia="宋体" w:cs="Times New Roman"/>
                <w:color w:val="auto"/>
                <w:kern w:val="2"/>
                <w:szCs w:val="22"/>
                <w:highlight w:val="none"/>
                <w:lang w:eastAsia="zh-CN"/>
              </w:rPr>
              <w:t xml:space="preserve">” </w:t>
            </w:r>
            <w:r>
              <w:rPr>
                <w:rFonts w:hint="eastAsia" w:ascii="Times New Roman" w:hAnsi="Times New Roman" w:eastAsia="宋体" w:cs="Times New Roman"/>
                <w:color w:val="auto"/>
                <w:kern w:val="2"/>
                <w:szCs w:val="22"/>
                <w:highlight w:val="none"/>
                <w:lang w:eastAsia="zh-CN"/>
              </w:rPr>
              <w:t>第</w:t>
            </w:r>
            <w:r>
              <w:rPr>
                <w:rFonts w:ascii="Times New Roman" w:hAnsi="Times New Roman" w:eastAsia="宋体" w:cs="Times New Roman"/>
                <w:color w:val="auto"/>
                <w:kern w:val="2"/>
                <w:szCs w:val="22"/>
                <w:highlight w:val="none"/>
                <w:lang w:eastAsia="zh-CN"/>
              </w:rPr>
              <w:t xml:space="preserve"> 3.7.4 </w:t>
            </w:r>
            <w:r>
              <w:rPr>
                <w:rFonts w:hint="eastAsia" w:ascii="Times New Roman" w:hAnsi="Times New Roman" w:eastAsia="宋体" w:cs="Times New Roman"/>
                <w:color w:val="auto"/>
                <w:kern w:val="2"/>
                <w:szCs w:val="22"/>
                <w:highlight w:val="none"/>
                <w:lang w:eastAsia="zh-CN"/>
              </w:rPr>
              <w:t>项规定。</w:t>
            </w:r>
          </w:p>
          <w:p>
            <w:pPr>
              <w:pStyle w:val="6"/>
              <w:ind w:firstLine="210" w:firstLineChars="100"/>
              <w:rPr>
                <w:rFonts w:ascii="Times New Roman" w:hAnsi="Times New Roman" w:cs="Times New Roman"/>
                <w:color w:val="auto"/>
                <w:kern w:val="2"/>
                <w:szCs w:val="22"/>
                <w:highlight w:val="none"/>
                <w:lang w:eastAsia="zh-CN"/>
              </w:rPr>
            </w:pPr>
            <w:r>
              <w:rPr>
                <w:rFonts w:hint="eastAsia" w:ascii="Times New Roman" w:hAnsi="Times New Roman" w:cs="Times New Roman"/>
                <w:color w:val="auto"/>
                <w:kern w:val="2"/>
                <w:szCs w:val="22"/>
                <w:highlight w:val="none"/>
                <w:lang w:eastAsia="zh-CN"/>
              </w:rPr>
              <w:t>（14）投标人告知承诺函符合招标文件“第六章投标文件格式”规定</w:t>
            </w:r>
          </w:p>
          <w:p>
            <w:pPr>
              <w:widowControl w:val="0"/>
              <w:spacing w:before="152" w:line="264" w:lineRule="auto"/>
              <w:ind w:left="527"/>
              <w:jc w:val="both"/>
              <w:rPr>
                <w:rFonts w:ascii="Times New Roman" w:hAnsi="Times New Roman" w:eastAsia="宋体" w:cs="Times New Roman"/>
                <w:b/>
                <w:color w:val="auto"/>
                <w:kern w:val="2"/>
                <w:szCs w:val="22"/>
                <w:highlight w:val="none"/>
                <w:lang w:eastAsia="zh-CN"/>
              </w:rPr>
            </w:pPr>
            <w:r>
              <w:rPr>
                <w:rFonts w:hint="eastAsia" w:ascii="Times New Roman" w:hAnsi="Times New Roman" w:eastAsia="宋体" w:cs="Times New Roman"/>
                <w:b/>
                <w:color w:val="auto"/>
                <w:kern w:val="2"/>
                <w:szCs w:val="22"/>
                <w:highlight w:val="none"/>
                <w:lang w:eastAsia="zh-CN"/>
              </w:rPr>
              <w:t>第二个信封（报价文件）评审标准：</w:t>
            </w:r>
          </w:p>
          <w:p>
            <w:pPr>
              <w:widowControl w:val="0"/>
              <w:spacing w:before="72" w:line="264" w:lineRule="auto"/>
              <w:ind w:right="95" w:firstLine="210" w:firstLineChars="100"/>
              <w:jc w:val="both"/>
              <w:rPr>
                <w:rFonts w:ascii="Times New Roman" w:hAnsi="Times New Roman" w:eastAsia="宋体" w:cs="Times New Roman"/>
                <w:color w:val="auto"/>
                <w:kern w:val="2"/>
                <w:szCs w:val="22"/>
                <w:highlight w:val="none"/>
                <w:lang w:eastAsia="zh-CN"/>
              </w:rPr>
            </w:pPr>
            <w:r>
              <w:rPr>
                <w:rFonts w:hint="eastAsia" w:ascii="Times New Roman" w:hAnsi="Times New Roman" w:eastAsia="宋体" w:cs="Times New Roman"/>
                <w:color w:val="auto"/>
                <w:kern w:val="2"/>
                <w:szCs w:val="22"/>
                <w:highlight w:val="none"/>
                <w:lang w:eastAsia="zh-CN"/>
              </w:rPr>
              <w:t>（</w:t>
            </w:r>
            <w:r>
              <w:rPr>
                <w:rFonts w:ascii="Times New Roman" w:hAnsi="Times New Roman" w:eastAsia="Times New Roman" w:cs="Times New Roman"/>
                <w:color w:val="auto"/>
                <w:kern w:val="2"/>
                <w:szCs w:val="22"/>
                <w:highlight w:val="none"/>
                <w:lang w:eastAsia="zh-CN"/>
              </w:rPr>
              <w:t>1</w:t>
            </w:r>
            <w:r>
              <w:rPr>
                <w:rFonts w:hint="eastAsia" w:ascii="Times New Roman" w:hAnsi="Times New Roman" w:eastAsia="宋体" w:cs="Times New Roman"/>
                <w:color w:val="auto"/>
                <w:kern w:val="2"/>
                <w:szCs w:val="22"/>
                <w:highlight w:val="none"/>
                <w:lang w:eastAsia="zh-CN"/>
              </w:rPr>
              <w:t>）投标文件按照招标文件规定的格式、内容填写，字迹清晰可辨，内容齐全完整：</w:t>
            </w:r>
          </w:p>
          <w:p>
            <w:pPr>
              <w:widowControl w:val="0"/>
              <w:numPr>
                <w:ilvl w:val="0"/>
                <w:numId w:val="4"/>
              </w:numPr>
              <w:tabs>
                <w:tab w:val="left" w:pos="673"/>
              </w:tabs>
              <w:spacing w:line="264" w:lineRule="auto"/>
              <w:ind w:right="97" w:firstLine="420"/>
              <w:jc w:val="both"/>
              <w:rPr>
                <w:rFonts w:ascii="Times New Roman" w:hAnsi="Times New Roman" w:eastAsia="宋体" w:cs="Times New Roman"/>
                <w:color w:val="auto"/>
                <w:kern w:val="2"/>
                <w:szCs w:val="22"/>
                <w:highlight w:val="none"/>
                <w:lang w:eastAsia="zh-CN"/>
              </w:rPr>
            </w:pPr>
            <w:r>
              <w:rPr>
                <w:rFonts w:hint="eastAsia" w:ascii="Times New Roman" w:hAnsi="Times New Roman" w:eastAsia="宋体" w:cs="Times New Roman"/>
                <w:color w:val="auto"/>
                <w:spacing w:val="-15"/>
                <w:kern w:val="2"/>
                <w:szCs w:val="22"/>
                <w:highlight w:val="none"/>
                <w:lang w:eastAsia="zh-CN"/>
              </w:rPr>
              <w:t>投标函按招标文件规定填报了项目名称、标段号、补遗书编号</w:t>
            </w:r>
            <w:r>
              <w:rPr>
                <w:rFonts w:hint="eastAsia" w:ascii="Times New Roman" w:hAnsi="Times New Roman" w:eastAsia="宋体" w:cs="Times New Roman"/>
                <w:color w:val="auto"/>
                <w:spacing w:val="-3"/>
                <w:kern w:val="2"/>
                <w:szCs w:val="22"/>
                <w:highlight w:val="none"/>
                <w:lang w:eastAsia="zh-CN"/>
              </w:rPr>
              <w:t>（</w:t>
            </w:r>
            <w:r>
              <w:rPr>
                <w:rFonts w:hint="eastAsia" w:ascii="Times New Roman" w:hAnsi="Times New Roman" w:eastAsia="宋体" w:cs="Times New Roman"/>
                <w:color w:val="auto"/>
                <w:kern w:val="2"/>
                <w:szCs w:val="22"/>
                <w:highlight w:val="none"/>
                <w:lang w:eastAsia="zh-CN"/>
              </w:rPr>
              <w:t>如有</w:t>
            </w:r>
            <w:r>
              <w:rPr>
                <w:rFonts w:hint="eastAsia" w:ascii="Times New Roman" w:hAnsi="Times New Roman" w:eastAsia="宋体" w:cs="Times New Roman"/>
                <w:color w:val="auto"/>
                <w:spacing w:val="-106"/>
                <w:kern w:val="2"/>
                <w:szCs w:val="22"/>
                <w:highlight w:val="none"/>
                <w:lang w:eastAsia="zh-CN"/>
              </w:rPr>
              <w:t>）</w:t>
            </w:r>
            <w:r>
              <w:rPr>
                <w:rFonts w:hint="eastAsia" w:ascii="Times New Roman" w:hAnsi="Times New Roman" w:eastAsia="宋体" w:cs="Times New Roman"/>
                <w:color w:val="auto"/>
                <w:spacing w:val="-3"/>
                <w:kern w:val="2"/>
                <w:szCs w:val="22"/>
                <w:highlight w:val="none"/>
                <w:lang w:eastAsia="zh-CN"/>
              </w:rPr>
              <w:t>、投标价（包括大写金额和小写金额</w:t>
            </w:r>
            <w:r>
              <w:rPr>
                <w:rFonts w:hint="eastAsia" w:ascii="Times New Roman" w:hAnsi="Times New Roman" w:eastAsia="宋体" w:cs="Times New Roman"/>
                <w:color w:val="auto"/>
                <w:spacing w:val="-109"/>
                <w:kern w:val="2"/>
                <w:szCs w:val="22"/>
                <w:highlight w:val="none"/>
                <w:lang w:eastAsia="zh-CN"/>
              </w:rPr>
              <w:t>）</w:t>
            </w:r>
            <w:r>
              <w:rPr>
                <w:rFonts w:hint="eastAsia" w:ascii="Times New Roman" w:hAnsi="Times New Roman" w:eastAsia="宋体" w:cs="Times New Roman"/>
                <w:color w:val="auto"/>
                <w:kern w:val="2"/>
                <w:szCs w:val="22"/>
                <w:highlight w:val="none"/>
                <w:lang w:eastAsia="zh-CN"/>
              </w:rPr>
              <w:t>；</w:t>
            </w:r>
          </w:p>
          <w:p>
            <w:pPr>
              <w:widowControl w:val="0"/>
              <w:numPr>
                <w:ilvl w:val="0"/>
                <w:numId w:val="4"/>
              </w:numPr>
              <w:tabs>
                <w:tab w:val="left" w:pos="685"/>
              </w:tabs>
              <w:spacing w:line="264" w:lineRule="auto"/>
              <w:ind w:right="95" w:firstLine="420"/>
              <w:jc w:val="both"/>
              <w:rPr>
                <w:rFonts w:ascii="Times New Roman" w:hAnsi="Times New Roman" w:eastAsia="宋体" w:cs="Times New Roman"/>
                <w:color w:val="auto"/>
                <w:kern w:val="2"/>
                <w:szCs w:val="22"/>
                <w:highlight w:val="none"/>
                <w:lang w:eastAsia="zh-CN"/>
              </w:rPr>
            </w:pPr>
            <w:r>
              <w:rPr>
                <w:rFonts w:hint="eastAsia" w:ascii="Times New Roman" w:hAnsi="Times New Roman" w:eastAsia="宋体" w:cs="Times New Roman"/>
                <w:color w:val="auto"/>
                <w:spacing w:val="-6"/>
                <w:kern w:val="2"/>
                <w:szCs w:val="22"/>
                <w:highlight w:val="none"/>
                <w:lang w:eastAsia="zh-CN"/>
              </w:rPr>
              <w:t>已标价报价清单说明文字与招标文件规定一致，未进行实质性修</w:t>
            </w:r>
            <w:r>
              <w:rPr>
                <w:rFonts w:hint="eastAsia" w:ascii="Times New Roman" w:hAnsi="Times New Roman" w:eastAsia="宋体" w:cs="Times New Roman"/>
                <w:color w:val="auto"/>
                <w:spacing w:val="-4"/>
                <w:kern w:val="2"/>
                <w:szCs w:val="22"/>
                <w:highlight w:val="none"/>
                <w:lang w:eastAsia="zh-CN"/>
              </w:rPr>
              <w:t>改和删减；</w:t>
            </w:r>
          </w:p>
          <w:p>
            <w:pPr>
              <w:widowControl w:val="0"/>
              <w:numPr>
                <w:ilvl w:val="0"/>
                <w:numId w:val="4"/>
              </w:numPr>
              <w:tabs>
                <w:tab w:val="left" w:pos="673"/>
              </w:tabs>
              <w:spacing w:line="264" w:lineRule="auto"/>
              <w:ind w:left="672" w:hanging="149"/>
              <w:jc w:val="both"/>
              <w:rPr>
                <w:rFonts w:ascii="Times New Roman" w:hAnsi="Times New Roman" w:eastAsia="宋体" w:cs="Times New Roman"/>
                <w:color w:val="auto"/>
                <w:kern w:val="2"/>
                <w:szCs w:val="22"/>
                <w:highlight w:val="none"/>
                <w:lang w:eastAsia="zh-CN"/>
              </w:rPr>
            </w:pPr>
            <w:r>
              <w:rPr>
                <w:rFonts w:hint="eastAsia" w:ascii="Times New Roman" w:hAnsi="Times New Roman" w:eastAsia="宋体" w:cs="Times New Roman"/>
                <w:color w:val="auto"/>
                <w:spacing w:val="-3"/>
                <w:kern w:val="2"/>
                <w:szCs w:val="22"/>
                <w:highlight w:val="none"/>
                <w:lang w:eastAsia="zh-CN"/>
              </w:rPr>
              <w:t>投标文件组成齐全完整，内容均按规定填写。</w:t>
            </w:r>
          </w:p>
          <w:p>
            <w:pPr>
              <w:widowControl w:val="0"/>
              <w:tabs>
                <w:tab w:val="left" w:pos="1054"/>
              </w:tabs>
              <w:spacing w:before="68" w:line="264" w:lineRule="auto"/>
              <w:ind w:right="95" w:firstLine="204" w:firstLineChars="100"/>
              <w:jc w:val="both"/>
              <w:rPr>
                <w:rFonts w:ascii="Times New Roman" w:hAnsi="Times New Roman" w:eastAsia="宋体" w:cs="Times New Roman"/>
                <w:color w:val="auto"/>
                <w:kern w:val="2"/>
                <w:szCs w:val="22"/>
                <w:highlight w:val="none"/>
                <w:lang w:eastAsia="zh-CN"/>
              </w:rPr>
            </w:pPr>
            <w:r>
              <w:rPr>
                <w:rFonts w:hint="eastAsia" w:ascii="Times New Roman" w:hAnsi="Times New Roman" w:eastAsia="宋体" w:cs="Times New Roman"/>
                <w:color w:val="auto"/>
                <w:spacing w:val="-3"/>
                <w:kern w:val="2"/>
                <w:szCs w:val="22"/>
                <w:highlight w:val="none"/>
                <w:lang w:eastAsia="zh-CN"/>
              </w:rPr>
              <w:t>（2）投标文件上法定代表人或其委托代理人的签字、投标人的单位章盖章齐全，符合招标文件规定。</w:t>
            </w:r>
          </w:p>
          <w:p>
            <w:pPr>
              <w:widowControl w:val="0"/>
              <w:tabs>
                <w:tab w:val="left" w:pos="1054"/>
              </w:tabs>
              <w:spacing w:before="1" w:line="264" w:lineRule="auto"/>
              <w:ind w:firstLine="204" w:firstLineChars="100"/>
              <w:jc w:val="both"/>
              <w:rPr>
                <w:rFonts w:ascii="Times New Roman" w:hAnsi="Times New Roman" w:eastAsia="宋体" w:cs="Times New Roman"/>
                <w:color w:val="auto"/>
                <w:kern w:val="2"/>
                <w:szCs w:val="22"/>
                <w:highlight w:val="none"/>
                <w:lang w:eastAsia="zh-CN"/>
              </w:rPr>
            </w:pPr>
            <w:r>
              <w:rPr>
                <w:rFonts w:hint="eastAsia" w:ascii="Times New Roman" w:hAnsi="Times New Roman" w:eastAsia="宋体" w:cs="Times New Roman"/>
                <w:color w:val="auto"/>
                <w:spacing w:val="-3"/>
                <w:kern w:val="2"/>
                <w:szCs w:val="22"/>
                <w:highlight w:val="none"/>
                <w:lang w:eastAsia="zh-CN"/>
              </w:rPr>
              <w:t>（3）投标报价未超过招标文件设定的最高投标限价</w:t>
            </w:r>
            <w:r>
              <w:rPr>
                <w:rFonts w:hint="eastAsia" w:ascii="Times New Roman" w:hAnsi="Times New Roman" w:eastAsia="宋体" w:cs="Times New Roman"/>
                <w:color w:val="auto"/>
                <w:kern w:val="2"/>
                <w:szCs w:val="22"/>
                <w:highlight w:val="none"/>
                <w:lang w:eastAsia="zh-CN"/>
              </w:rPr>
              <w:t>（</w:t>
            </w:r>
            <w:r>
              <w:rPr>
                <w:rFonts w:hint="eastAsia" w:ascii="Times New Roman" w:hAnsi="Times New Roman" w:eastAsia="宋体" w:cs="Times New Roman"/>
                <w:color w:val="auto"/>
                <w:spacing w:val="-2"/>
                <w:kern w:val="2"/>
                <w:szCs w:val="22"/>
                <w:highlight w:val="none"/>
                <w:lang w:eastAsia="zh-CN"/>
              </w:rPr>
              <w:t>如有</w:t>
            </w:r>
            <w:r>
              <w:rPr>
                <w:rFonts w:hint="eastAsia" w:ascii="Times New Roman" w:hAnsi="Times New Roman" w:eastAsia="宋体" w:cs="Times New Roman"/>
                <w:color w:val="auto"/>
                <w:spacing w:val="-106"/>
                <w:kern w:val="2"/>
                <w:szCs w:val="22"/>
                <w:highlight w:val="none"/>
                <w:lang w:eastAsia="zh-CN"/>
              </w:rPr>
              <w:t>）</w:t>
            </w:r>
            <w:r>
              <w:rPr>
                <w:rFonts w:hint="eastAsia" w:ascii="Times New Roman" w:hAnsi="Times New Roman" w:eastAsia="宋体" w:cs="Times New Roman"/>
                <w:color w:val="auto"/>
                <w:kern w:val="2"/>
                <w:szCs w:val="22"/>
                <w:highlight w:val="none"/>
                <w:lang w:eastAsia="zh-CN"/>
              </w:rPr>
              <w:t>。</w:t>
            </w:r>
          </w:p>
          <w:p>
            <w:pPr>
              <w:widowControl w:val="0"/>
              <w:tabs>
                <w:tab w:val="left" w:pos="1054"/>
              </w:tabs>
              <w:spacing w:before="72" w:line="264" w:lineRule="auto"/>
              <w:ind w:firstLine="204" w:firstLineChars="100"/>
              <w:jc w:val="both"/>
              <w:rPr>
                <w:rFonts w:ascii="Times New Roman" w:hAnsi="Times New Roman" w:eastAsia="宋体" w:cs="Times New Roman"/>
                <w:color w:val="auto"/>
                <w:kern w:val="2"/>
                <w:szCs w:val="22"/>
                <w:highlight w:val="none"/>
                <w:lang w:eastAsia="zh-CN"/>
              </w:rPr>
            </w:pPr>
            <w:r>
              <w:rPr>
                <w:rFonts w:hint="eastAsia" w:ascii="Times New Roman" w:hAnsi="Times New Roman" w:eastAsia="宋体" w:cs="Times New Roman"/>
                <w:color w:val="auto"/>
                <w:spacing w:val="-3"/>
                <w:kern w:val="2"/>
                <w:szCs w:val="22"/>
                <w:highlight w:val="none"/>
                <w:lang w:eastAsia="zh-CN"/>
              </w:rPr>
              <w:t>（4）投标报价的大写金额能够确定具体数值。</w:t>
            </w:r>
          </w:p>
          <w:p>
            <w:pPr>
              <w:widowControl w:val="0"/>
              <w:tabs>
                <w:tab w:val="left" w:pos="1054"/>
              </w:tabs>
              <w:spacing w:before="69" w:line="264" w:lineRule="auto"/>
              <w:ind w:right="95" w:firstLine="204" w:firstLineChars="100"/>
              <w:jc w:val="both"/>
              <w:rPr>
                <w:rFonts w:ascii="Times New Roman" w:hAnsi="Times New Roman" w:eastAsia="宋体" w:cs="Times New Roman"/>
                <w:color w:val="auto"/>
                <w:kern w:val="2"/>
                <w:szCs w:val="22"/>
                <w:highlight w:val="none"/>
                <w:lang w:eastAsia="zh-CN"/>
              </w:rPr>
            </w:pPr>
            <w:r>
              <w:rPr>
                <w:rFonts w:hint="eastAsia" w:ascii="Times New Roman" w:hAnsi="Times New Roman" w:eastAsia="宋体" w:cs="Times New Roman"/>
                <w:color w:val="auto"/>
                <w:spacing w:val="-3"/>
                <w:kern w:val="2"/>
                <w:szCs w:val="22"/>
                <w:highlight w:val="none"/>
                <w:lang w:eastAsia="zh-CN"/>
              </w:rPr>
              <w:t>（5）同一投标人未提交两个以上不同的投标报价，但招标文件要求提交备选投标的除外。</w:t>
            </w:r>
          </w:p>
          <w:p>
            <w:pPr>
              <w:pStyle w:val="10"/>
              <w:spacing w:before="83" w:line="277" w:lineRule="auto"/>
              <w:ind w:left="113" w:right="39" w:firstLine="429"/>
              <w:jc w:val="both"/>
              <w:rPr>
                <w:spacing w:val="6"/>
                <w:sz w:val="20"/>
                <w:szCs w:val="20"/>
                <w:highlight w:val="none"/>
                <w:lang w:eastAsia="zh-CN"/>
              </w:rPr>
            </w:pPr>
            <w:r>
              <w:rPr>
                <w:rFonts w:hint="eastAsia" w:ascii="Times New Roman" w:hAnsi="Times New Roman" w:cs="Times New Roman"/>
                <w:color w:val="auto"/>
                <w:spacing w:val="-1"/>
                <w:kern w:val="2"/>
                <w:sz w:val="21"/>
                <w:highlight w:val="none"/>
                <w:lang w:eastAsia="zh-CN"/>
              </w:rPr>
              <w:t>（6）投标文件份数符合招标文件第二章</w:t>
            </w:r>
            <w:r>
              <w:rPr>
                <w:rFonts w:ascii="Times New Roman" w:hAnsi="Times New Roman" w:cs="Times New Roman"/>
                <w:color w:val="auto"/>
                <w:kern w:val="2"/>
                <w:sz w:val="21"/>
                <w:highlight w:val="none"/>
                <w:lang w:eastAsia="zh-CN"/>
              </w:rPr>
              <w:t>“</w:t>
            </w:r>
            <w:r>
              <w:rPr>
                <w:rFonts w:hint="eastAsia" w:ascii="Times New Roman" w:hAnsi="Times New Roman" w:cs="Times New Roman"/>
                <w:color w:val="auto"/>
                <w:spacing w:val="-2"/>
                <w:kern w:val="2"/>
                <w:sz w:val="21"/>
                <w:highlight w:val="none"/>
                <w:lang w:eastAsia="zh-CN"/>
              </w:rPr>
              <w:t>投标人须知</w:t>
            </w:r>
            <w:r>
              <w:rPr>
                <w:rFonts w:ascii="Times New Roman" w:hAnsi="Times New Roman" w:cs="Times New Roman"/>
                <w:color w:val="auto"/>
                <w:kern w:val="2"/>
                <w:sz w:val="21"/>
                <w:highlight w:val="none"/>
                <w:lang w:eastAsia="zh-CN"/>
              </w:rPr>
              <w:t>”</w:t>
            </w:r>
            <w:r>
              <w:rPr>
                <w:rFonts w:hint="eastAsia" w:ascii="Times New Roman" w:hAnsi="Times New Roman" w:cs="Times New Roman"/>
                <w:color w:val="auto"/>
                <w:kern w:val="2"/>
                <w:sz w:val="21"/>
                <w:highlight w:val="none"/>
                <w:lang w:eastAsia="zh-CN"/>
              </w:rPr>
              <w:t>第</w:t>
            </w:r>
            <w:r>
              <w:rPr>
                <w:rFonts w:ascii="Times New Roman" w:hAnsi="Times New Roman" w:eastAsia="Times New Roman" w:cs="Times New Roman"/>
                <w:color w:val="auto"/>
                <w:kern w:val="2"/>
                <w:sz w:val="21"/>
                <w:highlight w:val="none"/>
                <w:lang w:eastAsia="zh-CN"/>
              </w:rPr>
              <w:t xml:space="preserve">3.7.4 </w:t>
            </w:r>
            <w:r>
              <w:rPr>
                <w:rFonts w:hint="eastAsia" w:ascii="Times New Roman" w:hAnsi="Times New Roman" w:cs="Times New Roman"/>
                <w:color w:val="auto"/>
                <w:kern w:val="2"/>
                <w:sz w:val="21"/>
                <w:highlight w:val="none"/>
                <w:lang w:eastAsia="zh-CN"/>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6" w:hRule="atLeast"/>
          <w:jc w:val="center"/>
        </w:trPr>
        <w:tc>
          <w:tcPr>
            <w:tcW w:w="880" w:type="dxa"/>
            <w:vAlign w:val="center"/>
          </w:tcPr>
          <w:p>
            <w:pPr>
              <w:pStyle w:val="10"/>
              <w:spacing w:line="189" w:lineRule="auto"/>
              <w:jc w:val="center"/>
              <w:rPr>
                <w:spacing w:val="2"/>
                <w:sz w:val="20"/>
                <w:szCs w:val="20"/>
                <w:highlight w:val="none"/>
              </w:rPr>
            </w:pPr>
            <w:r>
              <w:rPr>
                <w:spacing w:val="2"/>
                <w:sz w:val="20"/>
                <w:szCs w:val="20"/>
                <w:highlight w:val="none"/>
              </w:rPr>
              <w:t>2.1.2</w:t>
            </w:r>
          </w:p>
        </w:tc>
        <w:tc>
          <w:tcPr>
            <w:tcW w:w="1530" w:type="dxa"/>
            <w:tcBorders>
              <w:right w:val="single" w:color="000000" w:sz="4" w:space="0"/>
            </w:tcBorders>
            <w:vAlign w:val="center"/>
          </w:tcPr>
          <w:p>
            <w:pPr>
              <w:pStyle w:val="10"/>
              <w:spacing w:before="53" w:line="228" w:lineRule="auto"/>
              <w:jc w:val="center"/>
              <w:rPr>
                <w:spacing w:val="4"/>
                <w:sz w:val="20"/>
                <w:szCs w:val="20"/>
                <w:highlight w:val="none"/>
                <w:lang w:eastAsia="zh-CN"/>
              </w:rPr>
            </w:pPr>
            <w:r>
              <w:rPr>
                <w:spacing w:val="-3"/>
                <w:highlight w:val="none"/>
              </w:rPr>
              <w:t>资格评审标准</w:t>
            </w:r>
          </w:p>
        </w:tc>
        <w:tc>
          <w:tcPr>
            <w:tcW w:w="7029" w:type="dxa"/>
            <w:tcBorders>
              <w:left w:val="single" w:color="000000" w:sz="4" w:space="0"/>
            </w:tcBorders>
          </w:tcPr>
          <w:p>
            <w:pPr>
              <w:widowControl w:val="0"/>
              <w:numPr>
                <w:ilvl w:val="0"/>
                <w:numId w:val="5"/>
              </w:numPr>
              <w:tabs>
                <w:tab w:val="left" w:pos="1054"/>
              </w:tabs>
              <w:spacing w:before="68" w:line="302" w:lineRule="auto"/>
              <w:ind w:right="95" w:firstLine="420"/>
              <w:jc w:val="both"/>
              <w:rPr>
                <w:rFonts w:ascii="Times New Roman" w:hAnsi="Times New Roman" w:eastAsia="宋体" w:cs="Times New Roman"/>
                <w:color w:val="auto"/>
                <w:kern w:val="2"/>
                <w:szCs w:val="22"/>
                <w:highlight w:val="none"/>
                <w:lang w:eastAsia="zh-CN"/>
              </w:rPr>
            </w:pPr>
            <w:r>
              <w:rPr>
                <w:rFonts w:hint="eastAsia" w:ascii="Times New Roman" w:hAnsi="Times New Roman" w:eastAsia="宋体" w:cs="Times New Roman"/>
                <w:color w:val="auto"/>
                <w:spacing w:val="-3"/>
                <w:kern w:val="2"/>
                <w:szCs w:val="22"/>
                <w:highlight w:val="none"/>
                <w:lang w:eastAsia="zh-CN"/>
              </w:rPr>
              <w:t>投标人具备有效的营业执照、组织机构代码证、勘察资质证书、设计资质证书和基本账户开户许可证。</w:t>
            </w:r>
          </w:p>
          <w:p>
            <w:pPr>
              <w:widowControl w:val="0"/>
              <w:numPr>
                <w:ilvl w:val="0"/>
                <w:numId w:val="5"/>
              </w:numPr>
              <w:tabs>
                <w:tab w:val="left" w:pos="1054"/>
              </w:tabs>
              <w:spacing w:before="1"/>
              <w:ind w:left="1053" w:hanging="530"/>
              <w:jc w:val="both"/>
              <w:rPr>
                <w:rFonts w:ascii="Times New Roman" w:hAnsi="Times New Roman" w:eastAsia="宋体" w:cs="Times New Roman"/>
                <w:color w:val="auto"/>
                <w:kern w:val="2"/>
                <w:szCs w:val="22"/>
                <w:highlight w:val="none"/>
                <w:lang w:eastAsia="zh-CN"/>
              </w:rPr>
            </w:pPr>
            <w:r>
              <w:rPr>
                <w:rFonts w:hint="eastAsia" w:ascii="Times New Roman" w:hAnsi="Times New Roman" w:eastAsia="宋体" w:cs="Times New Roman"/>
                <w:color w:val="auto"/>
                <w:spacing w:val="-3"/>
                <w:kern w:val="2"/>
                <w:szCs w:val="22"/>
                <w:highlight w:val="none"/>
                <w:lang w:eastAsia="zh-CN"/>
              </w:rPr>
              <w:t>投标人的资质等级符合招标文件规定。</w:t>
            </w:r>
          </w:p>
          <w:p>
            <w:pPr>
              <w:widowControl w:val="0"/>
              <w:numPr>
                <w:ilvl w:val="0"/>
                <w:numId w:val="5"/>
              </w:numPr>
              <w:tabs>
                <w:tab w:val="left" w:pos="1054"/>
              </w:tabs>
              <w:spacing w:before="72"/>
              <w:ind w:left="1053" w:hanging="530"/>
              <w:jc w:val="both"/>
              <w:rPr>
                <w:rFonts w:ascii="Times New Roman" w:hAnsi="Times New Roman" w:eastAsia="宋体" w:cs="Times New Roman"/>
                <w:color w:val="auto"/>
                <w:kern w:val="2"/>
                <w:szCs w:val="22"/>
                <w:highlight w:val="none"/>
                <w:lang w:eastAsia="zh-CN"/>
              </w:rPr>
            </w:pPr>
            <w:r>
              <w:rPr>
                <w:rFonts w:hint="eastAsia" w:ascii="Times New Roman" w:hAnsi="Times New Roman" w:eastAsia="宋体" w:cs="Times New Roman"/>
                <w:color w:val="auto"/>
                <w:spacing w:val="-3"/>
                <w:kern w:val="2"/>
                <w:szCs w:val="22"/>
                <w:highlight w:val="none"/>
                <w:lang w:eastAsia="zh-CN"/>
              </w:rPr>
              <w:t>投标人的类似项目业绩符合招标文件规定。</w:t>
            </w:r>
          </w:p>
          <w:p>
            <w:pPr>
              <w:widowControl w:val="0"/>
              <w:numPr>
                <w:ilvl w:val="0"/>
                <w:numId w:val="5"/>
              </w:numPr>
              <w:tabs>
                <w:tab w:val="left" w:pos="1054"/>
              </w:tabs>
              <w:spacing w:before="69"/>
              <w:ind w:left="1053" w:hanging="530"/>
              <w:jc w:val="both"/>
              <w:rPr>
                <w:rFonts w:ascii="Times New Roman" w:hAnsi="Times New Roman" w:eastAsia="宋体" w:cs="Times New Roman"/>
                <w:color w:val="auto"/>
                <w:kern w:val="2"/>
                <w:szCs w:val="22"/>
                <w:highlight w:val="none"/>
                <w:lang w:eastAsia="zh-CN"/>
              </w:rPr>
            </w:pPr>
            <w:r>
              <w:rPr>
                <w:rFonts w:hint="eastAsia" w:ascii="Times New Roman" w:hAnsi="Times New Roman" w:eastAsia="宋体" w:cs="Times New Roman"/>
                <w:color w:val="auto"/>
                <w:spacing w:val="-3"/>
                <w:kern w:val="2"/>
                <w:szCs w:val="22"/>
                <w:highlight w:val="none"/>
                <w:lang w:eastAsia="zh-CN"/>
              </w:rPr>
              <w:t>投标人的</w:t>
            </w:r>
            <w:r>
              <w:rPr>
                <w:rFonts w:hint="eastAsia" w:ascii="Times New Roman" w:hAnsi="Times New Roman" w:cs="Times New Roman"/>
                <w:color w:val="auto"/>
                <w:spacing w:val="-3"/>
                <w:kern w:val="2"/>
                <w:szCs w:val="22"/>
                <w:highlight w:val="none"/>
                <w:lang w:eastAsia="zh-CN"/>
              </w:rPr>
              <w:t>财务</w:t>
            </w:r>
            <w:r>
              <w:rPr>
                <w:rFonts w:hint="eastAsia" w:ascii="Times New Roman" w:hAnsi="Times New Roman" w:eastAsia="宋体" w:cs="Times New Roman"/>
                <w:color w:val="auto"/>
                <w:spacing w:val="-3"/>
                <w:kern w:val="2"/>
                <w:szCs w:val="22"/>
                <w:highlight w:val="none"/>
                <w:lang w:eastAsia="zh-CN"/>
              </w:rPr>
              <w:t>符合招标文件规定。</w:t>
            </w:r>
          </w:p>
          <w:p>
            <w:pPr>
              <w:widowControl w:val="0"/>
              <w:numPr>
                <w:ilvl w:val="0"/>
                <w:numId w:val="5"/>
              </w:numPr>
              <w:tabs>
                <w:tab w:val="left" w:pos="1054"/>
              </w:tabs>
              <w:spacing w:before="72"/>
              <w:ind w:left="1053" w:hanging="530"/>
              <w:jc w:val="both"/>
              <w:rPr>
                <w:rFonts w:ascii="Times New Roman" w:hAnsi="Times New Roman" w:eastAsia="宋体" w:cs="Times New Roman"/>
                <w:color w:val="auto"/>
                <w:kern w:val="2"/>
                <w:szCs w:val="22"/>
                <w:highlight w:val="none"/>
                <w:lang w:eastAsia="zh-CN"/>
              </w:rPr>
            </w:pPr>
            <w:r>
              <w:rPr>
                <w:rFonts w:hint="eastAsia" w:ascii="Times New Roman" w:hAnsi="Times New Roman" w:eastAsia="宋体" w:cs="Times New Roman"/>
                <w:color w:val="auto"/>
                <w:spacing w:val="-3"/>
                <w:kern w:val="2"/>
                <w:szCs w:val="22"/>
                <w:highlight w:val="none"/>
                <w:lang w:eastAsia="zh-CN"/>
              </w:rPr>
              <w:t>投标人的项目负责人及分项负责人资格符合招标文件规定。</w:t>
            </w:r>
          </w:p>
          <w:p>
            <w:pPr>
              <w:widowControl w:val="0"/>
              <w:numPr>
                <w:ilvl w:val="0"/>
                <w:numId w:val="5"/>
              </w:numPr>
              <w:tabs>
                <w:tab w:val="left" w:pos="1054"/>
              </w:tabs>
              <w:spacing w:before="72"/>
              <w:ind w:left="1053" w:hanging="530"/>
              <w:jc w:val="both"/>
              <w:rPr>
                <w:rFonts w:ascii="Times New Roman" w:hAnsi="Times New Roman" w:eastAsia="宋体" w:cs="Times New Roman"/>
                <w:color w:val="auto"/>
                <w:kern w:val="2"/>
                <w:sz w:val="11"/>
                <w:szCs w:val="22"/>
                <w:highlight w:val="none"/>
                <w:lang w:eastAsia="zh-CN"/>
              </w:rPr>
            </w:pPr>
            <w:r>
              <w:rPr>
                <w:rFonts w:hint="eastAsia" w:ascii="Times New Roman" w:hAnsi="Times New Roman" w:eastAsia="宋体" w:cs="Times New Roman"/>
                <w:color w:val="auto"/>
                <w:spacing w:val="-3"/>
                <w:kern w:val="2"/>
                <w:szCs w:val="22"/>
                <w:highlight w:val="none"/>
                <w:lang w:eastAsia="zh-CN"/>
              </w:rPr>
              <w:t>投标人的其他要求符合招标文件规定。</w:t>
            </w:r>
          </w:p>
          <w:p>
            <w:pPr>
              <w:widowControl w:val="0"/>
              <w:numPr>
                <w:ilvl w:val="0"/>
                <w:numId w:val="5"/>
              </w:numPr>
              <w:tabs>
                <w:tab w:val="left" w:pos="1054"/>
              </w:tabs>
              <w:spacing w:before="70" w:line="304" w:lineRule="auto"/>
              <w:ind w:right="100" w:firstLine="420"/>
              <w:jc w:val="both"/>
              <w:rPr>
                <w:rFonts w:ascii="Times New Roman" w:hAnsi="Times New Roman" w:eastAsia="宋体" w:cs="Times New Roman"/>
                <w:color w:val="auto"/>
                <w:kern w:val="2"/>
                <w:szCs w:val="22"/>
                <w:highlight w:val="none"/>
                <w:lang w:eastAsia="zh-CN"/>
              </w:rPr>
            </w:pPr>
            <w:r>
              <w:rPr>
                <w:rFonts w:hint="eastAsia" w:ascii="Times New Roman" w:hAnsi="Times New Roman" w:eastAsia="宋体" w:cs="Times New Roman"/>
                <w:color w:val="auto"/>
                <w:spacing w:val="-3"/>
                <w:kern w:val="2"/>
                <w:szCs w:val="22"/>
                <w:highlight w:val="none"/>
                <w:lang w:eastAsia="zh-CN"/>
              </w:rPr>
              <w:t>投标人不存在第二章</w:t>
            </w:r>
            <w:r>
              <w:rPr>
                <w:rFonts w:ascii="Times New Roman" w:hAnsi="Times New Roman" w:eastAsia="宋体" w:cs="Times New Roman"/>
                <w:color w:val="auto"/>
                <w:kern w:val="2"/>
                <w:szCs w:val="22"/>
                <w:highlight w:val="none"/>
                <w:lang w:eastAsia="zh-CN"/>
              </w:rPr>
              <w:t>“</w:t>
            </w:r>
            <w:r>
              <w:rPr>
                <w:rFonts w:hint="eastAsia" w:ascii="Times New Roman" w:hAnsi="Times New Roman" w:eastAsia="宋体" w:cs="Times New Roman"/>
                <w:color w:val="auto"/>
                <w:spacing w:val="-3"/>
                <w:kern w:val="2"/>
                <w:szCs w:val="22"/>
                <w:highlight w:val="none"/>
                <w:lang w:eastAsia="zh-CN"/>
              </w:rPr>
              <w:t>投标人须知</w:t>
            </w:r>
            <w:r>
              <w:rPr>
                <w:rFonts w:ascii="Times New Roman" w:hAnsi="Times New Roman" w:eastAsia="宋体" w:cs="Times New Roman"/>
                <w:color w:val="auto"/>
                <w:kern w:val="2"/>
                <w:szCs w:val="22"/>
                <w:highlight w:val="none"/>
                <w:lang w:eastAsia="zh-CN"/>
              </w:rPr>
              <w:t>”</w:t>
            </w:r>
            <w:r>
              <w:rPr>
                <w:rFonts w:hint="eastAsia" w:ascii="Times New Roman" w:hAnsi="Times New Roman" w:eastAsia="宋体" w:cs="Times New Roman"/>
                <w:color w:val="auto"/>
                <w:spacing w:val="-22"/>
                <w:kern w:val="2"/>
                <w:szCs w:val="22"/>
                <w:highlight w:val="none"/>
                <w:lang w:eastAsia="zh-CN"/>
              </w:rPr>
              <w:t>第</w:t>
            </w:r>
            <w:r>
              <w:rPr>
                <w:rFonts w:ascii="Times New Roman" w:hAnsi="Times New Roman" w:eastAsia="宋体" w:cs="Times New Roman"/>
                <w:color w:val="auto"/>
                <w:spacing w:val="-22"/>
                <w:kern w:val="2"/>
                <w:szCs w:val="22"/>
                <w:highlight w:val="none"/>
                <w:lang w:eastAsia="zh-CN"/>
              </w:rPr>
              <w:t xml:space="preserve"> </w:t>
            </w:r>
            <w:r>
              <w:rPr>
                <w:rFonts w:ascii="Times New Roman" w:hAnsi="Times New Roman" w:eastAsia="宋体" w:cs="Times New Roman"/>
                <w:color w:val="auto"/>
                <w:kern w:val="2"/>
                <w:szCs w:val="22"/>
                <w:highlight w:val="none"/>
                <w:lang w:eastAsia="zh-CN"/>
              </w:rPr>
              <w:t>1.4.3</w:t>
            </w:r>
            <w:r>
              <w:rPr>
                <w:rFonts w:ascii="Times New Roman" w:hAnsi="Times New Roman" w:eastAsia="宋体" w:cs="Times New Roman"/>
                <w:color w:val="auto"/>
                <w:spacing w:val="10"/>
                <w:kern w:val="2"/>
                <w:szCs w:val="22"/>
                <w:highlight w:val="none"/>
                <w:lang w:eastAsia="zh-CN"/>
              </w:rPr>
              <w:t xml:space="preserve"> </w:t>
            </w:r>
            <w:r>
              <w:rPr>
                <w:rFonts w:hint="eastAsia" w:ascii="Times New Roman" w:hAnsi="Times New Roman" w:eastAsia="宋体" w:cs="Times New Roman"/>
                <w:color w:val="auto"/>
                <w:spacing w:val="-12"/>
                <w:kern w:val="2"/>
                <w:szCs w:val="22"/>
                <w:highlight w:val="none"/>
                <w:lang w:eastAsia="zh-CN"/>
              </w:rPr>
              <w:t>项或第</w:t>
            </w:r>
            <w:r>
              <w:rPr>
                <w:rFonts w:ascii="Times New Roman" w:hAnsi="Times New Roman" w:eastAsia="宋体" w:cs="Times New Roman"/>
                <w:color w:val="auto"/>
                <w:spacing w:val="-12"/>
                <w:kern w:val="2"/>
                <w:szCs w:val="22"/>
                <w:highlight w:val="none"/>
                <w:lang w:eastAsia="zh-CN"/>
              </w:rPr>
              <w:t xml:space="preserve"> </w:t>
            </w:r>
            <w:r>
              <w:rPr>
                <w:rFonts w:ascii="Times New Roman" w:hAnsi="Times New Roman" w:eastAsia="宋体" w:cs="Times New Roman"/>
                <w:color w:val="auto"/>
                <w:kern w:val="2"/>
                <w:szCs w:val="22"/>
                <w:highlight w:val="none"/>
                <w:lang w:eastAsia="zh-CN"/>
              </w:rPr>
              <w:t>1.4.4</w:t>
            </w:r>
            <w:r>
              <w:rPr>
                <w:rFonts w:ascii="Times New Roman" w:hAnsi="Times New Roman" w:eastAsia="宋体" w:cs="Times New Roman"/>
                <w:color w:val="auto"/>
                <w:spacing w:val="10"/>
                <w:kern w:val="2"/>
                <w:szCs w:val="22"/>
                <w:highlight w:val="none"/>
                <w:lang w:eastAsia="zh-CN"/>
              </w:rPr>
              <w:t xml:space="preserve"> </w:t>
            </w:r>
            <w:r>
              <w:rPr>
                <w:rFonts w:hint="eastAsia" w:ascii="Times New Roman" w:hAnsi="Times New Roman" w:eastAsia="宋体" w:cs="Times New Roman"/>
                <w:color w:val="auto"/>
                <w:spacing w:val="-3"/>
                <w:kern w:val="2"/>
                <w:szCs w:val="22"/>
                <w:highlight w:val="none"/>
                <w:lang w:eastAsia="zh-CN"/>
              </w:rPr>
              <w:t>项规定的任何一种情形。</w:t>
            </w:r>
          </w:p>
          <w:p>
            <w:pPr>
              <w:widowControl w:val="0"/>
              <w:numPr>
                <w:ilvl w:val="0"/>
                <w:numId w:val="5"/>
              </w:numPr>
              <w:tabs>
                <w:tab w:val="left" w:pos="1054"/>
              </w:tabs>
              <w:spacing w:line="267" w:lineRule="exact"/>
              <w:ind w:left="1053" w:hanging="530"/>
              <w:jc w:val="both"/>
              <w:rPr>
                <w:rFonts w:ascii="Times New Roman" w:hAnsi="Times New Roman" w:eastAsia="宋体" w:cs="Times New Roman"/>
                <w:color w:val="auto"/>
                <w:kern w:val="2"/>
                <w:sz w:val="11"/>
                <w:szCs w:val="22"/>
                <w:highlight w:val="none"/>
                <w:lang w:eastAsia="zh-CN"/>
              </w:rPr>
            </w:pPr>
            <w:r>
              <w:rPr>
                <w:rFonts w:hint="eastAsia" w:ascii="Times New Roman" w:hAnsi="Times New Roman" w:eastAsia="宋体" w:cs="Times New Roman"/>
                <w:color w:val="auto"/>
                <w:spacing w:val="-3"/>
                <w:kern w:val="2"/>
                <w:szCs w:val="22"/>
                <w:highlight w:val="none"/>
                <w:lang w:eastAsia="zh-CN"/>
              </w:rPr>
              <w:t>投标人符合第二章</w:t>
            </w:r>
            <w:r>
              <w:rPr>
                <w:rFonts w:ascii="Times New Roman" w:hAnsi="Times New Roman" w:eastAsia="宋体" w:cs="Times New Roman"/>
                <w:color w:val="auto"/>
                <w:spacing w:val="-3"/>
                <w:kern w:val="2"/>
                <w:szCs w:val="22"/>
                <w:highlight w:val="none"/>
                <w:lang w:eastAsia="zh-CN"/>
              </w:rPr>
              <w:t>“</w:t>
            </w:r>
            <w:r>
              <w:rPr>
                <w:rFonts w:hint="eastAsia" w:ascii="Times New Roman" w:hAnsi="Times New Roman" w:eastAsia="宋体" w:cs="Times New Roman"/>
                <w:color w:val="auto"/>
                <w:spacing w:val="-2"/>
                <w:kern w:val="2"/>
                <w:szCs w:val="22"/>
                <w:highlight w:val="none"/>
                <w:lang w:eastAsia="zh-CN"/>
              </w:rPr>
              <w:t>投标人须知</w:t>
            </w:r>
            <w:r>
              <w:rPr>
                <w:rFonts w:ascii="Times New Roman" w:hAnsi="Times New Roman" w:eastAsia="宋体" w:cs="Times New Roman"/>
                <w:color w:val="auto"/>
                <w:kern w:val="2"/>
                <w:szCs w:val="22"/>
                <w:highlight w:val="none"/>
                <w:lang w:eastAsia="zh-CN"/>
              </w:rPr>
              <w:t>”</w:t>
            </w:r>
            <w:r>
              <w:rPr>
                <w:rFonts w:hint="eastAsia" w:ascii="Times New Roman" w:hAnsi="Times New Roman" w:eastAsia="宋体" w:cs="Times New Roman"/>
                <w:color w:val="auto"/>
                <w:spacing w:val="-27"/>
                <w:kern w:val="2"/>
                <w:szCs w:val="22"/>
                <w:highlight w:val="none"/>
                <w:lang w:eastAsia="zh-CN"/>
              </w:rPr>
              <w:t>第</w:t>
            </w:r>
            <w:r>
              <w:rPr>
                <w:rFonts w:ascii="Times New Roman" w:hAnsi="Times New Roman" w:eastAsia="宋体" w:cs="Times New Roman"/>
                <w:color w:val="auto"/>
                <w:spacing w:val="-27"/>
                <w:kern w:val="2"/>
                <w:szCs w:val="22"/>
                <w:highlight w:val="none"/>
                <w:lang w:eastAsia="zh-CN"/>
              </w:rPr>
              <w:t xml:space="preserve"> </w:t>
            </w:r>
            <w:r>
              <w:rPr>
                <w:rFonts w:ascii="Times New Roman" w:hAnsi="Times New Roman" w:eastAsia="宋体" w:cs="Times New Roman"/>
                <w:color w:val="auto"/>
                <w:kern w:val="2"/>
                <w:szCs w:val="22"/>
                <w:highlight w:val="none"/>
                <w:lang w:eastAsia="zh-CN"/>
              </w:rPr>
              <w:t>1.4.5</w:t>
            </w:r>
            <w:r>
              <w:rPr>
                <w:rFonts w:ascii="Times New Roman" w:hAnsi="Times New Roman" w:eastAsia="宋体" w:cs="Times New Roman"/>
                <w:color w:val="auto"/>
                <w:spacing w:val="-2"/>
                <w:kern w:val="2"/>
                <w:szCs w:val="22"/>
                <w:highlight w:val="none"/>
                <w:lang w:eastAsia="zh-CN"/>
              </w:rPr>
              <w:t xml:space="preserve"> </w:t>
            </w:r>
            <w:r>
              <w:rPr>
                <w:rFonts w:hint="eastAsia" w:ascii="Times New Roman" w:hAnsi="Times New Roman" w:eastAsia="宋体" w:cs="Times New Roman"/>
                <w:color w:val="auto"/>
                <w:spacing w:val="-3"/>
                <w:kern w:val="2"/>
                <w:szCs w:val="22"/>
                <w:highlight w:val="none"/>
                <w:lang w:eastAsia="zh-CN"/>
              </w:rPr>
              <w:t>项规定。</w:t>
            </w:r>
          </w:p>
          <w:p>
            <w:pPr>
              <w:pStyle w:val="10"/>
              <w:spacing w:before="83" w:line="277" w:lineRule="auto"/>
              <w:ind w:left="113" w:right="39" w:firstLine="429"/>
              <w:jc w:val="both"/>
              <w:rPr>
                <w:spacing w:val="6"/>
                <w:sz w:val="18"/>
                <w:szCs w:val="18"/>
                <w:highlight w:val="none"/>
                <w:lang w:eastAsia="zh-CN"/>
              </w:rPr>
            </w:pPr>
            <w:r>
              <w:rPr>
                <w:rFonts w:hint="eastAsia" w:ascii="Times New Roman" w:hAnsi="Times New Roman" w:cs="Times New Roman"/>
                <w:color w:val="auto"/>
                <w:spacing w:val="-3"/>
                <w:kern w:val="2"/>
                <w:sz w:val="21"/>
                <w:highlight w:val="none"/>
                <w:lang w:eastAsia="zh-CN"/>
              </w:rPr>
              <w:t>以联合体形式参与投标的，联合体各方均未再以自己名义单</w:t>
            </w:r>
            <w:r>
              <w:rPr>
                <w:rFonts w:hint="eastAsia" w:ascii="Times New Roman" w:hAnsi="Times New Roman" w:cs="Times New Roman"/>
                <w:color w:val="auto"/>
                <w:spacing w:val="-8"/>
                <w:kern w:val="2"/>
                <w:sz w:val="21"/>
                <w:highlight w:val="none"/>
                <w:lang w:eastAsia="zh-CN"/>
              </w:rPr>
              <w:t>独或参加其他联合体在同一标段中投标；独立参与投标的，投标人未同</w:t>
            </w:r>
            <w:r>
              <w:rPr>
                <w:rFonts w:hint="eastAsia" w:ascii="Times New Roman" w:hAnsi="Times New Roman" w:cs="Times New Roman"/>
                <w:color w:val="auto"/>
                <w:spacing w:val="-5"/>
                <w:kern w:val="2"/>
                <w:sz w:val="21"/>
                <w:highlight w:val="none"/>
                <w:lang w:eastAsia="zh-CN"/>
              </w:rPr>
              <w:t>时参加联合体在同一标段中投标。</w:t>
            </w:r>
            <w:r>
              <w:rPr>
                <w:rFonts w:ascii="Times New Roman" w:hAnsi="Times New Roman" w:cs="Times New Roman"/>
                <w:color w:val="auto"/>
                <w:spacing w:val="-5"/>
                <w:kern w:val="2"/>
                <w:sz w:val="21"/>
                <w:highlight w:val="none"/>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2" w:hRule="atLeast"/>
          <w:jc w:val="center"/>
        </w:trPr>
        <w:tc>
          <w:tcPr>
            <w:tcW w:w="880" w:type="dxa"/>
            <w:vAlign w:val="center"/>
          </w:tcPr>
          <w:p>
            <w:pPr>
              <w:pStyle w:val="10"/>
              <w:spacing w:line="189" w:lineRule="auto"/>
              <w:jc w:val="center"/>
              <w:rPr>
                <w:spacing w:val="2"/>
                <w:sz w:val="20"/>
                <w:szCs w:val="20"/>
                <w:highlight w:val="none"/>
              </w:rPr>
            </w:pPr>
            <w:r>
              <w:rPr>
                <w:spacing w:val="2"/>
                <w:sz w:val="20"/>
                <w:szCs w:val="20"/>
                <w:highlight w:val="none"/>
              </w:rPr>
              <w:t>2.2.1</w:t>
            </w:r>
          </w:p>
        </w:tc>
        <w:tc>
          <w:tcPr>
            <w:tcW w:w="1530" w:type="dxa"/>
            <w:tcBorders>
              <w:right w:val="single" w:color="000000" w:sz="4" w:space="0"/>
            </w:tcBorders>
            <w:vAlign w:val="center"/>
          </w:tcPr>
          <w:p>
            <w:pPr>
              <w:pStyle w:val="10"/>
              <w:spacing w:before="65" w:line="228" w:lineRule="auto"/>
              <w:jc w:val="center"/>
              <w:rPr>
                <w:spacing w:val="-3"/>
                <w:highlight w:val="none"/>
              </w:rPr>
            </w:pPr>
            <w:r>
              <w:rPr>
                <w:spacing w:val="6"/>
                <w:sz w:val="20"/>
                <w:szCs w:val="20"/>
                <w:highlight w:val="none"/>
              </w:rPr>
              <w:t>分值构成</w:t>
            </w:r>
            <w:r>
              <w:rPr>
                <w:spacing w:val="-1"/>
                <w:sz w:val="20"/>
                <w:szCs w:val="20"/>
                <w:highlight w:val="none"/>
              </w:rPr>
              <w:t>（总分100分）</w:t>
            </w:r>
          </w:p>
        </w:tc>
        <w:tc>
          <w:tcPr>
            <w:tcW w:w="7029" w:type="dxa"/>
            <w:tcBorders>
              <w:left w:val="single" w:color="000000" w:sz="4" w:space="0"/>
            </w:tcBorders>
          </w:tcPr>
          <w:p>
            <w:pPr>
              <w:pStyle w:val="10"/>
              <w:spacing w:before="64" w:line="228" w:lineRule="auto"/>
              <w:ind w:left="9"/>
              <w:rPr>
                <w:sz w:val="20"/>
                <w:szCs w:val="20"/>
                <w:highlight w:val="none"/>
                <w:lang w:eastAsia="zh-CN"/>
              </w:rPr>
            </w:pPr>
            <w:r>
              <w:rPr>
                <w:spacing w:val="8"/>
                <w:sz w:val="20"/>
                <w:szCs w:val="20"/>
                <w:highlight w:val="none"/>
                <w:lang w:eastAsia="zh-CN"/>
                <w14:textOutline w14:w="3797" w14:cap="sq" w14:cmpd="sng" w14:algn="ctr">
                  <w14:solidFill>
                    <w14:srgbClr w14:val="000000"/>
                  </w14:solidFill>
                  <w14:prstDash w14:val="solid"/>
                  <w14:bevel/>
                </w14:textOutline>
              </w:rPr>
              <w:t>第一个信封（商务及技术文件）评分分值构成：</w:t>
            </w:r>
          </w:p>
          <w:p>
            <w:pPr>
              <w:pStyle w:val="10"/>
              <w:spacing w:before="120" w:line="227" w:lineRule="auto"/>
              <w:ind w:left="423"/>
              <w:rPr>
                <w:sz w:val="20"/>
                <w:szCs w:val="20"/>
                <w:highlight w:val="none"/>
                <w:lang w:eastAsia="zh-CN"/>
              </w:rPr>
            </w:pPr>
            <w:r>
              <w:rPr>
                <w:spacing w:val="5"/>
                <w:sz w:val="20"/>
                <w:szCs w:val="20"/>
                <w:highlight w:val="none"/>
                <w:lang w:eastAsia="zh-CN"/>
              </w:rPr>
              <w:t>技术建议书：</w:t>
            </w:r>
            <w:r>
              <w:rPr>
                <w:rFonts w:hint="eastAsia"/>
                <w:spacing w:val="5"/>
                <w:sz w:val="20"/>
                <w:szCs w:val="20"/>
                <w:highlight w:val="none"/>
                <w:u w:val="single"/>
                <w:lang w:eastAsia="zh-CN"/>
              </w:rPr>
              <w:t>45</w:t>
            </w:r>
            <w:r>
              <w:rPr>
                <w:spacing w:val="5"/>
                <w:sz w:val="20"/>
                <w:szCs w:val="20"/>
                <w:highlight w:val="none"/>
                <w:lang w:eastAsia="zh-CN"/>
              </w:rPr>
              <w:t>分</w:t>
            </w:r>
          </w:p>
          <w:p>
            <w:pPr>
              <w:pStyle w:val="10"/>
              <w:spacing w:before="107" w:line="228" w:lineRule="auto"/>
              <w:ind w:left="424"/>
              <w:rPr>
                <w:spacing w:val="2"/>
                <w:sz w:val="20"/>
                <w:szCs w:val="20"/>
                <w:highlight w:val="none"/>
                <w:lang w:eastAsia="zh-CN"/>
              </w:rPr>
            </w:pPr>
            <w:r>
              <w:rPr>
                <w:spacing w:val="2"/>
                <w:sz w:val="20"/>
                <w:szCs w:val="20"/>
                <w:highlight w:val="none"/>
                <w:lang w:eastAsia="zh-CN"/>
              </w:rPr>
              <w:t>主要人员：</w:t>
            </w:r>
            <w:r>
              <w:rPr>
                <w:rFonts w:hint="eastAsia"/>
                <w:spacing w:val="33"/>
                <w:sz w:val="20"/>
                <w:szCs w:val="20"/>
                <w:highlight w:val="none"/>
                <w:u w:val="single"/>
                <w:lang w:eastAsia="zh-CN"/>
              </w:rPr>
              <w:t>20</w:t>
            </w:r>
            <w:r>
              <w:rPr>
                <w:spacing w:val="2"/>
                <w:sz w:val="20"/>
                <w:szCs w:val="20"/>
                <w:highlight w:val="none"/>
                <w:lang w:eastAsia="zh-CN"/>
              </w:rPr>
              <w:t>分</w:t>
            </w:r>
          </w:p>
          <w:p>
            <w:pPr>
              <w:pStyle w:val="10"/>
              <w:spacing w:before="107" w:line="228" w:lineRule="auto"/>
              <w:ind w:left="424"/>
              <w:rPr>
                <w:spacing w:val="2"/>
                <w:sz w:val="20"/>
                <w:szCs w:val="20"/>
                <w:highlight w:val="none"/>
                <w:lang w:eastAsia="zh-CN"/>
              </w:rPr>
            </w:pPr>
            <w:r>
              <w:rPr>
                <w:rFonts w:hint="eastAsia"/>
                <w:spacing w:val="2"/>
                <w:sz w:val="20"/>
                <w:szCs w:val="20"/>
                <w:highlight w:val="none"/>
                <w:lang w:eastAsia="zh-CN"/>
              </w:rPr>
              <w:t>技术能力：</w:t>
            </w:r>
            <w:r>
              <w:rPr>
                <w:rFonts w:hint="eastAsia"/>
                <w:spacing w:val="2"/>
                <w:sz w:val="20"/>
                <w:szCs w:val="20"/>
                <w:highlight w:val="none"/>
                <w:u w:val="single"/>
                <w:lang w:eastAsia="zh-CN"/>
              </w:rPr>
              <w:t>5</w:t>
            </w:r>
            <w:r>
              <w:rPr>
                <w:rFonts w:hint="eastAsia"/>
                <w:spacing w:val="2"/>
                <w:sz w:val="20"/>
                <w:szCs w:val="20"/>
                <w:highlight w:val="none"/>
                <w:lang w:eastAsia="zh-CN"/>
              </w:rPr>
              <w:t>分</w:t>
            </w:r>
          </w:p>
          <w:p>
            <w:pPr>
              <w:pStyle w:val="10"/>
              <w:spacing w:before="108" w:line="228" w:lineRule="auto"/>
              <w:ind w:left="424"/>
              <w:rPr>
                <w:sz w:val="20"/>
                <w:szCs w:val="20"/>
                <w:highlight w:val="none"/>
                <w:lang w:eastAsia="zh-CN"/>
              </w:rPr>
            </w:pPr>
            <w:r>
              <w:rPr>
                <w:spacing w:val="6"/>
                <w:sz w:val="20"/>
                <w:szCs w:val="20"/>
                <w:highlight w:val="none"/>
                <w:lang w:eastAsia="zh-CN"/>
              </w:rPr>
              <w:t>业绩：</w:t>
            </w:r>
            <w:r>
              <w:rPr>
                <w:rFonts w:hint="eastAsia"/>
                <w:spacing w:val="6"/>
                <w:sz w:val="20"/>
                <w:szCs w:val="20"/>
                <w:highlight w:val="none"/>
                <w:u w:val="single"/>
                <w:lang w:eastAsia="zh-CN"/>
              </w:rPr>
              <w:t>15</w:t>
            </w:r>
            <w:r>
              <w:rPr>
                <w:spacing w:val="6"/>
                <w:sz w:val="20"/>
                <w:szCs w:val="20"/>
                <w:highlight w:val="none"/>
                <w:lang w:eastAsia="zh-CN"/>
              </w:rPr>
              <w:t>分</w:t>
            </w:r>
          </w:p>
          <w:p>
            <w:pPr>
              <w:pStyle w:val="10"/>
              <w:spacing w:before="105" w:line="227" w:lineRule="auto"/>
              <w:ind w:left="426"/>
              <w:rPr>
                <w:sz w:val="20"/>
                <w:szCs w:val="20"/>
                <w:highlight w:val="none"/>
                <w:lang w:eastAsia="zh-CN"/>
              </w:rPr>
            </w:pPr>
            <w:r>
              <w:rPr>
                <w:spacing w:val="4"/>
                <w:sz w:val="20"/>
                <w:szCs w:val="20"/>
                <w:highlight w:val="none"/>
                <w:lang w:eastAsia="zh-CN"/>
              </w:rPr>
              <w:t>履约信誉：</w:t>
            </w:r>
            <w:r>
              <w:rPr>
                <w:spacing w:val="15"/>
                <w:sz w:val="20"/>
                <w:szCs w:val="20"/>
                <w:highlight w:val="none"/>
                <w:u w:val="single"/>
                <w:lang w:eastAsia="zh-CN"/>
              </w:rPr>
              <w:t xml:space="preserve"> </w:t>
            </w:r>
            <w:r>
              <w:rPr>
                <w:spacing w:val="4"/>
                <w:sz w:val="20"/>
                <w:szCs w:val="20"/>
                <w:highlight w:val="none"/>
                <w:u w:val="single"/>
                <w:lang w:eastAsia="zh-CN"/>
              </w:rPr>
              <w:t xml:space="preserve">5 </w:t>
            </w:r>
            <w:r>
              <w:rPr>
                <w:spacing w:val="4"/>
                <w:sz w:val="20"/>
                <w:szCs w:val="20"/>
                <w:highlight w:val="none"/>
                <w:lang w:eastAsia="zh-CN"/>
              </w:rPr>
              <w:t>分</w:t>
            </w:r>
          </w:p>
          <w:p>
            <w:pPr>
              <w:pStyle w:val="10"/>
              <w:spacing w:before="165" w:line="226" w:lineRule="auto"/>
              <w:ind w:left="9"/>
              <w:rPr>
                <w:sz w:val="20"/>
                <w:szCs w:val="20"/>
                <w:highlight w:val="none"/>
                <w:lang w:eastAsia="zh-CN"/>
              </w:rPr>
            </w:pPr>
            <w:r>
              <w:rPr>
                <w:spacing w:val="8"/>
                <w:sz w:val="20"/>
                <w:szCs w:val="20"/>
                <w:highlight w:val="none"/>
                <w:lang w:eastAsia="zh-CN"/>
                <w14:textOutline w14:w="3797" w14:cap="sq" w14:cmpd="sng" w14:algn="ctr">
                  <w14:solidFill>
                    <w14:srgbClr w14:val="000000"/>
                  </w14:solidFill>
                  <w14:prstDash w14:val="solid"/>
                  <w14:bevel/>
                </w14:textOutline>
              </w:rPr>
              <w:t>第二个信封（报价文件）评分分值构成：</w:t>
            </w:r>
          </w:p>
          <w:p>
            <w:pPr>
              <w:pStyle w:val="10"/>
              <w:spacing w:before="83" w:line="277" w:lineRule="auto"/>
              <w:ind w:left="113" w:right="39" w:firstLine="429"/>
              <w:jc w:val="both"/>
              <w:rPr>
                <w:spacing w:val="10"/>
                <w:sz w:val="20"/>
                <w:szCs w:val="20"/>
                <w:highlight w:val="none"/>
                <w:lang w:eastAsia="zh-CN"/>
                <w14:textOutline w14:w="3797" w14:cap="sq" w14:cmpd="sng" w14:algn="ctr">
                  <w14:solidFill>
                    <w14:srgbClr w14:val="000000"/>
                  </w14:solidFill>
                  <w14:prstDash w14:val="solid"/>
                  <w14:bevel/>
                </w14:textOutline>
              </w:rPr>
            </w:pPr>
            <w:r>
              <w:rPr>
                <w:spacing w:val="3"/>
                <w:sz w:val="20"/>
                <w:szCs w:val="20"/>
                <w:highlight w:val="none"/>
              </w:rPr>
              <w:t>评标价：</w:t>
            </w:r>
            <w:r>
              <w:rPr>
                <w:spacing w:val="31"/>
                <w:sz w:val="20"/>
                <w:szCs w:val="20"/>
                <w:highlight w:val="none"/>
                <w:u w:val="single"/>
              </w:rPr>
              <w:t xml:space="preserve"> </w:t>
            </w:r>
            <w:r>
              <w:rPr>
                <w:spacing w:val="3"/>
                <w:sz w:val="20"/>
                <w:szCs w:val="20"/>
                <w:highlight w:val="none"/>
                <w:u w:val="single"/>
              </w:rPr>
              <w:t xml:space="preserve">10 </w:t>
            </w:r>
            <w:r>
              <w:rPr>
                <w:spacing w:val="3"/>
                <w:sz w:val="20"/>
                <w:szCs w:val="20"/>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7" w:hRule="atLeast"/>
          <w:jc w:val="center"/>
        </w:trPr>
        <w:tc>
          <w:tcPr>
            <w:tcW w:w="880" w:type="dxa"/>
            <w:vAlign w:val="center"/>
          </w:tcPr>
          <w:p>
            <w:pPr>
              <w:pStyle w:val="10"/>
              <w:spacing w:line="189" w:lineRule="auto"/>
              <w:jc w:val="center"/>
              <w:rPr>
                <w:spacing w:val="2"/>
                <w:sz w:val="20"/>
                <w:szCs w:val="20"/>
                <w:highlight w:val="none"/>
              </w:rPr>
            </w:pPr>
            <w:r>
              <w:rPr>
                <w:spacing w:val="2"/>
                <w:sz w:val="20"/>
                <w:szCs w:val="20"/>
                <w:highlight w:val="none"/>
              </w:rPr>
              <w:t>2.2.2</w:t>
            </w:r>
          </w:p>
        </w:tc>
        <w:tc>
          <w:tcPr>
            <w:tcW w:w="1530" w:type="dxa"/>
            <w:tcBorders>
              <w:right w:val="single" w:color="000000" w:sz="4" w:space="0"/>
            </w:tcBorders>
            <w:vAlign w:val="center"/>
          </w:tcPr>
          <w:p>
            <w:pPr>
              <w:pStyle w:val="10"/>
              <w:spacing w:before="65" w:line="228" w:lineRule="auto"/>
              <w:jc w:val="center"/>
              <w:rPr>
                <w:spacing w:val="6"/>
                <w:sz w:val="20"/>
                <w:szCs w:val="20"/>
                <w:highlight w:val="none"/>
              </w:rPr>
            </w:pPr>
            <w:r>
              <w:rPr>
                <w:spacing w:val="8"/>
                <w:sz w:val="20"/>
                <w:szCs w:val="20"/>
                <w:highlight w:val="none"/>
              </w:rPr>
              <w:t>评标基准价计</w:t>
            </w:r>
            <w:r>
              <w:rPr>
                <w:spacing w:val="6"/>
                <w:sz w:val="20"/>
                <w:szCs w:val="20"/>
                <w:highlight w:val="none"/>
              </w:rPr>
              <w:t>算方法</w:t>
            </w:r>
          </w:p>
        </w:tc>
        <w:tc>
          <w:tcPr>
            <w:tcW w:w="7029" w:type="dxa"/>
            <w:tcBorders>
              <w:left w:val="single" w:color="000000" w:sz="4" w:space="0"/>
            </w:tcBorders>
          </w:tcPr>
          <w:p>
            <w:pPr>
              <w:pStyle w:val="10"/>
              <w:keepNext w:val="0"/>
              <w:keepLines w:val="0"/>
              <w:pageBreakBefore w:val="0"/>
              <w:widowControl/>
              <w:kinsoku w:val="0"/>
              <w:wordWrap/>
              <w:overflowPunct/>
              <w:topLinePunct w:val="0"/>
              <w:autoSpaceDE w:val="0"/>
              <w:autoSpaceDN w:val="0"/>
              <w:bidi w:val="0"/>
              <w:adjustRightInd w:val="0"/>
              <w:snapToGrid w:val="0"/>
              <w:spacing w:before="29" w:line="288" w:lineRule="auto"/>
              <w:ind w:right="61" w:firstLine="440" w:firstLineChars="200"/>
              <w:textAlignment w:val="baseline"/>
              <w:rPr>
                <w:sz w:val="20"/>
                <w:szCs w:val="20"/>
                <w:highlight w:val="none"/>
                <w:lang w:eastAsia="zh-CN"/>
              </w:rPr>
            </w:pPr>
            <w:r>
              <w:rPr>
                <w:spacing w:val="10"/>
                <w:sz w:val="20"/>
                <w:szCs w:val="20"/>
                <w:highlight w:val="none"/>
                <w:lang w:eastAsia="zh-CN"/>
              </w:rPr>
              <w:t>评标基准价的计算：在开标现场，招标人将</w:t>
            </w:r>
            <w:r>
              <w:rPr>
                <w:spacing w:val="9"/>
                <w:sz w:val="20"/>
                <w:szCs w:val="20"/>
                <w:highlight w:val="none"/>
                <w:lang w:eastAsia="zh-CN"/>
              </w:rPr>
              <w:t>当场计算并宣布评标基准</w:t>
            </w:r>
            <w:r>
              <w:rPr>
                <w:sz w:val="20"/>
                <w:szCs w:val="20"/>
                <w:highlight w:val="none"/>
                <w:lang w:eastAsia="zh-CN"/>
              </w:rPr>
              <w:t xml:space="preserve"> 价。</w:t>
            </w:r>
          </w:p>
          <w:p>
            <w:pPr>
              <w:pStyle w:val="10"/>
              <w:keepNext w:val="0"/>
              <w:keepLines w:val="0"/>
              <w:pageBreakBefore w:val="0"/>
              <w:widowControl/>
              <w:kinsoku w:val="0"/>
              <w:wordWrap/>
              <w:overflowPunct/>
              <w:topLinePunct w:val="0"/>
              <w:autoSpaceDE w:val="0"/>
              <w:autoSpaceDN w:val="0"/>
              <w:bidi w:val="0"/>
              <w:adjustRightInd w:val="0"/>
              <w:snapToGrid w:val="0"/>
              <w:spacing w:before="35" w:line="288" w:lineRule="auto"/>
              <w:ind w:left="540"/>
              <w:textAlignment w:val="baseline"/>
              <w:rPr>
                <w:sz w:val="20"/>
                <w:szCs w:val="20"/>
                <w:highlight w:val="none"/>
                <w:lang w:eastAsia="zh-CN"/>
              </w:rPr>
            </w:pPr>
            <w:r>
              <w:rPr>
                <w:spacing w:val="6"/>
                <w:sz w:val="20"/>
                <w:szCs w:val="20"/>
                <w:highlight w:val="none"/>
                <w:lang w:eastAsia="zh-CN"/>
              </w:rPr>
              <w:t>（1）评标价的确定：</w:t>
            </w:r>
          </w:p>
          <w:p>
            <w:pPr>
              <w:pStyle w:val="10"/>
              <w:keepNext w:val="0"/>
              <w:keepLines w:val="0"/>
              <w:pageBreakBefore w:val="0"/>
              <w:widowControl/>
              <w:kinsoku w:val="0"/>
              <w:wordWrap/>
              <w:overflowPunct/>
              <w:topLinePunct w:val="0"/>
              <w:autoSpaceDE w:val="0"/>
              <w:autoSpaceDN w:val="0"/>
              <w:bidi w:val="0"/>
              <w:adjustRightInd w:val="0"/>
              <w:snapToGrid w:val="0"/>
              <w:spacing w:before="38" w:line="288" w:lineRule="auto"/>
              <w:ind w:left="417"/>
              <w:textAlignment w:val="baseline"/>
              <w:rPr>
                <w:sz w:val="20"/>
                <w:szCs w:val="20"/>
                <w:highlight w:val="none"/>
                <w:lang w:eastAsia="zh-CN"/>
              </w:rPr>
            </w:pPr>
            <w:r>
              <w:rPr>
                <w:spacing w:val="7"/>
                <w:sz w:val="20"/>
                <w:szCs w:val="20"/>
                <w:highlight w:val="none"/>
                <w:lang w:eastAsia="zh-CN"/>
              </w:rPr>
              <w:t>评标价＝投标函文字报价</w:t>
            </w:r>
          </w:p>
          <w:p>
            <w:pPr>
              <w:pStyle w:val="10"/>
              <w:keepNext w:val="0"/>
              <w:keepLines w:val="0"/>
              <w:pageBreakBefore w:val="0"/>
              <w:widowControl/>
              <w:kinsoku w:val="0"/>
              <w:wordWrap/>
              <w:overflowPunct/>
              <w:topLinePunct w:val="0"/>
              <w:autoSpaceDE w:val="0"/>
              <w:autoSpaceDN w:val="0"/>
              <w:bidi w:val="0"/>
              <w:adjustRightInd w:val="0"/>
              <w:snapToGrid w:val="0"/>
              <w:spacing w:before="3" w:line="288" w:lineRule="auto"/>
              <w:ind w:left="537"/>
              <w:textAlignment w:val="baseline"/>
              <w:rPr>
                <w:sz w:val="20"/>
                <w:szCs w:val="20"/>
                <w:highlight w:val="none"/>
                <w:lang w:eastAsia="zh-CN"/>
              </w:rPr>
            </w:pPr>
            <w:r>
              <w:rPr>
                <w:spacing w:val="4"/>
                <w:highlight w:val="none"/>
                <w:lang w:eastAsia="zh-CN"/>
              </w:rPr>
              <w:t>（2）</w:t>
            </w:r>
            <w:r>
              <w:rPr>
                <w:spacing w:val="4"/>
                <w:sz w:val="20"/>
                <w:szCs w:val="20"/>
                <w:highlight w:val="none"/>
                <w:lang w:eastAsia="zh-CN"/>
              </w:rPr>
              <w:t>评标价平均值的计算：</w:t>
            </w:r>
          </w:p>
          <w:p>
            <w:pPr>
              <w:pStyle w:val="10"/>
              <w:keepNext w:val="0"/>
              <w:keepLines w:val="0"/>
              <w:pageBreakBefore w:val="0"/>
              <w:widowControl/>
              <w:kinsoku w:val="0"/>
              <w:wordWrap/>
              <w:overflowPunct/>
              <w:topLinePunct w:val="0"/>
              <w:autoSpaceDE w:val="0"/>
              <w:autoSpaceDN w:val="0"/>
              <w:bidi w:val="0"/>
              <w:adjustRightInd w:val="0"/>
              <w:snapToGrid w:val="0"/>
              <w:spacing w:before="26" w:line="288" w:lineRule="auto"/>
              <w:ind w:left="109" w:right="104" w:firstLine="433"/>
              <w:jc w:val="both"/>
              <w:textAlignment w:val="baseline"/>
              <w:rPr>
                <w:sz w:val="20"/>
                <w:szCs w:val="20"/>
                <w:highlight w:val="none"/>
                <w:lang w:eastAsia="zh-CN"/>
              </w:rPr>
            </w:pPr>
            <w:r>
              <w:rPr>
                <w:spacing w:val="13"/>
                <w:sz w:val="20"/>
                <w:szCs w:val="20"/>
                <w:highlight w:val="none"/>
                <w:lang w:eastAsia="zh-CN"/>
              </w:rPr>
              <w:t>除按第二章“投标人须知</w:t>
            </w:r>
            <w:r>
              <w:rPr>
                <w:spacing w:val="-65"/>
                <w:sz w:val="20"/>
                <w:szCs w:val="20"/>
                <w:highlight w:val="none"/>
                <w:lang w:eastAsia="zh-CN"/>
              </w:rPr>
              <w:t xml:space="preserve"> </w:t>
            </w:r>
            <w:r>
              <w:rPr>
                <w:spacing w:val="13"/>
                <w:sz w:val="20"/>
                <w:szCs w:val="20"/>
                <w:highlight w:val="none"/>
                <w:lang w:eastAsia="zh-CN"/>
              </w:rPr>
              <w:t>”第5.2.4项规定开标现场</w:t>
            </w:r>
            <w:r>
              <w:rPr>
                <w:spacing w:val="12"/>
                <w:sz w:val="20"/>
                <w:szCs w:val="20"/>
                <w:highlight w:val="none"/>
                <w:lang w:eastAsia="zh-CN"/>
              </w:rPr>
              <w:t>被宣布为不进</w:t>
            </w:r>
            <w:r>
              <w:rPr>
                <w:sz w:val="20"/>
                <w:szCs w:val="20"/>
                <w:highlight w:val="none"/>
                <w:lang w:eastAsia="zh-CN"/>
              </w:rPr>
              <w:t xml:space="preserve"> </w:t>
            </w:r>
            <w:r>
              <w:rPr>
                <w:spacing w:val="24"/>
                <w:sz w:val="20"/>
                <w:szCs w:val="20"/>
                <w:highlight w:val="none"/>
                <w:lang w:eastAsia="zh-CN"/>
              </w:rPr>
              <w:t>入评标基准价计算</w:t>
            </w:r>
            <w:r>
              <w:rPr>
                <w:spacing w:val="-51"/>
                <w:sz w:val="20"/>
                <w:szCs w:val="20"/>
                <w:highlight w:val="none"/>
                <w:lang w:eastAsia="zh-CN"/>
              </w:rPr>
              <w:t xml:space="preserve"> </w:t>
            </w:r>
            <w:r>
              <w:rPr>
                <w:spacing w:val="24"/>
                <w:sz w:val="20"/>
                <w:szCs w:val="20"/>
                <w:highlight w:val="none"/>
                <w:lang w:eastAsia="zh-CN"/>
              </w:rPr>
              <w:t>的投标报价之外</w:t>
            </w:r>
            <w:r>
              <w:rPr>
                <w:spacing w:val="-51"/>
                <w:sz w:val="20"/>
                <w:szCs w:val="20"/>
                <w:highlight w:val="none"/>
                <w:lang w:eastAsia="zh-CN"/>
              </w:rPr>
              <w:t xml:space="preserve"> </w:t>
            </w:r>
            <w:r>
              <w:rPr>
                <w:spacing w:val="24"/>
                <w:sz w:val="20"/>
                <w:szCs w:val="20"/>
                <w:highlight w:val="none"/>
                <w:lang w:eastAsia="zh-CN"/>
              </w:rPr>
              <w:t>，计算在最高投标</w:t>
            </w:r>
            <w:r>
              <w:rPr>
                <w:spacing w:val="-53"/>
                <w:sz w:val="20"/>
                <w:szCs w:val="20"/>
                <w:highlight w:val="none"/>
                <w:lang w:eastAsia="zh-CN"/>
              </w:rPr>
              <w:t xml:space="preserve"> </w:t>
            </w:r>
            <w:r>
              <w:rPr>
                <w:spacing w:val="24"/>
                <w:sz w:val="20"/>
                <w:szCs w:val="20"/>
                <w:highlight w:val="none"/>
                <w:lang w:eastAsia="zh-CN"/>
              </w:rPr>
              <w:t>限价90%（含</w:t>
            </w:r>
            <w:r>
              <w:rPr>
                <w:sz w:val="20"/>
                <w:szCs w:val="20"/>
                <w:highlight w:val="none"/>
                <w:lang w:eastAsia="zh-CN"/>
              </w:rPr>
              <w:t xml:space="preserve"> </w:t>
            </w:r>
            <w:r>
              <w:rPr>
                <w:spacing w:val="11"/>
                <w:sz w:val="20"/>
                <w:szCs w:val="20"/>
                <w:highlight w:val="none"/>
                <w:lang w:eastAsia="zh-CN"/>
              </w:rPr>
              <w:t>90%）</w:t>
            </w:r>
            <w:r>
              <w:rPr>
                <w:spacing w:val="-62"/>
                <w:sz w:val="20"/>
                <w:szCs w:val="20"/>
                <w:highlight w:val="none"/>
                <w:lang w:eastAsia="zh-CN"/>
              </w:rPr>
              <w:t xml:space="preserve"> </w:t>
            </w:r>
            <w:r>
              <w:rPr>
                <w:spacing w:val="11"/>
                <w:sz w:val="20"/>
                <w:szCs w:val="20"/>
                <w:highlight w:val="none"/>
                <w:lang w:eastAsia="zh-CN"/>
              </w:rPr>
              <w:t>—</w:t>
            </w:r>
            <w:r>
              <w:rPr>
                <w:spacing w:val="-69"/>
                <w:sz w:val="20"/>
                <w:szCs w:val="20"/>
                <w:highlight w:val="none"/>
                <w:lang w:eastAsia="zh-CN"/>
              </w:rPr>
              <w:t xml:space="preserve"> </w:t>
            </w:r>
            <w:r>
              <w:rPr>
                <w:spacing w:val="11"/>
                <w:sz w:val="20"/>
                <w:szCs w:val="20"/>
                <w:highlight w:val="none"/>
                <w:lang w:eastAsia="zh-CN"/>
              </w:rPr>
              <w:t>100%（含100%）范围内、去掉一个最高值和一个最低值后的所</w:t>
            </w:r>
            <w:r>
              <w:rPr>
                <w:sz w:val="20"/>
                <w:szCs w:val="20"/>
                <w:highlight w:val="none"/>
                <w:lang w:eastAsia="zh-CN"/>
              </w:rPr>
              <w:t xml:space="preserve"> </w:t>
            </w:r>
            <w:r>
              <w:rPr>
                <w:spacing w:val="12"/>
                <w:sz w:val="20"/>
                <w:szCs w:val="20"/>
                <w:highlight w:val="none"/>
                <w:lang w:eastAsia="zh-CN"/>
              </w:rPr>
              <w:t>有投标人评标价的算术平均值即为评标价平均值（如参</w:t>
            </w:r>
            <w:r>
              <w:rPr>
                <w:spacing w:val="11"/>
                <w:sz w:val="20"/>
                <w:szCs w:val="20"/>
                <w:highlight w:val="none"/>
                <w:lang w:eastAsia="zh-CN"/>
              </w:rPr>
              <w:t>与评标价平均值</w:t>
            </w:r>
            <w:r>
              <w:rPr>
                <w:sz w:val="20"/>
                <w:szCs w:val="20"/>
                <w:highlight w:val="none"/>
                <w:lang w:eastAsia="zh-CN"/>
              </w:rPr>
              <w:t xml:space="preserve"> </w:t>
            </w:r>
            <w:r>
              <w:rPr>
                <w:spacing w:val="15"/>
                <w:sz w:val="20"/>
                <w:szCs w:val="20"/>
                <w:highlight w:val="none"/>
                <w:lang w:eastAsia="zh-CN"/>
              </w:rPr>
              <w:t>计算的有效投标人少于5家时，则计算评标价平均值时不去掉最高值和</w:t>
            </w:r>
            <w:r>
              <w:rPr>
                <w:sz w:val="20"/>
                <w:szCs w:val="20"/>
                <w:highlight w:val="none"/>
                <w:lang w:eastAsia="zh-CN"/>
              </w:rPr>
              <w:t xml:space="preserve"> </w:t>
            </w:r>
            <w:r>
              <w:rPr>
                <w:spacing w:val="7"/>
                <w:sz w:val="20"/>
                <w:szCs w:val="20"/>
                <w:highlight w:val="none"/>
                <w:lang w:eastAsia="zh-CN"/>
              </w:rPr>
              <w:t>最低值</w:t>
            </w:r>
            <w:r>
              <w:rPr>
                <w:sz w:val="20"/>
                <w:szCs w:val="20"/>
                <w:highlight w:val="none"/>
                <w:lang w:eastAsia="zh-CN"/>
              </w:rPr>
              <w:t>）；</w:t>
            </w:r>
          </w:p>
          <w:p>
            <w:pPr>
              <w:pStyle w:val="10"/>
              <w:keepNext w:val="0"/>
              <w:keepLines w:val="0"/>
              <w:pageBreakBefore w:val="0"/>
              <w:widowControl/>
              <w:kinsoku w:val="0"/>
              <w:wordWrap/>
              <w:overflowPunct/>
              <w:topLinePunct w:val="0"/>
              <w:autoSpaceDE w:val="0"/>
              <w:autoSpaceDN w:val="0"/>
              <w:bidi w:val="0"/>
              <w:adjustRightInd w:val="0"/>
              <w:snapToGrid w:val="0"/>
              <w:spacing w:before="28" w:line="288" w:lineRule="auto"/>
              <w:ind w:left="9" w:right="265" w:firstLine="418"/>
              <w:textAlignment w:val="baseline"/>
              <w:rPr>
                <w:sz w:val="20"/>
                <w:szCs w:val="20"/>
                <w:highlight w:val="none"/>
                <w:lang w:eastAsia="zh-CN"/>
              </w:rPr>
            </w:pPr>
            <w:r>
              <w:rPr>
                <w:spacing w:val="6"/>
                <w:sz w:val="20"/>
                <w:szCs w:val="20"/>
                <w:highlight w:val="none"/>
                <w:lang w:eastAsia="zh-CN"/>
              </w:rPr>
              <w:t xml:space="preserve">（3）评标基准价的计算采用两种方式，开标现场随机抽取确定评标 </w:t>
            </w:r>
            <w:r>
              <w:rPr>
                <w:spacing w:val="5"/>
                <w:sz w:val="20"/>
                <w:szCs w:val="20"/>
                <w:highlight w:val="none"/>
                <w:lang w:eastAsia="zh-CN"/>
              </w:rPr>
              <w:t>基准价计算方法。</w:t>
            </w:r>
          </w:p>
          <w:p>
            <w:pPr>
              <w:pStyle w:val="10"/>
              <w:keepNext w:val="0"/>
              <w:keepLines w:val="0"/>
              <w:pageBreakBefore w:val="0"/>
              <w:widowControl/>
              <w:kinsoku w:val="0"/>
              <w:wordWrap/>
              <w:overflowPunct/>
              <w:topLinePunct w:val="0"/>
              <w:autoSpaceDE w:val="0"/>
              <w:autoSpaceDN w:val="0"/>
              <w:bidi w:val="0"/>
              <w:adjustRightInd w:val="0"/>
              <w:snapToGrid w:val="0"/>
              <w:spacing w:before="27" w:line="288" w:lineRule="auto"/>
              <w:ind w:left="418"/>
              <w:textAlignment w:val="baseline"/>
              <w:rPr>
                <w:sz w:val="20"/>
                <w:szCs w:val="20"/>
                <w:highlight w:val="none"/>
                <w:lang w:eastAsia="zh-CN"/>
              </w:rPr>
            </w:pPr>
            <w:r>
              <w:rPr>
                <w:spacing w:val="6"/>
                <w:sz w:val="20"/>
                <w:szCs w:val="20"/>
                <w:highlight w:val="none"/>
                <w:lang w:eastAsia="zh-CN"/>
              </w:rPr>
              <w:t>方法一：将评标价平均值直接作为评标基准价。</w:t>
            </w:r>
          </w:p>
          <w:p>
            <w:pPr>
              <w:pStyle w:val="10"/>
              <w:keepNext w:val="0"/>
              <w:keepLines w:val="0"/>
              <w:pageBreakBefore w:val="0"/>
              <w:widowControl/>
              <w:kinsoku w:val="0"/>
              <w:wordWrap/>
              <w:overflowPunct/>
              <w:topLinePunct w:val="0"/>
              <w:autoSpaceDE w:val="0"/>
              <w:autoSpaceDN w:val="0"/>
              <w:bidi w:val="0"/>
              <w:adjustRightInd w:val="0"/>
              <w:snapToGrid w:val="0"/>
              <w:spacing w:before="25" w:line="288" w:lineRule="auto"/>
              <w:ind w:left="418"/>
              <w:textAlignment w:val="baseline"/>
              <w:rPr>
                <w:sz w:val="20"/>
                <w:szCs w:val="20"/>
                <w:highlight w:val="none"/>
                <w:lang w:eastAsia="zh-CN"/>
              </w:rPr>
            </w:pPr>
            <w:r>
              <w:rPr>
                <w:spacing w:val="4"/>
                <w:sz w:val="20"/>
                <w:szCs w:val="20"/>
                <w:highlight w:val="none"/>
                <w:lang w:eastAsia="zh-CN"/>
              </w:rPr>
              <w:t>方法二：在开标现场由投标人代表从+1%、+0.8%、+0.6%、+0.4%、</w:t>
            </w:r>
          </w:p>
          <w:p>
            <w:pPr>
              <w:pStyle w:val="10"/>
              <w:keepNext w:val="0"/>
              <w:keepLines w:val="0"/>
              <w:pageBreakBefore w:val="0"/>
              <w:widowControl/>
              <w:kinsoku w:val="0"/>
              <w:wordWrap/>
              <w:overflowPunct/>
              <w:topLinePunct w:val="0"/>
              <w:autoSpaceDE w:val="0"/>
              <w:autoSpaceDN w:val="0"/>
              <w:bidi w:val="0"/>
              <w:adjustRightInd w:val="0"/>
              <w:snapToGrid w:val="0"/>
              <w:spacing w:before="12" w:line="288" w:lineRule="auto"/>
              <w:ind w:left="12" w:right="303" w:hanging="2"/>
              <w:textAlignment w:val="baseline"/>
              <w:rPr>
                <w:sz w:val="20"/>
                <w:szCs w:val="20"/>
                <w:highlight w:val="none"/>
                <w:lang w:eastAsia="zh-CN"/>
              </w:rPr>
            </w:pPr>
            <w:r>
              <w:rPr>
                <w:spacing w:val="4"/>
                <w:sz w:val="20"/>
                <w:szCs w:val="20"/>
                <w:highlight w:val="none"/>
                <w:lang w:eastAsia="zh-CN"/>
              </w:rPr>
              <w:t>+0.2%、0、-0.2%、-0.4%、-0.6</w:t>
            </w:r>
            <w:r>
              <w:rPr>
                <w:spacing w:val="3"/>
                <w:sz w:val="20"/>
                <w:szCs w:val="20"/>
                <w:highlight w:val="none"/>
                <w:lang w:eastAsia="zh-CN"/>
              </w:rPr>
              <w:t>%、-0.8%、-1.0%十一个数值中随机抽取</w:t>
            </w:r>
            <w:r>
              <w:rPr>
                <w:sz w:val="20"/>
                <w:szCs w:val="20"/>
                <w:highlight w:val="none"/>
                <w:lang w:eastAsia="zh-CN"/>
              </w:rPr>
              <w:t xml:space="preserve"> </w:t>
            </w:r>
            <w:r>
              <w:rPr>
                <w:spacing w:val="6"/>
                <w:sz w:val="20"/>
                <w:szCs w:val="20"/>
                <w:highlight w:val="none"/>
                <w:lang w:eastAsia="zh-CN"/>
              </w:rPr>
              <w:t>一个作为浮动系数，对投标价平均值进行浮动后确定评标基准价。</w:t>
            </w:r>
          </w:p>
          <w:p>
            <w:pPr>
              <w:pStyle w:val="10"/>
              <w:keepNext w:val="0"/>
              <w:keepLines w:val="0"/>
              <w:pageBreakBefore w:val="0"/>
              <w:widowControl/>
              <w:kinsoku w:val="0"/>
              <w:wordWrap/>
              <w:overflowPunct/>
              <w:topLinePunct w:val="0"/>
              <w:autoSpaceDE w:val="0"/>
              <w:autoSpaceDN w:val="0"/>
              <w:bidi w:val="0"/>
              <w:adjustRightInd w:val="0"/>
              <w:snapToGrid w:val="0"/>
              <w:spacing w:before="26" w:line="288" w:lineRule="auto"/>
              <w:ind w:left="11" w:right="267" w:firstLine="409"/>
              <w:textAlignment w:val="baseline"/>
              <w:rPr>
                <w:sz w:val="20"/>
                <w:szCs w:val="20"/>
                <w:highlight w:val="none"/>
                <w:lang w:eastAsia="zh-CN"/>
              </w:rPr>
            </w:pPr>
            <w:r>
              <w:rPr>
                <w:spacing w:val="6"/>
                <w:sz w:val="20"/>
                <w:szCs w:val="20"/>
                <w:highlight w:val="none"/>
                <w:lang w:eastAsia="zh-CN"/>
              </w:rPr>
              <w:t>如果所有投标人的投标报价均低于最高投标限价90%，则评标基准价</w:t>
            </w:r>
            <w:r>
              <w:rPr>
                <w:spacing w:val="4"/>
                <w:sz w:val="20"/>
                <w:szCs w:val="20"/>
                <w:highlight w:val="none"/>
                <w:lang w:eastAsia="zh-CN"/>
              </w:rPr>
              <w:t xml:space="preserve"> </w:t>
            </w:r>
            <w:r>
              <w:rPr>
                <w:spacing w:val="6"/>
                <w:sz w:val="20"/>
                <w:szCs w:val="20"/>
                <w:highlight w:val="none"/>
                <w:lang w:eastAsia="zh-CN"/>
              </w:rPr>
              <w:t>直接按最高投标限价90%计算，抽取的浮动</w:t>
            </w:r>
            <w:r>
              <w:rPr>
                <w:spacing w:val="5"/>
                <w:sz w:val="20"/>
                <w:szCs w:val="20"/>
                <w:highlight w:val="none"/>
                <w:lang w:eastAsia="zh-CN"/>
              </w:rPr>
              <w:t>系数无效。</w:t>
            </w:r>
          </w:p>
          <w:p>
            <w:pPr>
              <w:pStyle w:val="10"/>
              <w:keepNext w:val="0"/>
              <w:keepLines w:val="0"/>
              <w:pageBreakBefore w:val="0"/>
              <w:widowControl/>
              <w:kinsoku w:val="0"/>
              <w:wordWrap/>
              <w:overflowPunct/>
              <w:topLinePunct w:val="0"/>
              <w:autoSpaceDE w:val="0"/>
              <w:autoSpaceDN w:val="0"/>
              <w:bidi w:val="0"/>
              <w:adjustRightInd w:val="0"/>
              <w:snapToGrid w:val="0"/>
              <w:spacing w:before="83" w:line="288" w:lineRule="auto"/>
              <w:ind w:left="113" w:right="39" w:firstLine="429"/>
              <w:jc w:val="both"/>
              <w:textAlignment w:val="baseline"/>
              <w:rPr>
                <w:spacing w:val="3"/>
                <w:sz w:val="20"/>
                <w:szCs w:val="20"/>
                <w:highlight w:val="none"/>
                <w:lang w:eastAsia="zh-CN"/>
              </w:rPr>
            </w:pPr>
            <w:r>
              <w:rPr>
                <w:spacing w:val="11"/>
                <w:sz w:val="20"/>
                <w:szCs w:val="20"/>
                <w:highlight w:val="none"/>
                <w:lang w:eastAsia="zh-CN"/>
              </w:rPr>
              <w:t>在评标过程中，评标委员会应对招标人计算的评标基准价进行复</w:t>
            </w:r>
            <w:r>
              <w:rPr>
                <w:spacing w:val="16"/>
                <w:sz w:val="20"/>
                <w:szCs w:val="20"/>
                <w:highlight w:val="none"/>
                <w:lang w:eastAsia="zh-CN"/>
              </w:rPr>
              <w:t xml:space="preserve"> </w:t>
            </w:r>
            <w:r>
              <w:rPr>
                <w:spacing w:val="11"/>
                <w:sz w:val="20"/>
                <w:szCs w:val="20"/>
                <w:highlight w:val="none"/>
                <w:lang w:eastAsia="zh-CN"/>
              </w:rPr>
              <w:t>核，存在计算错误的应予以修正并在评标报告中做出说明。除此之外</w:t>
            </w:r>
            <w:r>
              <w:rPr>
                <w:spacing w:val="15"/>
                <w:sz w:val="20"/>
                <w:szCs w:val="20"/>
                <w:highlight w:val="none"/>
                <w:lang w:eastAsia="zh-CN"/>
              </w:rPr>
              <w:t xml:space="preserve"> </w:t>
            </w:r>
            <w:r>
              <w:rPr>
                <w:spacing w:val="9"/>
                <w:sz w:val="20"/>
                <w:szCs w:val="20"/>
                <w:highlight w:val="none"/>
                <w:lang w:eastAsia="zh-CN"/>
              </w:rPr>
              <w:t>,</w:t>
            </w:r>
            <w:r>
              <w:rPr>
                <w:spacing w:val="60"/>
                <w:sz w:val="20"/>
                <w:szCs w:val="20"/>
                <w:highlight w:val="none"/>
                <w:lang w:eastAsia="zh-CN"/>
              </w:rPr>
              <w:t xml:space="preserve"> </w:t>
            </w:r>
            <w:r>
              <w:rPr>
                <w:spacing w:val="9"/>
                <w:sz w:val="20"/>
                <w:szCs w:val="20"/>
                <w:highlight w:val="none"/>
                <w:lang w:eastAsia="zh-CN"/>
              </w:rPr>
              <w:t>评标基准价在整个评标期间保持不变，不随任何因素发生变化。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jc w:val="center"/>
        </w:trPr>
        <w:tc>
          <w:tcPr>
            <w:tcW w:w="880" w:type="dxa"/>
            <w:vAlign w:val="center"/>
          </w:tcPr>
          <w:p>
            <w:pPr>
              <w:pStyle w:val="10"/>
              <w:spacing w:line="189" w:lineRule="auto"/>
              <w:jc w:val="center"/>
              <w:rPr>
                <w:spacing w:val="2"/>
                <w:sz w:val="20"/>
                <w:szCs w:val="20"/>
                <w:highlight w:val="none"/>
              </w:rPr>
            </w:pPr>
            <w:r>
              <w:rPr>
                <w:spacing w:val="2"/>
                <w:sz w:val="20"/>
                <w:szCs w:val="20"/>
                <w:highlight w:val="none"/>
              </w:rPr>
              <w:t>2.2.3</w:t>
            </w:r>
          </w:p>
        </w:tc>
        <w:tc>
          <w:tcPr>
            <w:tcW w:w="1530" w:type="dxa"/>
            <w:tcBorders>
              <w:right w:val="single" w:color="000000" w:sz="4" w:space="0"/>
            </w:tcBorders>
            <w:vAlign w:val="center"/>
          </w:tcPr>
          <w:p>
            <w:pPr>
              <w:pStyle w:val="10"/>
              <w:spacing w:before="111" w:line="226" w:lineRule="auto"/>
              <w:ind w:left="132"/>
              <w:jc w:val="center"/>
              <w:rPr>
                <w:spacing w:val="8"/>
                <w:sz w:val="20"/>
                <w:szCs w:val="20"/>
                <w:highlight w:val="none"/>
                <w:lang w:eastAsia="zh-CN"/>
              </w:rPr>
            </w:pPr>
            <w:r>
              <w:rPr>
                <w:spacing w:val="8"/>
                <w:sz w:val="20"/>
                <w:szCs w:val="20"/>
                <w:highlight w:val="none"/>
                <w:lang w:eastAsia="zh-CN"/>
              </w:rPr>
              <w:t>评标价的偏差</w:t>
            </w:r>
            <w:r>
              <w:rPr>
                <w:spacing w:val="7"/>
                <w:sz w:val="20"/>
                <w:szCs w:val="20"/>
                <w:highlight w:val="none"/>
                <w:lang w:eastAsia="zh-CN"/>
              </w:rPr>
              <w:t>率计算公式</w:t>
            </w:r>
          </w:p>
        </w:tc>
        <w:tc>
          <w:tcPr>
            <w:tcW w:w="7029" w:type="dxa"/>
            <w:tcBorders>
              <w:left w:val="single" w:color="000000" w:sz="4" w:space="0"/>
            </w:tcBorders>
          </w:tcPr>
          <w:p>
            <w:pPr>
              <w:pStyle w:val="10"/>
              <w:spacing w:before="83" w:line="277" w:lineRule="auto"/>
              <w:ind w:right="39"/>
              <w:jc w:val="both"/>
              <w:rPr>
                <w:spacing w:val="6"/>
                <w:sz w:val="20"/>
                <w:szCs w:val="20"/>
                <w:highlight w:val="none"/>
                <w:lang w:eastAsia="zh-CN"/>
              </w:rPr>
            </w:pPr>
          </w:p>
          <w:p>
            <w:pPr>
              <w:pStyle w:val="10"/>
              <w:spacing w:before="83" w:line="277" w:lineRule="auto"/>
              <w:ind w:right="39"/>
              <w:jc w:val="both"/>
              <w:rPr>
                <w:spacing w:val="11"/>
                <w:sz w:val="20"/>
                <w:szCs w:val="20"/>
                <w:highlight w:val="none"/>
                <w:lang w:eastAsia="zh-CN"/>
              </w:rPr>
            </w:pPr>
            <w:r>
              <w:rPr>
                <w:spacing w:val="6"/>
                <w:sz w:val="20"/>
                <w:szCs w:val="20"/>
                <w:highlight w:val="none"/>
                <w:lang w:eastAsia="zh-CN"/>
              </w:rPr>
              <w:t>偏差率=100%</w:t>
            </w:r>
            <w:r>
              <w:rPr>
                <w:spacing w:val="79"/>
                <w:sz w:val="20"/>
                <w:szCs w:val="20"/>
                <w:highlight w:val="none"/>
                <w:lang w:eastAsia="zh-CN"/>
              </w:rPr>
              <w:t xml:space="preserve"> </w:t>
            </w:r>
            <w:r>
              <w:rPr>
                <w:spacing w:val="6"/>
                <w:sz w:val="20"/>
                <w:szCs w:val="20"/>
                <w:highlight w:val="none"/>
                <w:lang w:eastAsia="zh-CN"/>
              </w:rPr>
              <w:t>×（投标人评标价－评标基准价）/评标基准价偏差率</w:t>
            </w:r>
            <w:r>
              <w:rPr>
                <w:spacing w:val="5"/>
                <w:sz w:val="20"/>
                <w:szCs w:val="20"/>
                <w:highlight w:val="none"/>
                <w:lang w:eastAsia="zh-CN"/>
              </w:rPr>
              <w:t>保留</w:t>
            </w:r>
            <w:r>
              <w:rPr>
                <w:spacing w:val="5"/>
                <w:sz w:val="20"/>
                <w:szCs w:val="20"/>
                <w:highlight w:val="none"/>
                <w:u w:val="single"/>
                <w:lang w:eastAsia="zh-CN"/>
              </w:rPr>
              <w:t xml:space="preserve"> 2 </w:t>
            </w:r>
            <w:r>
              <w:rPr>
                <w:spacing w:val="5"/>
                <w:sz w:val="20"/>
                <w:szCs w:val="20"/>
                <w:highlight w:val="none"/>
                <w:lang w:eastAsia="zh-CN"/>
              </w:rPr>
              <w:t>位小数，第三位小数四舍五入。</w:t>
            </w:r>
          </w:p>
        </w:tc>
      </w:tr>
    </w:tbl>
    <w:p>
      <w:pPr>
        <w:rPr>
          <w:highlight w:val="none"/>
          <w:lang w:eastAsia="zh-CN"/>
        </w:rPr>
      </w:pPr>
      <w:r>
        <w:rPr>
          <w:highlight w:val="none"/>
          <w:lang w:eastAsia="zh-CN"/>
        </w:rPr>
        <w:br w:type="page"/>
      </w:r>
    </w:p>
    <w:tbl>
      <w:tblPr>
        <w:tblStyle w:val="11"/>
        <w:tblW w:w="91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6"/>
        <w:gridCol w:w="1125"/>
        <w:gridCol w:w="942"/>
        <w:gridCol w:w="1551"/>
        <w:gridCol w:w="791"/>
        <w:gridCol w:w="39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96" w:type="dxa"/>
            <w:vMerge w:val="restart"/>
            <w:tcBorders>
              <w:bottom w:val="nil"/>
            </w:tcBorders>
          </w:tcPr>
          <w:p>
            <w:pPr>
              <w:spacing w:line="321" w:lineRule="auto"/>
              <w:rPr>
                <w:highlight w:val="none"/>
                <w:lang w:eastAsia="zh-CN"/>
              </w:rPr>
            </w:pPr>
          </w:p>
          <w:p>
            <w:pPr>
              <w:spacing w:line="322" w:lineRule="auto"/>
              <w:rPr>
                <w:highlight w:val="none"/>
                <w:lang w:eastAsia="zh-CN"/>
              </w:rPr>
            </w:pPr>
          </w:p>
          <w:p>
            <w:pPr>
              <w:pStyle w:val="10"/>
              <w:spacing w:before="65" w:line="228" w:lineRule="auto"/>
              <w:ind w:left="145"/>
              <w:rPr>
                <w:sz w:val="20"/>
                <w:szCs w:val="20"/>
                <w:highlight w:val="none"/>
              </w:rPr>
            </w:pPr>
            <w:r>
              <w:rPr>
                <w:spacing w:val="7"/>
                <w:sz w:val="20"/>
                <w:szCs w:val="20"/>
                <w:highlight w:val="none"/>
                <w14:textOutline w14:w="3797" w14:cap="sq" w14:cmpd="sng" w14:algn="ctr">
                  <w14:solidFill>
                    <w14:srgbClr w14:val="000000"/>
                  </w14:solidFill>
                  <w14:prstDash w14:val="solid"/>
                  <w14:bevel/>
                </w14:textOutline>
              </w:rPr>
              <w:t>条款号</w:t>
            </w:r>
          </w:p>
        </w:tc>
        <w:tc>
          <w:tcPr>
            <w:tcW w:w="4409" w:type="dxa"/>
            <w:gridSpan w:val="4"/>
          </w:tcPr>
          <w:p>
            <w:pPr>
              <w:pStyle w:val="10"/>
              <w:spacing w:before="134" w:line="228" w:lineRule="auto"/>
              <w:ind w:left="1453"/>
              <w:rPr>
                <w:sz w:val="20"/>
                <w:szCs w:val="20"/>
                <w:highlight w:val="none"/>
              </w:rPr>
            </w:pPr>
            <w:r>
              <w:rPr>
                <w:spacing w:val="9"/>
                <w:sz w:val="20"/>
                <w:szCs w:val="20"/>
                <w:highlight w:val="none"/>
                <w14:textOutline w14:w="3797" w14:cap="sq" w14:cmpd="sng" w14:algn="ctr">
                  <w14:solidFill>
                    <w14:srgbClr w14:val="000000"/>
                  </w14:solidFill>
                  <w14:prstDash w14:val="solid"/>
                  <w14:bevel/>
                </w14:textOutline>
              </w:rPr>
              <w:t>评分因素与权重分值</w:t>
            </w:r>
          </w:p>
        </w:tc>
        <w:tc>
          <w:tcPr>
            <w:tcW w:w="3994" w:type="dxa"/>
            <w:vMerge w:val="restart"/>
            <w:vAlign w:val="center"/>
          </w:tcPr>
          <w:p>
            <w:pPr>
              <w:pStyle w:val="10"/>
              <w:spacing w:before="65" w:line="228" w:lineRule="auto"/>
              <w:ind w:left="183"/>
              <w:jc w:val="center"/>
              <w:rPr>
                <w:spacing w:val="4"/>
                <w:sz w:val="20"/>
                <w:szCs w:val="20"/>
                <w:highlight w:val="none"/>
                <w14:textOutline w14:w="3797" w14:cap="sq" w14:cmpd="sng" w14:algn="ctr">
                  <w14:solidFill>
                    <w14:srgbClr w14:val="000000"/>
                  </w14:solidFill>
                  <w14:prstDash w14:val="solid"/>
                  <w14:bevel/>
                </w14:textOutline>
              </w:rPr>
            </w:pPr>
            <w:r>
              <w:rPr>
                <w:spacing w:val="8"/>
                <w:sz w:val="20"/>
                <w:szCs w:val="20"/>
                <w:highlight w:val="none"/>
                <w14:textOutline w14:w="3797" w14:cap="sq" w14:cmpd="sng" w14:algn="ctr">
                  <w14:solidFill>
                    <w14:srgbClr w14:val="000000"/>
                  </w14:solidFill>
                  <w14:prstDash w14:val="solid"/>
                  <w14:bevel/>
                </w14:textOutli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796" w:type="dxa"/>
            <w:vMerge w:val="continue"/>
            <w:tcBorders>
              <w:top w:val="nil"/>
              <w:bottom w:val="single" w:color="auto" w:sz="4" w:space="0"/>
            </w:tcBorders>
          </w:tcPr>
          <w:p>
            <w:pPr>
              <w:rPr>
                <w:highlight w:val="none"/>
              </w:rPr>
            </w:pPr>
          </w:p>
        </w:tc>
        <w:tc>
          <w:tcPr>
            <w:tcW w:w="1125" w:type="dxa"/>
          </w:tcPr>
          <w:p>
            <w:pPr>
              <w:pStyle w:val="10"/>
              <w:spacing w:before="279" w:line="228" w:lineRule="auto"/>
              <w:ind w:left="8"/>
              <w:jc w:val="center"/>
              <w:rPr>
                <w:sz w:val="20"/>
                <w:szCs w:val="20"/>
                <w:highlight w:val="none"/>
              </w:rPr>
            </w:pPr>
            <w:r>
              <w:rPr>
                <w:spacing w:val="8"/>
                <w:sz w:val="20"/>
                <w:szCs w:val="20"/>
                <w:highlight w:val="none"/>
                <w14:textOutline w14:w="3797" w14:cap="sq" w14:cmpd="sng" w14:algn="ctr">
                  <w14:solidFill>
                    <w14:srgbClr w14:val="000000"/>
                  </w14:solidFill>
                  <w14:prstDash w14:val="solid"/>
                  <w14:bevel/>
                </w14:textOutline>
              </w:rPr>
              <w:t>评分因素</w:t>
            </w:r>
          </w:p>
        </w:tc>
        <w:tc>
          <w:tcPr>
            <w:tcW w:w="942" w:type="dxa"/>
          </w:tcPr>
          <w:p>
            <w:pPr>
              <w:pStyle w:val="10"/>
              <w:spacing w:before="138" w:line="381" w:lineRule="exact"/>
              <w:ind w:left="173"/>
              <w:jc w:val="center"/>
              <w:rPr>
                <w:sz w:val="20"/>
                <w:szCs w:val="20"/>
                <w:highlight w:val="none"/>
              </w:rPr>
            </w:pPr>
            <w:r>
              <w:rPr>
                <w:spacing w:val="9"/>
                <w:sz w:val="20"/>
                <w:szCs w:val="20"/>
                <w:highlight w:val="none"/>
                <w14:textOutline w14:w="3797" w14:cap="sq" w14:cmpd="sng" w14:algn="ctr">
                  <w14:solidFill>
                    <w14:srgbClr w14:val="000000"/>
                  </w14:solidFill>
                  <w14:prstDash w14:val="solid"/>
                  <w14:bevel/>
                </w14:textOutline>
              </w:rPr>
              <w:t>评分因素权重分值</w:t>
            </w:r>
          </w:p>
        </w:tc>
        <w:tc>
          <w:tcPr>
            <w:tcW w:w="1551" w:type="dxa"/>
          </w:tcPr>
          <w:p>
            <w:pPr>
              <w:pStyle w:val="10"/>
              <w:spacing w:before="279" w:line="228" w:lineRule="auto"/>
              <w:ind w:left="179"/>
              <w:jc w:val="center"/>
              <w:rPr>
                <w:sz w:val="20"/>
                <w:szCs w:val="20"/>
                <w:highlight w:val="none"/>
              </w:rPr>
            </w:pPr>
            <w:r>
              <w:rPr>
                <w:spacing w:val="9"/>
                <w:sz w:val="20"/>
                <w:szCs w:val="20"/>
                <w:highlight w:val="none"/>
                <w14:textOutline w14:w="3797" w14:cap="sq" w14:cmpd="sng" w14:algn="ctr">
                  <w14:solidFill>
                    <w14:srgbClr w14:val="000000"/>
                  </w14:solidFill>
                  <w14:prstDash w14:val="solid"/>
                  <w14:bevel/>
                </w14:textOutline>
              </w:rPr>
              <w:t>各评分因素细分项</w:t>
            </w:r>
          </w:p>
        </w:tc>
        <w:tc>
          <w:tcPr>
            <w:tcW w:w="791" w:type="dxa"/>
          </w:tcPr>
          <w:p>
            <w:pPr>
              <w:spacing w:line="341" w:lineRule="auto"/>
              <w:jc w:val="center"/>
              <w:rPr>
                <w:highlight w:val="none"/>
              </w:rPr>
            </w:pPr>
          </w:p>
          <w:p>
            <w:pPr>
              <w:pStyle w:val="10"/>
              <w:spacing w:before="65" w:line="228" w:lineRule="auto"/>
              <w:ind w:left="183"/>
              <w:jc w:val="center"/>
              <w:rPr>
                <w:sz w:val="20"/>
                <w:szCs w:val="20"/>
                <w:highlight w:val="none"/>
              </w:rPr>
            </w:pPr>
            <w:r>
              <w:rPr>
                <w:spacing w:val="4"/>
                <w:sz w:val="20"/>
                <w:szCs w:val="20"/>
                <w:highlight w:val="none"/>
                <w14:textOutline w14:w="3797" w14:cap="sq" w14:cmpd="sng" w14:algn="ctr">
                  <w14:solidFill>
                    <w14:srgbClr w14:val="000000"/>
                  </w14:solidFill>
                  <w14:prstDash w14:val="solid"/>
                  <w14:bevel/>
                </w14:textOutline>
              </w:rPr>
              <w:t>分值</w:t>
            </w:r>
          </w:p>
        </w:tc>
        <w:tc>
          <w:tcPr>
            <w:tcW w:w="3994" w:type="dxa"/>
            <w:vMerge w:val="continue"/>
          </w:tcPr>
          <w:p>
            <w:pPr>
              <w:pStyle w:val="10"/>
              <w:spacing w:before="65" w:line="228" w:lineRule="auto"/>
              <w:ind w:left="183"/>
              <w:rPr>
                <w:spacing w:val="4"/>
                <w:sz w:val="20"/>
                <w:szCs w:val="20"/>
                <w:highlight w:val="none"/>
                <w14:textOutline w14:w="3797" w14:cap="sq" w14:cmpd="sng" w14:algn="ctr">
                  <w14:solidFill>
                    <w14:srgbClr w14:val="000000"/>
                  </w14:solidFill>
                  <w14:prstDash w14:val="solid"/>
                  <w14:bevel/>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796" w:type="dxa"/>
            <w:vMerge w:val="restart"/>
            <w:tcBorders>
              <w:top w:val="single" w:color="auto" w:sz="4" w:space="0"/>
              <w:left w:val="single" w:color="auto" w:sz="4" w:space="0"/>
              <w:right w:val="single" w:color="auto" w:sz="4" w:space="0"/>
            </w:tcBorders>
            <w:vAlign w:val="center"/>
          </w:tcPr>
          <w:p>
            <w:pPr>
              <w:pStyle w:val="10"/>
              <w:spacing w:before="65" w:line="228" w:lineRule="auto"/>
              <w:jc w:val="center"/>
              <w:rPr>
                <w:spacing w:val="6"/>
                <w:sz w:val="20"/>
                <w:szCs w:val="20"/>
                <w:highlight w:val="none"/>
              </w:rPr>
            </w:pPr>
            <w:r>
              <w:rPr>
                <w:spacing w:val="6"/>
                <w:sz w:val="20"/>
                <w:szCs w:val="20"/>
                <w:highlight w:val="none"/>
              </w:rPr>
              <w:t>2.2.4</w:t>
            </w:r>
          </w:p>
          <w:p>
            <w:pPr>
              <w:pStyle w:val="10"/>
              <w:spacing w:before="65" w:line="228" w:lineRule="auto"/>
              <w:jc w:val="center"/>
              <w:rPr>
                <w:spacing w:val="6"/>
                <w:sz w:val="20"/>
                <w:szCs w:val="20"/>
                <w:highlight w:val="none"/>
              </w:rPr>
            </w:pPr>
            <w:r>
              <w:rPr>
                <w:spacing w:val="6"/>
                <w:sz w:val="20"/>
                <w:szCs w:val="20"/>
                <w:highlight w:val="none"/>
              </w:rPr>
              <w:t>（1）</w:t>
            </w:r>
          </w:p>
        </w:tc>
        <w:tc>
          <w:tcPr>
            <w:tcW w:w="1125" w:type="dxa"/>
            <w:vMerge w:val="restart"/>
            <w:tcBorders>
              <w:left w:val="single" w:color="auto" w:sz="4" w:space="0"/>
            </w:tcBorders>
            <w:vAlign w:val="center"/>
          </w:tcPr>
          <w:p>
            <w:pPr>
              <w:pStyle w:val="10"/>
              <w:spacing w:before="65" w:line="228" w:lineRule="auto"/>
              <w:jc w:val="center"/>
              <w:rPr>
                <w:spacing w:val="6"/>
                <w:sz w:val="20"/>
                <w:szCs w:val="20"/>
                <w:highlight w:val="none"/>
              </w:rPr>
            </w:pPr>
            <w:r>
              <w:rPr>
                <w:spacing w:val="6"/>
                <w:sz w:val="20"/>
                <w:szCs w:val="20"/>
                <w:highlight w:val="none"/>
              </w:rPr>
              <w:t>技术建议书</w:t>
            </w:r>
          </w:p>
        </w:tc>
        <w:tc>
          <w:tcPr>
            <w:tcW w:w="942" w:type="dxa"/>
            <w:vMerge w:val="restart"/>
            <w:vAlign w:val="center"/>
          </w:tcPr>
          <w:p>
            <w:pPr>
              <w:pStyle w:val="10"/>
              <w:spacing w:before="138" w:line="381" w:lineRule="exact"/>
              <w:ind w:left="173"/>
              <w:jc w:val="center"/>
              <w:rPr>
                <w:spacing w:val="9"/>
                <w:sz w:val="20"/>
                <w:szCs w:val="20"/>
                <w:highlight w:val="none"/>
                <w14:textOutline w14:w="3797" w14:cap="sq" w14:cmpd="sng" w14:algn="ctr">
                  <w14:solidFill>
                    <w14:srgbClr w14:val="000000"/>
                  </w14:solidFill>
                  <w14:prstDash w14:val="solid"/>
                  <w14:bevel/>
                </w14:textOutline>
              </w:rPr>
            </w:pPr>
            <w:r>
              <w:rPr>
                <w:rFonts w:hint="eastAsia"/>
                <w:spacing w:val="1"/>
                <w:sz w:val="20"/>
                <w:szCs w:val="20"/>
                <w:highlight w:val="none"/>
                <w:u w:val="single"/>
                <w:lang w:eastAsia="zh-CN"/>
              </w:rPr>
              <w:t>45</w:t>
            </w:r>
            <w:r>
              <w:rPr>
                <w:spacing w:val="1"/>
                <w:sz w:val="20"/>
                <w:szCs w:val="20"/>
                <w:highlight w:val="none"/>
              </w:rPr>
              <w:t>分</w:t>
            </w:r>
          </w:p>
        </w:tc>
        <w:tc>
          <w:tcPr>
            <w:tcW w:w="1551" w:type="dxa"/>
            <w:vAlign w:val="center"/>
          </w:tcPr>
          <w:p>
            <w:pPr>
              <w:pStyle w:val="10"/>
              <w:spacing w:before="65" w:line="228" w:lineRule="auto"/>
              <w:jc w:val="center"/>
              <w:rPr>
                <w:spacing w:val="6"/>
                <w:sz w:val="20"/>
                <w:szCs w:val="20"/>
                <w:highlight w:val="none"/>
                <w:lang w:eastAsia="zh-CN"/>
              </w:rPr>
            </w:pPr>
            <w:r>
              <w:rPr>
                <w:rFonts w:hint="eastAsia"/>
                <w:spacing w:val="6"/>
                <w:sz w:val="20"/>
                <w:szCs w:val="20"/>
                <w:highlight w:val="none"/>
                <w:lang w:eastAsia="zh-CN"/>
              </w:rPr>
              <w:t>对招标项目的理解和总体设计思路</w:t>
            </w:r>
          </w:p>
        </w:tc>
        <w:tc>
          <w:tcPr>
            <w:tcW w:w="791" w:type="dxa"/>
            <w:vAlign w:val="center"/>
          </w:tcPr>
          <w:p>
            <w:pPr>
              <w:pStyle w:val="10"/>
              <w:spacing w:before="65" w:line="228" w:lineRule="auto"/>
              <w:jc w:val="center"/>
              <w:rPr>
                <w:spacing w:val="6"/>
                <w:sz w:val="20"/>
                <w:szCs w:val="20"/>
                <w:highlight w:val="none"/>
              </w:rPr>
            </w:pPr>
            <w:r>
              <w:rPr>
                <w:rFonts w:hint="eastAsia"/>
                <w:spacing w:val="6"/>
                <w:sz w:val="20"/>
                <w:szCs w:val="20"/>
                <w:highlight w:val="none"/>
                <w:lang w:eastAsia="zh-CN"/>
              </w:rPr>
              <w:t>10</w:t>
            </w:r>
            <w:r>
              <w:rPr>
                <w:spacing w:val="6"/>
                <w:sz w:val="20"/>
                <w:szCs w:val="20"/>
                <w:highlight w:val="none"/>
              </w:rPr>
              <w:t>分</w:t>
            </w:r>
          </w:p>
        </w:tc>
        <w:tc>
          <w:tcPr>
            <w:tcW w:w="3994" w:type="dxa"/>
          </w:tcPr>
          <w:p>
            <w:pPr>
              <w:pStyle w:val="10"/>
              <w:spacing w:before="65" w:line="228" w:lineRule="auto"/>
              <w:rPr>
                <w:spacing w:val="6"/>
                <w:sz w:val="20"/>
                <w:szCs w:val="20"/>
                <w:highlight w:val="none"/>
                <w:lang w:eastAsia="zh-CN"/>
              </w:rPr>
            </w:pPr>
            <w:r>
              <w:rPr>
                <w:spacing w:val="6"/>
                <w:sz w:val="20"/>
                <w:szCs w:val="20"/>
                <w:highlight w:val="none"/>
                <w:lang w:eastAsia="zh-CN"/>
              </w:rPr>
              <w:t>根据投标人对本次招标所包括的设计工作范围和任务描述、对项目建设条件的理解进行评分</w:t>
            </w:r>
            <w:r>
              <w:rPr>
                <w:rFonts w:hint="eastAsia"/>
                <w:spacing w:val="6"/>
                <w:sz w:val="20"/>
                <w:szCs w:val="20"/>
                <w:highlight w:val="none"/>
                <w:lang w:eastAsia="zh-CN"/>
              </w:rPr>
              <w:t>，评分范围为6-10分。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6" w:type="dxa"/>
            <w:vMerge w:val="continue"/>
            <w:tcBorders>
              <w:left w:val="single" w:color="auto" w:sz="4" w:space="0"/>
              <w:right w:val="single" w:color="auto" w:sz="4" w:space="0"/>
            </w:tcBorders>
            <w:vAlign w:val="center"/>
          </w:tcPr>
          <w:p>
            <w:pPr>
              <w:pStyle w:val="10"/>
              <w:spacing w:before="279" w:line="228" w:lineRule="auto"/>
              <w:ind w:left="179"/>
              <w:rPr>
                <w:spacing w:val="6"/>
                <w:sz w:val="20"/>
                <w:szCs w:val="20"/>
                <w:highlight w:val="none"/>
                <w:lang w:eastAsia="zh-CN"/>
              </w:rPr>
            </w:pPr>
          </w:p>
        </w:tc>
        <w:tc>
          <w:tcPr>
            <w:tcW w:w="1125" w:type="dxa"/>
            <w:vMerge w:val="continue"/>
            <w:tcBorders>
              <w:left w:val="single" w:color="auto" w:sz="4" w:space="0"/>
            </w:tcBorders>
            <w:vAlign w:val="center"/>
          </w:tcPr>
          <w:p>
            <w:pPr>
              <w:pStyle w:val="10"/>
              <w:spacing w:before="279" w:line="228" w:lineRule="auto"/>
              <w:ind w:left="179"/>
              <w:rPr>
                <w:spacing w:val="6"/>
                <w:sz w:val="20"/>
                <w:szCs w:val="20"/>
                <w:highlight w:val="none"/>
                <w:lang w:eastAsia="zh-CN"/>
              </w:rPr>
            </w:pPr>
          </w:p>
        </w:tc>
        <w:tc>
          <w:tcPr>
            <w:tcW w:w="942" w:type="dxa"/>
            <w:vMerge w:val="continue"/>
            <w:vAlign w:val="center"/>
          </w:tcPr>
          <w:p>
            <w:pPr>
              <w:pStyle w:val="10"/>
              <w:spacing w:before="279" w:line="228" w:lineRule="auto"/>
              <w:ind w:left="179"/>
              <w:rPr>
                <w:spacing w:val="6"/>
                <w:sz w:val="20"/>
                <w:szCs w:val="20"/>
                <w:highlight w:val="none"/>
                <w:lang w:eastAsia="zh-CN"/>
              </w:rPr>
            </w:pPr>
          </w:p>
        </w:tc>
        <w:tc>
          <w:tcPr>
            <w:tcW w:w="1551" w:type="dxa"/>
            <w:vAlign w:val="center"/>
          </w:tcPr>
          <w:p>
            <w:pPr>
              <w:pStyle w:val="10"/>
              <w:spacing w:before="65" w:line="228" w:lineRule="auto"/>
              <w:jc w:val="center"/>
              <w:rPr>
                <w:spacing w:val="6"/>
                <w:sz w:val="20"/>
                <w:szCs w:val="20"/>
                <w:highlight w:val="none"/>
                <w:lang w:eastAsia="zh-CN"/>
              </w:rPr>
            </w:pPr>
            <w:r>
              <w:rPr>
                <w:rFonts w:hint="eastAsia"/>
                <w:spacing w:val="6"/>
                <w:sz w:val="20"/>
                <w:szCs w:val="20"/>
                <w:highlight w:val="none"/>
                <w:lang w:eastAsia="zh-CN"/>
              </w:rPr>
              <w:t>招标项目勘察设计的特点、关键技术问题的认识及其对策措施</w:t>
            </w:r>
          </w:p>
        </w:tc>
        <w:tc>
          <w:tcPr>
            <w:tcW w:w="791" w:type="dxa"/>
            <w:vAlign w:val="center"/>
          </w:tcPr>
          <w:p>
            <w:pPr>
              <w:pStyle w:val="10"/>
              <w:spacing w:before="65" w:line="228" w:lineRule="auto"/>
              <w:jc w:val="center"/>
              <w:rPr>
                <w:spacing w:val="6"/>
                <w:sz w:val="20"/>
                <w:szCs w:val="20"/>
                <w:highlight w:val="none"/>
              </w:rPr>
            </w:pPr>
            <w:r>
              <w:rPr>
                <w:rFonts w:hint="eastAsia"/>
                <w:spacing w:val="6"/>
                <w:sz w:val="20"/>
                <w:szCs w:val="20"/>
                <w:highlight w:val="none"/>
                <w:lang w:eastAsia="zh-CN"/>
              </w:rPr>
              <w:t>10</w:t>
            </w:r>
            <w:r>
              <w:rPr>
                <w:spacing w:val="6"/>
                <w:sz w:val="20"/>
                <w:szCs w:val="20"/>
                <w:highlight w:val="none"/>
              </w:rPr>
              <w:t>分</w:t>
            </w:r>
          </w:p>
        </w:tc>
        <w:tc>
          <w:tcPr>
            <w:tcW w:w="3994" w:type="dxa"/>
          </w:tcPr>
          <w:p>
            <w:pPr>
              <w:pStyle w:val="10"/>
              <w:spacing w:before="65" w:line="228" w:lineRule="auto"/>
              <w:rPr>
                <w:spacing w:val="6"/>
                <w:sz w:val="20"/>
                <w:szCs w:val="20"/>
                <w:highlight w:val="none"/>
                <w:lang w:eastAsia="zh-CN"/>
              </w:rPr>
            </w:pPr>
            <w:r>
              <w:rPr>
                <w:spacing w:val="6"/>
                <w:sz w:val="20"/>
                <w:szCs w:val="20"/>
                <w:highlight w:val="none"/>
                <w:lang w:eastAsia="zh-CN"/>
              </w:rPr>
              <w:t>根据投标人对招标项目设计特点的理解程度、对关键技术问题的把握情况以及对策措施的有 效可行性进行评分</w:t>
            </w:r>
            <w:r>
              <w:rPr>
                <w:rFonts w:hint="eastAsia"/>
                <w:spacing w:val="6"/>
                <w:sz w:val="20"/>
                <w:szCs w:val="20"/>
                <w:highlight w:val="none"/>
                <w:lang w:eastAsia="zh-CN"/>
              </w:rPr>
              <w:t>，评分范围为6-10分。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796" w:type="dxa"/>
            <w:vMerge w:val="continue"/>
            <w:tcBorders>
              <w:left w:val="single" w:color="auto" w:sz="4" w:space="0"/>
              <w:right w:val="single" w:color="auto" w:sz="4" w:space="0"/>
            </w:tcBorders>
            <w:vAlign w:val="center"/>
          </w:tcPr>
          <w:p>
            <w:pPr>
              <w:pStyle w:val="10"/>
              <w:spacing w:before="279" w:line="228" w:lineRule="auto"/>
              <w:ind w:left="179"/>
              <w:rPr>
                <w:spacing w:val="6"/>
                <w:sz w:val="20"/>
                <w:szCs w:val="20"/>
                <w:highlight w:val="none"/>
                <w:lang w:eastAsia="zh-CN"/>
              </w:rPr>
            </w:pPr>
          </w:p>
        </w:tc>
        <w:tc>
          <w:tcPr>
            <w:tcW w:w="1125" w:type="dxa"/>
            <w:vMerge w:val="continue"/>
            <w:tcBorders>
              <w:left w:val="single" w:color="auto" w:sz="4" w:space="0"/>
            </w:tcBorders>
            <w:vAlign w:val="center"/>
          </w:tcPr>
          <w:p>
            <w:pPr>
              <w:pStyle w:val="10"/>
              <w:spacing w:before="279" w:line="228" w:lineRule="auto"/>
              <w:ind w:left="179"/>
              <w:rPr>
                <w:spacing w:val="6"/>
                <w:sz w:val="20"/>
                <w:szCs w:val="20"/>
                <w:highlight w:val="none"/>
                <w:lang w:eastAsia="zh-CN"/>
              </w:rPr>
            </w:pPr>
          </w:p>
        </w:tc>
        <w:tc>
          <w:tcPr>
            <w:tcW w:w="942" w:type="dxa"/>
            <w:vMerge w:val="continue"/>
            <w:vAlign w:val="center"/>
          </w:tcPr>
          <w:p>
            <w:pPr>
              <w:pStyle w:val="10"/>
              <w:spacing w:before="279" w:line="228" w:lineRule="auto"/>
              <w:ind w:left="179"/>
              <w:rPr>
                <w:spacing w:val="6"/>
                <w:sz w:val="20"/>
                <w:szCs w:val="20"/>
                <w:highlight w:val="none"/>
                <w:lang w:eastAsia="zh-CN"/>
              </w:rPr>
            </w:pPr>
          </w:p>
        </w:tc>
        <w:tc>
          <w:tcPr>
            <w:tcW w:w="1551" w:type="dxa"/>
            <w:vAlign w:val="center"/>
          </w:tcPr>
          <w:p>
            <w:pPr>
              <w:pStyle w:val="10"/>
              <w:spacing w:before="65" w:line="228" w:lineRule="auto"/>
              <w:jc w:val="center"/>
              <w:rPr>
                <w:rFonts w:hint="default"/>
                <w:spacing w:val="6"/>
                <w:sz w:val="20"/>
                <w:szCs w:val="20"/>
                <w:highlight w:val="none"/>
                <w:lang w:val="en-US" w:eastAsia="zh-CN"/>
              </w:rPr>
            </w:pPr>
            <w:r>
              <w:rPr>
                <w:rFonts w:hint="eastAsia"/>
                <w:spacing w:val="6"/>
                <w:sz w:val="20"/>
                <w:szCs w:val="20"/>
                <w:highlight w:val="none"/>
                <w:lang w:val="en-US" w:eastAsia="zh-CN"/>
              </w:rPr>
              <w:t>初步设计方案</w:t>
            </w:r>
          </w:p>
        </w:tc>
        <w:tc>
          <w:tcPr>
            <w:tcW w:w="791" w:type="dxa"/>
            <w:vAlign w:val="center"/>
          </w:tcPr>
          <w:p>
            <w:pPr>
              <w:pStyle w:val="10"/>
              <w:spacing w:before="65" w:line="228" w:lineRule="auto"/>
              <w:jc w:val="center"/>
              <w:rPr>
                <w:rFonts w:hint="default"/>
                <w:spacing w:val="6"/>
                <w:sz w:val="20"/>
                <w:szCs w:val="20"/>
                <w:highlight w:val="none"/>
                <w:lang w:val="en-US" w:eastAsia="zh-CN"/>
              </w:rPr>
            </w:pPr>
            <w:r>
              <w:rPr>
                <w:rFonts w:hint="eastAsia"/>
                <w:spacing w:val="6"/>
                <w:sz w:val="20"/>
                <w:szCs w:val="20"/>
                <w:highlight w:val="none"/>
                <w:lang w:val="en-US" w:eastAsia="zh-CN"/>
              </w:rPr>
              <w:t>10分</w:t>
            </w:r>
          </w:p>
        </w:tc>
        <w:tc>
          <w:tcPr>
            <w:tcW w:w="3994" w:type="dxa"/>
          </w:tcPr>
          <w:p>
            <w:pPr>
              <w:pStyle w:val="10"/>
              <w:spacing w:before="65" w:line="228" w:lineRule="auto"/>
              <w:rPr>
                <w:rFonts w:hint="default"/>
                <w:spacing w:val="6"/>
                <w:sz w:val="20"/>
                <w:szCs w:val="20"/>
                <w:highlight w:val="none"/>
                <w:lang w:val="en-US" w:eastAsia="zh-CN"/>
              </w:rPr>
            </w:pPr>
            <w:r>
              <w:rPr>
                <w:rFonts w:hint="eastAsia"/>
                <w:spacing w:val="6"/>
                <w:sz w:val="20"/>
                <w:szCs w:val="20"/>
                <w:highlight w:val="none"/>
                <w:lang w:val="en-US" w:eastAsia="zh-CN"/>
              </w:rPr>
              <w:t>结合本项目的招标内容，提供初步设计方案，并按照项目额度进行限额设计，方案中体现成本及依据，根据方案的完整性、可行性进行评分，评分范围为6-10分。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796" w:type="dxa"/>
            <w:vMerge w:val="continue"/>
            <w:tcBorders>
              <w:left w:val="single" w:color="auto" w:sz="4" w:space="0"/>
              <w:right w:val="single" w:color="auto" w:sz="4" w:space="0"/>
            </w:tcBorders>
            <w:vAlign w:val="center"/>
          </w:tcPr>
          <w:p>
            <w:pPr>
              <w:pStyle w:val="10"/>
              <w:spacing w:before="279" w:line="228" w:lineRule="auto"/>
              <w:ind w:left="179"/>
              <w:rPr>
                <w:spacing w:val="6"/>
                <w:sz w:val="20"/>
                <w:szCs w:val="20"/>
                <w:highlight w:val="none"/>
                <w:lang w:eastAsia="zh-CN"/>
              </w:rPr>
            </w:pPr>
          </w:p>
        </w:tc>
        <w:tc>
          <w:tcPr>
            <w:tcW w:w="1125" w:type="dxa"/>
            <w:vMerge w:val="continue"/>
            <w:tcBorders>
              <w:left w:val="single" w:color="auto" w:sz="4" w:space="0"/>
            </w:tcBorders>
            <w:vAlign w:val="center"/>
          </w:tcPr>
          <w:p>
            <w:pPr>
              <w:pStyle w:val="10"/>
              <w:spacing w:before="279" w:line="228" w:lineRule="auto"/>
              <w:ind w:left="179"/>
              <w:rPr>
                <w:spacing w:val="6"/>
                <w:sz w:val="20"/>
                <w:szCs w:val="20"/>
                <w:highlight w:val="none"/>
                <w:lang w:eastAsia="zh-CN"/>
              </w:rPr>
            </w:pPr>
          </w:p>
        </w:tc>
        <w:tc>
          <w:tcPr>
            <w:tcW w:w="942" w:type="dxa"/>
            <w:vMerge w:val="continue"/>
            <w:vAlign w:val="center"/>
          </w:tcPr>
          <w:p>
            <w:pPr>
              <w:pStyle w:val="10"/>
              <w:spacing w:before="279" w:line="228" w:lineRule="auto"/>
              <w:ind w:left="179"/>
              <w:rPr>
                <w:spacing w:val="6"/>
                <w:sz w:val="20"/>
                <w:szCs w:val="20"/>
                <w:highlight w:val="none"/>
                <w:lang w:eastAsia="zh-CN"/>
              </w:rPr>
            </w:pPr>
          </w:p>
        </w:tc>
        <w:tc>
          <w:tcPr>
            <w:tcW w:w="1551" w:type="dxa"/>
            <w:vAlign w:val="center"/>
          </w:tcPr>
          <w:p>
            <w:pPr>
              <w:pStyle w:val="10"/>
              <w:spacing w:before="65" w:line="228" w:lineRule="auto"/>
              <w:jc w:val="center"/>
              <w:rPr>
                <w:spacing w:val="6"/>
                <w:sz w:val="20"/>
                <w:szCs w:val="20"/>
                <w:highlight w:val="none"/>
                <w:lang w:eastAsia="zh-CN"/>
              </w:rPr>
            </w:pPr>
            <w:r>
              <w:rPr>
                <w:spacing w:val="6"/>
                <w:sz w:val="20"/>
                <w:szCs w:val="20"/>
                <w:highlight w:val="none"/>
                <w:lang w:eastAsia="zh-CN"/>
              </w:rPr>
              <w:t>勘察设计工作量及计划安排</w:t>
            </w:r>
          </w:p>
        </w:tc>
        <w:tc>
          <w:tcPr>
            <w:tcW w:w="791" w:type="dxa"/>
            <w:vAlign w:val="center"/>
          </w:tcPr>
          <w:p>
            <w:pPr>
              <w:pStyle w:val="10"/>
              <w:spacing w:before="65" w:line="228" w:lineRule="auto"/>
              <w:jc w:val="center"/>
              <w:rPr>
                <w:spacing w:val="6"/>
                <w:sz w:val="20"/>
                <w:szCs w:val="20"/>
                <w:highlight w:val="none"/>
              </w:rPr>
            </w:pPr>
            <w:r>
              <w:rPr>
                <w:rFonts w:hint="eastAsia"/>
                <w:spacing w:val="6"/>
                <w:sz w:val="20"/>
                <w:szCs w:val="20"/>
                <w:highlight w:val="none"/>
                <w:lang w:val="en-US" w:eastAsia="zh-CN"/>
              </w:rPr>
              <w:t>5</w:t>
            </w:r>
            <w:r>
              <w:rPr>
                <w:spacing w:val="6"/>
                <w:sz w:val="20"/>
                <w:szCs w:val="20"/>
                <w:highlight w:val="none"/>
              </w:rPr>
              <w:t>分</w:t>
            </w:r>
          </w:p>
        </w:tc>
        <w:tc>
          <w:tcPr>
            <w:tcW w:w="3994" w:type="dxa"/>
          </w:tcPr>
          <w:p>
            <w:pPr>
              <w:pStyle w:val="10"/>
              <w:spacing w:before="65" w:line="228" w:lineRule="auto"/>
              <w:rPr>
                <w:spacing w:val="6"/>
                <w:sz w:val="20"/>
                <w:szCs w:val="20"/>
                <w:highlight w:val="none"/>
                <w:lang w:eastAsia="zh-CN"/>
              </w:rPr>
            </w:pPr>
            <w:r>
              <w:rPr>
                <w:spacing w:val="6"/>
                <w:sz w:val="20"/>
                <w:szCs w:val="20"/>
                <w:highlight w:val="none"/>
                <w:lang w:eastAsia="zh-CN"/>
              </w:rPr>
              <w:t>根据设计工作量及计划安排的合理性、与本项目实际情况的符合性进行评分</w:t>
            </w:r>
            <w:r>
              <w:rPr>
                <w:rFonts w:hint="eastAsia"/>
                <w:spacing w:val="6"/>
                <w:sz w:val="20"/>
                <w:szCs w:val="20"/>
                <w:highlight w:val="none"/>
                <w:lang w:eastAsia="zh-CN"/>
              </w:rPr>
              <w:t>，评分范围为</w:t>
            </w:r>
            <w:r>
              <w:rPr>
                <w:rFonts w:hint="eastAsia"/>
                <w:spacing w:val="6"/>
                <w:sz w:val="20"/>
                <w:szCs w:val="20"/>
                <w:highlight w:val="none"/>
                <w:lang w:val="en-US" w:eastAsia="zh-CN"/>
              </w:rPr>
              <w:t>3</w:t>
            </w:r>
            <w:r>
              <w:rPr>
                <w:rFonts w:hint="eastAsia"/>
                <w:spacing w:val="6"/>
                <w:sz w:val="20"/>
                <w:szCs w:val="20"/>
                <w:highlight w:val="none"/>
                <w:lang w:eastAsia="zh-CN"/>
              </w:rPr>
              <w:t>-</w:t>
            </w:r>
            <w:r>
              <w:rPr>
                <w:rFonts w:hint="eastAsia"/>
                <w:spacing w:val="6"/>
                <w:sz w:val="20"/>
                <w:szCs w:val="20"/>
                <w:highlight w:val="none"/>
                <w:lang w:val="en-US" w:eastAsia="zh-CN"/>
              </w:rPr>
              <w:t>5</w:t>
            </w:r>
            <w:r>
              <w:rPr>
                <w:rFonts w:hint="eastAsia"/>
                <w:spacing w:val="6"/>
                <w:sz w:val="20"/>
                <w:szCs w:val="20"/>
                <w:highlight w:val="none"/>
                <w:lang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6" w:type="dxa"/>
            <w:vMerge w:val="continue"/>
            <w:tcBorders>
              <w:left w:val="single" w:color="auto" w:sz="4" w:space="0"/>
              <w:right w:val="single" w:color="auto" w:sz="4" w:space="0"/>
            </w:tcBorders>
            <w:vAlign w:val="center"/>
          </w:tcPr>
          <w:p>
            <w:pPr>
              <w:pStyle w:val="10"/>
              <w:spacing w:before="279" w:line="228" w:lineRule="auto"/>
              <w:ind w:left="179"/>
              <w:rPr>
                <w:spacing w:val="6"/>
                <w:sz w:val="20"/>
                <w:szCs w:val="20"/>
                <w:highlight w:val="none"/>
                <w:lang w:eastAsia="zh-CN"/>
              </w:rPr>
            </w:pPr>
          </w:p>
        </w:tc>
        <w:tc>
          <w:tcPr>
            <w:tcW w:w="1125" w:type="dxa"/>
            <w:vMerge w:val="continue"/>
            <w:tcBorders>
              <w:left w:val="single" w:color="auto" w:sz="4" w:space="0"/>
            </w:tcBorders>
            <w:vAlign w:val="center"/>
          </w:tcPr>
          <w:p>
            <w:pPr>
              <w:pStyle w:val="10"/>
              <w:spacing w:before="279" w:line="228" w:lineRule="auto"/>
              <w:ind w:left="179"/>
              <w:rPr>
                <w:spacing w:val="6"/>
                <w:sz w:val="20"/>
                <w:szCs w:val="20"/>
                <w:highlight w:val="none"/>
                <w:lang w:eastAsia="zh-CN"/>
              </w:rPr>
            </w:pPr>
          </w:p>
        </w:tc>
        <w:tc>
          <w:tcPr>
            <w:tcW w:w="942" w:type="dxa"/>
            <w:vMerge w:val="continue"/>
            <w:vAlign w:val="center"/>
          </w:tcPr>
          <w:p>
            <w:pPr>
              <w:pStyle w:val="10"/>
              <w:spacing w:before="279" w:line="228" w:lineRule="auto"/>
              <w:ind w:left="179"/>
              <w:rPr>
                <w:spacing w:val="6"/>
                <w:sz w:val="20"/>
                <w:szCs w:val="20"/>
                <w:highlight w:val="none"/>
                <w:lang w:eastAsia="zh-CN"/>
              </w:rPr>
            </w:pPr>
          </w:p>
        </w:tc>
        <w:tc>
          <w:tcPr>
            <w:tcW w:w="1551" w:type="dxa"/>
            <w:vAlign w:val="center"/>
          </w:tcPr>
          <w:p>
            <w:pPr>
              <w:pStyle w:val="10"/>
              <w:spacing w:before="65" w:line="228" w:lineRule="auto"/>
              <w:jc w:val="center"/>
              <w:rPr>
                <w:spacing w:val="6"/>
                <w:sz w:val="20"/>
                <w:szCs w:val="20"/>
                <w:highlight w:val="none"/>
                <w:lang w:eastAsia="zh-CN"/>
              </w:rPr>
            </w:pPr>
            <w:r>
              <w:rPr>
                <w:spacing w:val="6"/>
                <w:sz w:val="20"/>
                <w:szCs w:val="20"/>
                <w:highlight w:val="none"/>
                <w:lang w:eastAsia="zh-CN"/>
              </w:rPr>
              <w:t>后续服务的安排及保证措施</w:t>
            </w:r>
          </w:p>
        </w:tc>
        <w:tc>
          <w:tcPr>
            <w:tcW w:w="791" w:type="dxa"/>
            <w:vAlign w:val="center"/>
          </w:tcPr>
          <w:p>
            <w:pPr>
              <w:pStyle w:val="10"/>
              <w:spacing w:before="65" w:line="228" w:lineRule="auto"/>
              <w:jc w:val="center"/>
              <w:rPr>
                <w:spacing w:val="6"/>
                <w:sz w:val="20"/>
                <w:szCs w:val="20"/>
                <w:highlight w:val="none"/>
              </w:rPr>
            </w:pPr>
            <w:r>
              <w:rPr>
                <w:rFonts w:hint="eastAsia"/>
                <w:spacing w:val="6"/>
                <w:sz w:val="20"/>
                <w:szCs w:val="20"/>
                <w:highlight w:val="none"/>
                <w:lang w:eastAsia="zh-CN"/>
              </w:rPr>
              <w:t>5</w:t>
            </w:r>
            <w:r>
              <w:rPr>
                <w:spacing w:val="6"/>
                <w:sz w:val="20"/>
                <w:szCs w:val="20"/>
                <w:highlight w:val="none"/>
              </w:rPr>
              <w:t>分</w:t>
            </w:r>
          </w:p>
        </w:tc>
        <w:tc>
          <w:tcPr>
            <w:tcW w:w="3994" w:type="dxa"/>
          </w:tcPr>
          <w:p>
            <w:pPr>
              <w:pStyle w:val="10"/>
              <w:spacing w:before="65" w:line="228" w:lineRule="auto"/>
              <w:rPr>
                <w:spacing w:val="6"/>
                <w:sz w:val="20"/>
                <w:szCs w:val="20"/>
                <w:highlight w:val="none"/>
                <w:lang w:eastAsia="zh-CN"/>
              </w:rPr>
            </w:pPr>
            <w:r>
              <w:rPr>
                <w:rFonts w:hint="eastAsia"/>
                <w:spacing w:val="6"/>
                <w:sz w:val="20"/>
                <w:szCs w:val="20"/>
                <w:highlight w:val="none"/>
                <w:lang w:eastAsia="zh-CN"/>
              </w:rPr>
              <w:t>根据后续服务人员满足招标文件要求的程度、后续服务时间与本项目实际情况的符合性、后续服务内容的全面完整性、保证措施的可行性进行评分，评分范围为3-5分。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796" w:type="dxa"/>
            <w:vMerge w:val="continue"/>
            <w:tcBorders>
              <w:left w:val="single" w:color="auto" w:sz="4" w:space="0"/>
              <w:bottom w:val="single" w:color="auto" w:sz="4" w:space="0"/>
              <w:right w:val="single" w:color="auto" w:sz="4" w:space="0"/>
            </w:tcBorders>
            <w:vAlign w:val="center"/>
          </w:tcPr>
          <w:p>
            <w:pPr>
              <w:pStyle w:val="10"/>
              <w:spacing w:before="279" w:line="228" w:lineRule="auto"/>
              <w:ind w:left="179"/>
              <w:rPr>
                <w:spacing w:val="6"/>
                <w:sz w:val="20"/>
                <w:szCs w:val="20"/>
                <w:highlight w:val="none"/>
                <w:lang w:eastAsia="zh-CN"/>
              </w:rPr>
            </w:pPr>
          </w:p>
        </w:tc>
        <w:tc>
          <w:tcPr>
            <w:tcW w:w="1125" w:type="dxa"/>
            <w:vMerge w:val="continue"/>
            <w:tcBorders>
              <w:left w:val="single" w:color="auto" w:sz="4" w:space="0"/>
            </w:tcBorders>
            <w:vAlign w:val="center"/>
          </w:tcPr>
          <w:p>
            <w:pPr>
              <w:pStyle w:val="10"/>
              <w:spacing w:before="279" w:line="228" w:lineRule="auto"/>
              <w:ind w:left="179"/>
              <w:rPr>
                <w:spacing w:val="6"/>
                <w:sz w:val="20"/>
                <w:szCs w:val="20"/>
                <w:highlight w:val="none"/>
                <w:lang w:eastAsia="zh-CN"/>
              </w:rPr>
            </w:pPr>
          </w:p>
        </w:tc>
        <w:tc>
          <w:tcPr>
            <w:tcW w:w="942" w:type="dxa"/>
            <w:vMerge w:val="continue"/>
            <w:vAlign w:val="center"/>
          </w:tcPr>
          <w:p>
            <w:pPr>
              <w:pStyle w:val="10"/>
              <w:spacing w:before="279" w:line="228" w:lineRule="auto"/>
              <w:ind w:left="179"/>
              <w:rPr>
                <w:spacing w:val="6"/>
                <w:sz w:val="20"/>
                <w:szCs w:val="20"/>
                <w:highlight w:val="none"/>
                <w:lang w:eastAsia="zh-CN"/>
              </w:rPr>
            </w:pPr>
          </w:p>
        </w:tc>
        <w:tc>
          <w:tcPr>
            <w:tcW w:w="1551" w:type="dxa"/>
            <w:vAlign w:val="center"/>
          </w:tcPr>
          <w:p>
            <w:pPr>
              <w:pStyle w:val="10"/>
              <w:spacing w:before="65" w:line="228" w:lineRule="auto"/>
              <w:jc w:val="center"/>
              <w:rPr>
                <w:spacing w:val="6"/>
                <w:sz w:val="20"/>
                <w:szCs w:val="20"/>
                <w:highlight w:val="none"/>
                <w:lang w:eastAsia="zh-CN"/>
              </w:rPr>
            </w:pPr>
            <w:r>
              <w:rPr>
                <w:rFonts w:hint="eastAsia"/>
                <w:spacing w:val="6"/>
                <w:sz w:val="20"/>
                <w:szCs w:val="20"/>
                <w:highlight w:val="none"/>
                <w:lang w:eastAsia="zh-CN"/>
              </w:rPr>
              <w:t>勘察设计的质量保证措施、安全保证措施</w:t>
            </w:r>
          </w:p>
        </w:tc>
        <w:tc>
          <w:tcPr>
            <w:tcW w:w="791" w:type="dxa"/>
            <w:vAlign w:val="center"/>
          </w:tcPr>
          <w:p>
            <w:pPr>
              <w:pStyle w:val="10"/>
              <w:spacing w:before="65" w:line="228" w:lineRule="auto"/>
              <w:jc w:val="center"/>
              <w:rPr>
                <w:spacing w:val="6"/>
                <w:sz w:val="20"/>
                <w:szCs w:val="20"/>
                <w:highlight w:val="none"/>
              </w:rPr>
            </w:pPr>
            <w:r>
              <w:rPr>
                <w:rFonts w:hint="eastAsia"/>
                <w:spacing w:val="6"/>
                <w:sz w:val="20"/>
                <w:szCs w:val="20"/>
                <w:highlight w:val="none"/>
                <w:lang w:eastAsia="zh-CN"/>
              </w:rPr>
              <w:t>5分</w:t>
            </w:r>
          </w:p>
        </w:tc>
        <w:tc>
          <w:tcPr>
            <w:tcW w:w="3994" w:type="dxa"/>
          </w:tcPr>
          <w:p>
            <w:pPr>
              <w:pStyle w:val="10"/>
              <w:spacing w:before="65" w:line="228" w:lineRule="auto"/>
              <w:rPr>
                <w:spacing w:val="6"/>
                <w:sz w:val="20"/>
                <w:szCs w:val="20"/>
                <w:highlight w:val="none"/>
                <w:lang w:eastAsia="zh-CN"/>
              </w:rPr>
            </w:pPr>
            <w:r>
              <w:rPr>
                <w:rFonts w:hint="eastAsia"/>
                <w:spacing w:val="6"/>
                <w:sz w:val="20"/>
                <w:szCs w:val="20"/>
                <w:highlight w:val="none"/>
                <w:lang w:eastAsia="zh-CN"/>
              </w:rPr>
              <w:t>根据勘察设计质量保证措施、进度保证措施的合理性、可靠性、可实施性进行评分，评分范围为3-5分。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796" w:type="dxa"/>
            <w:vMerge w:val="restart"/>
            <w:tcBorders>
              <w:top w:val="single" w:color="auto" w:sz="4" w:space="0"/>
              <w:left w:val="single" w:color="auto" w:sz="4" w:space="0"/>
              <w:right w:val="single" w:color="auto" w:sz="4" w:space="0"/>
            </w:tcBorders>
            <w:vAlign w:val="center"/>
          </w:tcPr>
          <w:p>
            <w:pPr>
              <w:pStyle w:val="10"/>
              <w:spacing w:before="65" w:line="228" w:lineRule="auto"/>
              <w:jc w:val="center"/>
              <w:rPr>
                <w:spacing w:val="6"/>
                <w:sz w:val="20"/>
                <w:szCs w:val="20"/>
                <w:highlight w:val="none"/>
                <w:lang w:eastAsia="zh-CN"/>
              </w:rPr>
            </w:pPr>
            <w:r>
              <w:rPr>
                <w:rFonts w:hint="eastAsia"/>
                <w:spacing w:val="6"/>
                <w:sz w:val="20"/>
                <w:szCs w:val="20"/>
                <w:highlight w:val="none"/>
                <w:lang w:eastAsia="zh-CN"/>
              </w:rPr>
              <w:t>2.2.4</w:t>
            </w:r>
          </w:p>
          <w:p>
            <w:pPr>
              <w:pStyle w:val="10"/>
              <w:spacing w:before="65" w:line="228" w:lineRule="auto"/>
              <w:jc w:val="center"/>
              <w:rPr>
                <w:highlight w:val="none"/>
                <w:lang w:eastAsia="zh-CN"/>
              </w:rPr>
            </w:pPr>
            <w:r>
              <w:rPr>
                <w:rFonts w:hint="eastAsia"/>
                <w:spacing w:val="6"/>
                <w:sz w:val="20"/>
                <w:szCs w:val="20"/>
                <w:highlight w:val="none"/>
                <w:lang w:eastAsia="zh-CN"/>
              </w:rPr>
              <w:t>（2）</w:t>
            </w:r>
          </w:p>
        </w:tc>
        <w:tc>
          <w:tcPr>
            <w:tcW w:w="1125" w:type="dxa"/>
            <w:vMerge w:val="restart"/>
            <w:tcBorders>
              <w:left w:val="single" w:color="auto" w:sz="4" w:space="0"/>
            </w:tcBorders>
            <w:vAlign w:val="center"/>
          </w:tcPr>
          <w:p>
            <w:pPr>
              <w:pStyle w:val="10"/>
              <w:spacing w:before="65" w:line="228" w:lineRule="auto"/>
              <w:jc w:val="center"/>
              <w:rPr>
                <w:highlight w:val="none"/>
                <w:lang w:eastAsia="zh-CN"/>
              </w:rPr>
            </w:pPr>
            <w:r>
              <w:rPr>
                <w:spacing w:val="6"/>
                <w:sz w:val="20"/>
                <w:szCs w:val="20"/>
                <w:highlight w:val="none"/>
              </w:rPr>
              <w:t>主要人员</w:t>
            </w:r>
          </w:p>
        </w:tc>
        <w:tc>
          <w:tcPr>
            <w:tcW w:w="942" w:type="dxa"/>
            <w:vMerge w:val="restart"/>
            <w:vAlign w:val="center"/>
          </w:tcPr>
          <w:p>
            <w:pPr>
              <w:pStyle w:val="10"/>
              <w:spacing w:before="65" w:line="228" w:lineRule="auto"/>
              <w:jc w:val="center"/>
              <w:rPr>
                <w:highlight w:val="none"/>
                <w:lang w:eastAsia="zh-CN"/>
              </w:rPr>
            </w:pPr>
            <w:r>
              <w:rPr>
                <w:rFonts w:hint="eastAsia"/>
                <w:spacing w:val="-2"/>
                <w:sz w:val="20"/>
                <w:szCs w:val="20"/>
                <w:highlight w:val="none"/>
                <w:u w:val="single"/>
                <w:lang w:val="en-US" w:eastAsia="zh-CN"/>
              </w:rPr>
              <w:t>20</w:t>
            </w:r>
            <w:r>
              <w:rPr>
                <w:spacing w:val="-2"/>
                <w:sz w:val="20"/>
                <w:szCs w:val="20"/>
                <w:highlight w:val="none"/>
              </w:rPr>
              <w:t>分</w:t>
            </w:r>
          </w:p>
        </w:tc>
        <w:tc>
          <w:tcPr>
            <w:tcW w:w="1551" w:type="dxa"/>
            <w:vMerge w:val="restart"/>
            <w:vAlign w:val="center"/>
          </w:tcPr>
          <w:p>
            <w:pPr>
              <w:pStyle w:val="10"/>
              <w:spacing w:before="65" w:line="228" w:lineRule="auto"/>
              <w:jc w:val="center"/>
              <w:rPr>
                <w:spacing w:val="6"/>
                <w:sz w:val="20"/>
                <w:szCs w:val="20"/>
                <w:highlight w:val="none"/>
                <w:lang w:eastAsia="zh-CN"/>
              </w:rPr>
            </w:pPr>
            <w:r>
              <w:rPr>
                <w:rFonts w:hint="eastAsia"/>
                <w:spacing w:val="6"/>
                <w:sz w:val="20"/>
                <w:szCs w:val="20"/>
                <w:highlight w:val="none"/>
                <w:lang w:eastAsia="zh-CN"/>
              </w:rPr>
              <w:t>项目负责人及专业分项负责人任职资格与业绩</w:t>
            </w:r>
          </w:p>
        </w:tc>
        <w:tc>
          <w:tcPr>
            <w:tcW w:w="791" w:type="dxa"/>
            <w:vMerge w:val="restart"/>
            <w:vAlign w:val="center"/>
          </w:tcPr>
          <w:p>
            <w:pPr>
              <w:pStyle w:val="10"/>
              <w:spacing w:before="65" w:line="228" w:lineRule="auto"/>
              <w:jc w:val="center"/>
              <w:rPr>
                <w:spacing w:val="6"/>
                <w:sz w:val="20"/>
                <w:szCs w:val="20"/>
                <w:highlight w:val="none"/>
                <w:lang w:eastAsia="zh-CN"/>
              </w:rPr>
            </w:pPr>
            <w:r>
              <w:rPr>
                <w:rFonts w:hint="eastAsia"/>
                <w:spacing w:val="6"/>
                <w:sz w:val="20"/>
                <w:szCs w:val="20"/>
                <w:highlight w:val="none"/>
                <w:lang w:val="en-US" w:eastAsia="zh-CN"/>
              </w:rPr>
              <w:t>20</w:t>
            </w:r>
            <w:r>
              <w:rPr>
                <w:rFonts w:hint="eastAsia"/>
                <w:spacing w:val="6"/>
                <w:sz w:val="20"/>
                <w:szCs w:val="20"/>
                <w:highlight w:val="none"/>
                <w:lang w:eastAsia="zh-CN"/>
              </w:rPr>
              <w:t>分</w:t>
            </w:r>
          </w:p>
        </w:tc>
        <w:tc>
          <w:tcPr>
            <w:tcW w:w="3994" w:type="dxa"/>
          </w:tcPr>
          <w:p>
            <w:pPr>
              <w:pStyle w:val="10"/>
              <w:spacing w:before="65" w:line="228" w:lineRule="auto"/>
              <w:rPr>
                <w:spacing w:val="6"/>
                <w:sz w:val="20"/>
                <w:szCs w:val="20"/>
                <w:highlight w:val="none"/>
                <w:lang w:eastAsia="zh-CN"/>
              </w:rPr>
            </w:pPr>
            <w:r>
              <w:rPr>
                <w:rFonts w:hint="eastAsia"/>
                <w:spacing w:val="6"/>
                <w:sz w:val="20"/>
                <w:szCs w:val="20"/>
                <w:highlight w:val="none"/>
                <w:lang w:eastAsia="zh-CN"/>
              </w:rPr>
              <w:t>项目负责人任职资格与业绩</w:t>
            </w:r>
          </w:p>
          <w:p>
            <w:pPr>
              <w:pStyle w:val="10"/>
              <w:spacing w:before="65" w:line="228" w:lineRule="auto"/>
              <w:rPr>
                <w:spacing w:val="6"/>
                <w:sz w:val="20"/>
                <w:szCs w:val="20"/>
                <w:highlight w:val="none"/>
                <w:lang w:eastAsia="zh-CN"/>
              </w:rPr>
            </w:pPr>
            <w:r>
              <w:rPr>
                <w:rFonts w:hint="eastAsia"/>
                <w:spacing w:val="6"/>
                <w:sz w:val="20"/>
                <w:szCs w:val="20"/>
                <w:highlight w:val="none"/>
                <w:lang w:eastAsia="zh-CN"/>
              </w:rPr>
              <w:t>(a)满足招标文件第二章“投标人须知前附表 ”附录4及附录5规定的，得基本分</w:t>
            </w:r>
            <w:r>
              <w:rPr>
                <w:rFonts w:hint="eastAsia"/>
                <w:spacing w:val="6"/>
                <w:sz w:val="20"/>
                <w:szCs w:val="20"/>
                <w:highlight w:val="none"/>
                <w:lang w:val="en-US" w:eastAsia="zh-CN"/>
              </w:rPr>
              <w:t>12</w:t>
            </w:r>
            <w:r>
              <w:rPr>
                <w:rFonts w:hint="eastAsia"/>
                <w:spacing w:val="6"/>
                <w:sz w:val="20"/>
                <w:szCs w:val="20"/>
                <w:highlight w:val="none"/>
                <w:lang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796" w:type="dxa"/>
            <w:vMerge w:val="continue"/>
            <w:tcBorders>
              <w:left w:val="single" w:color="auto" w:sz="4" w:space="0"/>
              <w:right w:val="single" w:color="auto" w:sz="4" w:space="0"/>
            </w:tcBorders>
            <w:vAlign w:val="center"/>
          </w:tcPr>
          <w:p>
            <w:pPr>
              <w:pStyle w:val="10"/>
              <w:spacing w:before="65" w:line="228" w:lineRule="auto"/>
              <w:rPr>
                <w:highlight w:val="none"/>
                <w:lang w:eastAsia="zh-CN"/>
              </w:rPr>
            </w:pPr>
          </w:p>
        </w:tc>
        <w:tc>
          <w:tcPr>
            <w:tcW w:w="1125" w:type="dxa"/>
            <w:vMerge w:val="continue"/>
            <w:tcBorders>
              <w:left w:val="single" w:color="auto" w:sz="4" w:space="0"/>
            </w:tcBorders>
            <w:vAlign w:val="center"/>
          </w:tcPr>
          <w:p>
            <w:pPr>
              <w:pStyle w:val="10"/>
              <w:spacing w:before="65" w:line="228" w:lineRule="auto"/>
              <w:jc w:val="center"/>
              <w:rPr>
                <w:spacing w:val="6"/>
                <w:sz w:val="20"/>
                <w:szCs w:val="20"/>
                <w:highlight w:val="none"/>
                <w:lang w:eastAsia="zh-CN"/>
              </w:rPr>
            </w:pPr>
          </w:p>
        </w:tc>
        <w:tc>
          <w:tcPr>
            <w:tcW w:w="942" w:type="dxa"/>
            <w:vMerge w:val="continue"/>
            <w:vAlign w:val="center"/>
          </w:tcPr>
          <w:p>
            <w:pPr>
              <w:pStyle w:val="10"/>
              <w:spacing w:before="65" w:line="228" w:lineRule="auto"/>
              <w:jc w:val="center"/>
              <w:rPr>
                <w:spacing w:val="-2"/>
                <w:sz w:val="20"/>
                <w:szCs w:val="20"/>
                <w:highlight w:val="none"/>
                <w:u w:val="single"/>
                <w:lang w:eastAsia="zh-CN"/>
              </w:rPr>
            </w:pPr>
          </w:p>
        </w:tc>
        <w:tc>
          <w:tcPr>
            <w:tcW w:w="1551" w:type="dxa"/>
            <w:vMerge w:val="continue"/>
          </w:tcPr>
          <w:p>
            <w:pPr>
              <w:pStyle w:val="10"/>
              <w:spacing w:before="65" w:line="228" w:lineRule="auto"/>
              <w:jc w:val="center"/>
              <w:rPr>
                <w:spacing w:val="6"/>
                <w:sz w:val="20"/>
                <w:szCs w:val="20"/>
                <w:highlight w:val="none"/>
                <w:lang w:eastAsia="zh-CN"/>
              </w:rPr>
            </w:pPr>
          </w:p>
        </w:tc>
        <w:tc>
          <w:tcPr>
            <w:tcW w:w="791" w:type="dxa"/>
            <w:vMerge w:val="continue"/>
            <w:vAlign w:val="center"/>
          </w:tcPr>
          <w:p>
            <w:pPr>
              <w:pStyle w:val="10"/>
              <w:spacing w:before="65" w:line="228" w:lineRule="auto"/>
              <w:jc w:val="center"/>
              <w:rPr>
                <w:spacing w:val="6"/>
                <w:sz w:val="20"/>
                <w:szCs w:val="20"/>
                <w:highlight w:val="none"/>
                <w:lang w:eastAsia="zh-CN"/>
              </w:rPr>
            </w:pPr>
          </w:p>
        </w:tc>
        <w:tc>
          <w:tcPr>
            <w:tcW w:w="3994" w:type="dxa"/>
          </w:tcPr>
          <w:p>
            <w:pPr>
              <w:pStyle w:val="10"/>
              <w:spacing w:before="65" w:line="228" w:lineRule="auto"/>
              <w:rPr>
                <w:spacing w:val="6"/>
                <w:sz w:val="20"/>
                <w:szCs w:val="20"/>
                <w:highlight w:val="none"/>
                <w:lang w:eastAsia="zh-CN"/>
              </w:rPr>
            </w:pPr>
            <w:r>
              <w:rPr>
                <w:rFonts w:hint="eastAsia"/>
                <w:spacing w:val="6"/>
                <w:sz w:val="20"/>
                <w:szCs w:val="20"/>
                <w:highlight w:val="none"/>
                <w:lang w:eastAsia="zh-CN"/>
              </w:rPr>
              <w:t>(b)在满足资格审查的条件下，</w:t>
            </w:r>
            <w:r>
              <w:rPr>
                <w:rFonts w:hint="eastAsia"/>
                <w:b w:val="0"/>
                <w:bCs w:val="0"/>
                <w:color w:val="auto"/>
                <w:spacing w:val="6"/>
                <w:sz w:val="20"/>
                <w:szCs w:val="20"/>
                <w:highlight w:val="none"/>
                <w:lang w:eastAsia="zh-CN"/>
              </w:rPr>
              <w:t>项目负责任人或</w:t>
            </w:r>
            <w:r>
              <w:rPr>
                <w:rFonts w:hint="eastAsia"/>
                <w:b w:val="0"/>
                <w:bCs w:val="0"/>
                <w:color w:val="auto"/>
                <w:spacing w:val="-3"/>
                <w:sz w:val="21"/>
                <w:szCs w:val="21"/>
                <w:highlight w:val="none"/>
                <w:lang w:val="en-US" w:eastAsia="zh-CN"/>
              </w:rPr>
              <w:t>道路（桥梁）</w:t>
            </w:r>
            <w:r>
              <w:rPr>
                <w:rFonts w:hint="eastAsia"/>
                <w:b w:val="0"/>
                <w:bCs w:val="0"/>
                <w:color w:val="auto"/>
                <w:spacing w:val="-3"/>
                <w:sz w:val="21"/>
                <w:szCs w:val="21"/>
                <w:highlight w:val="none"/>
                <w:lang w:eastAsia="zh-CN"/>
              </w:rPr>
              <w:t>专业分项</w:t>
            </w:r>
            <w:r>
              <w:rPr>
                <w:b w:val="0"/>
                <w:bCs w:val="0"/>
                <w:color w:val="auto"/>
                <w:spacing w:val="-3"/>
                <w:sz w:val="21"/>
                <w:szCs w:val="21"/>
                <w:highlight w:val="none"/>
                <w:lang w:eastAsia="zh-CN"/>
              </w:rPr>
              <w:t>负责人</w:t>
            </w:r>
            <w:r>
              <w:rPr>
                <w:spacing w:val="6"/>
                <w:sz w:val="20"/>
                <w:szCs w:val="20"/>
                <w:highlight w:val="none"/>
                <w:lang w:eastAsia="zh-CN"/>
              </w:rPr>
              <w:t>近</w:t>
            </w:r>
            <w:r>
              <w:rPr>
                <w:rFonts w:hint="eastAsia"/>
                <w:spacing w:val="6"/>
                <w:sz w:val="20"/>
                <w:szCs w:val="20"/>
                <w:highlight w:val="none"/>
                <w:lang w:eastAsia="zh-CN"/>
              </w:rPr>
              <w:t>五</w:t>
            </w:r>
            <w:r>
              <w:rPr>
                <w:spacing w:val="6"/>
                <w:sz w:val="20"/>
                <w:szCs w:val="20"/>
                <w:highlight w:val="none"/>
                <w:lang w:eastAsia="zh-CN"/>
              </w:rPr>
              <w:t>年（20</w:t>
            </w:r>
            <w:r>
              <w:rPr>
                <w:rFonts w:hint="eastAsia"/>
                <w:spacing w:val="6"/>
                <w:sz w:val="20"/>
                <w:szCs w:val="20"/>
                <w:highlight w:val="none"/>
                <w:lang w:eastAsia="zh-CN"/>
              </w:rPr>
              <w:t>18</w:t>
            </w:r>
            <w:r>
              <w:rPr>
                <w:spacing w:val="6"/>
                <w:sz w:val="20"/>
                <w:szCs w:val="20"/>
                <w:highlight w:val="none"/>
                <w:lang w:eastAsia="zh-CN"/>
              </w:rPr>
              <w:t>年</w:t>
            </w:r>
            <w:r>
              <w:rPr>
                <w:rFonts w:hint="eastAsia"/>
                <w:spacing w:val="6"/>
                <w:sz w:val="20"/>
                <w:szCs w:val="20"/>
                <w:highlight w:val="none"/>
                <w:lang w:val="en-US" w:eastAsia="zh-CN"/>
              </w:rPr>
              <w:t>12</w:t>
            </w:r>
            <w:r>
              <w:rPr>
                <w:spacing w:val="6"/>
                <w:sz w:val="20"/>
                <w:szCs w:val="20"/>
                <w:highlight w:val="none"/>
                <w:lang w:eastAsia="zh-CN"/>
              </w:rPr>
              <w:t>月1日至投标文件递交截止日，以合同签订时间为准）</w:t>
            </w:r>
            <w:r>
              <w:rPr>
                <w:rFonts w:hint="eastAsia"/>
                <w:spacing w:val="6"/>
                <w:sz w:val="20"/>
                <w:szCs w:val="20"/>
                <w:highlight w:val="none"/>
                <w:lang w:eastAsia="zh-CN"/>
              </w:rPr>
              <w:t>每增加1个跨江河（或道路或铁路）的桥梁设计或咨询业绩加</w:t>
            </w:r>
            <w:r>
              <w:rPr>
                <w:rFonts w:hint="eastAsia"/>
                <w:spacing w:val="6"/>
                <w:sz w:val="20"/>
                <w:szCs w:val="20"/>
                <w:highlight w:val="none"/>
                <w:lang w:val="en-US" w:eastAsia="zh-CN"/>
              </w:rPr>
              <w:t>2</w:t>
            </w:r>
            <w:r>
              <w:rPr>
                <w:rFonts w:hint="eastAsia"/>
                <w:spacing w:val="6"/>
                <w:sz w:val="20"/>
                <w:szCs w:val="20"/>
                <w:highlight w:val="none"/>
                <w:lang w:eastAsia="zh-CN"/>
              </w:rPr>
              <w:t>分，最多加</w:t>
            </w:r>
            <w:r>
              <w:rPr>
                <w:rFonts w:hint="eastAsia"/>
                <w:spacing w:val="6"/>
                <w:sz w:val="20"/>
                <w:szCs w:val="20"/>
                <w:highlight w:val="none"/>
                <w:lang w:val="en-US" w:eastAsia="zh-CN"/>
              </w:rPr>
              <w:t>4</w:t>
            </w:r>
            <w:r>
              <w:rPr>
                <w:rFonts w:hint="eastAsia"/>
                <w:spacing w:val="6"/>
                <w:sz w:val="20"/>
                <w:szCs w:val="20"/>
                <w:highlight w:val="none"/>
                <w:lang w:eastAsia="zh-CN"/>
              </w:rPr>
              <w:t>分；每增加1个一级路及以上等级道路设计业绩加</w:t>
            </w:r>
            <w:r>
              <w:rPr>
                <w:rFonts w:hint="eastAsia"/>
                <w:spacing w:val="6"/>
                <w:sz w:val="20"/>
                <w:szCs w:val="20"/>
                <w:highlight w:val="none"/>
                <w:lang w:val="en-US" w:eastAsia="zh-CN"/>
              </w:rPr>
              <w:t>2</w:t>
            </w:r>
            <w:r>
              <w:rPr>
                <w:rFonts w:hint="eastAsia"/>
                <w:spacing w:val="6"/>
                <w:sz w:val="20"/>
                <w:szCs w:val="20"/>
                <w:highlight w:val="none"/>
                <w:lang w:eastAsia="zh-CN"/>
              </w:rPr>
              <w:t>分，最多加</w:t>
            </w:r>
            <w:r>
              <w:rPr>
                <w:rFonts w:hint="eastAsia"/>
                <w:spacing w:val="6"/>
                <w:sz w:val="20"/>
                <w:szCs w:val="20"/>
                <w:highlight w:val="none"/>
                <w:lang w:val="en-US" w:eastAsia="zh-CN"/>
              </w:rPr>
              <w:t>4</w:t>
            </w:r>
            <w:r>
              <w:rPr>
                <w:rFonts w:hint="eastAsia"/>
                <w:spacing w:val="6"/>
                <w:sz w:val="20"/>
                <w:szCs w:val="20"/>
                <w:highlight w:val="none"/>
                <w:lang w:eastAsia="zh-CN"/>
              </w:rPr>
              <w:t>分。（</w:t>
            </w:r>
            <w:r>
              <w:rPr>
                <w:rFonts w:hint="eastAsia"/>
                <w:sz w:val="21"/>
                <w:szCs w:val="21"/>
                <w:highlight w:val="none"/>
                <w:lang w:eastAsia="zh-CN"/>
              </w:rPr>
              <w:t>1.</w:t>
            </w:r>
            <w:r>
              <w:rPr>
                <w:sz w:val="21"/>
                <w:szCs w:val="21"/>
                <w:highlight w:val="none"/>
                <w:lang w:eastAsia="zh-CN"/>
              </w:rPr>
              <w:t>投标人应提供业绩中标通知书或合同复印件加盖公章，</w:t>
            </w:r>
            <w:r>
              <w:rPr>
                <w:spacing w:val="-1"/>
                <w:sz w:val="21"/>
                <w:szCs w:val="21"/>
                <w:highlight w:val="none"/>
                <w:lang w:eastAsia="zh-CN"/>
              </w:rPr>
              <w:t>不提供的不予认定。</w:t>
            </w:r>
            <w:r>
              <w:rPr>
                <w:rFonts w:hint="eastAsia"/>
                <w:spacing w:val="-1"/>
                <w:sz w:val="21"/>
                <w:szCs w:val="21"/>
                <w:highlight w:val="none"/>
                <w:lang w:eastAsia="zh-CN"/>
              </w:rPr>
              <w:t>2.投标人应提供业主单位开具的证明材料或其他证明材料，用以证明项目设计工作已完成。3.业绩时间以合同签订时间为准。</w:t>
            </w:r>
            <w:r>
              <w:rPr>
                <w:rFonts w:hint="eastAsia"/>
                <w:spacing w:val="6"/>
                <w:sz w:val="20"/>
                <w:szCs w:val="20"/>
                <w:highlight w:val="none"/>
                <w:lang w:eastAsia="zh-CN"/>
              </w:rPr>
              <w:t>4.如合同中无法体现设计内容，可提供业主开具的证明材料）。</w:t>
            </w:r>
          </w:p>
          <w:p>
            <w:pPr>
              <w:pStyle w:val="10"/>
              <w:spacing w:before="65" w:line="228" w:lineRule="auto"/>
              <w:rPr>
                <w:spacing w:val="6"/>
                <w:sz w:val="20"/>
                <w:szCs w:val="20"/>
                <w:highlight w:val="none"/>
                <w:lang w:eastAsia="zh-CN"/>
              </w:rPr>
            </w:pPr>
            <w:r>
              <w:rPr>
                <w:rFonts w:hint="eastAsia"/>
                <w:spacing w:val="6"/>
                <w:sz w:val="20"/>
                <w:szCs w:val="20"/>
                <w:highlight w:val="none"/>
                <w:lang w:eastAsia="zh-CN"/>
              </w:rPr>
              <w:t>同一项目只能选择一种类型业绩加分。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96" w:type="dxa"/>
            <w:tcBorders>
              <w:left w:val="single" w:color="auto" w:sz="4" w:space="0"/>
              <w:right w:val="single" w:color="auto" w:sz="4" w:space="0"/>
            </w:tcBorders>
            <w:vAlign w:val="center"/>
          </w:tcPr>
          <w:p>
            <w:pPr>
              <w:pStyle w:val="10"/>
              <w:spacing w:before="65" w:line="228" w:lineRule="auto"/>
              <w:jc w:val="center"/>
              <w:rPr>
                <w:spacing w:val="6"/>
                <w:sz w:val="20"/>
                <w:szCs w:val="20"/>
                <w:highlight w:val="none"/>
              </w:rPr>
            </w:pPr>
            <w:r>
              <w:rPr>
                <w:spacing w:val="6"/>
                <w:sz w:val="20"/>
                <w:szCs w:val="20"/>
                <w:highlight w:val="none"/>
              </w:rPr>
              <w:t>2.2.4</w:t>
            </w:r>
          </w:p>
          <w:p>
            <w:pPr>
              <w:pStyle w:val="10"/>
              <w:spacing w:before="65" w:line="228" w:lineRule="auto"/>
              <w:jc w:val="center"/>
              <w:rPr>
                <w:highlight w:val="none"/>
                <w:lang w:eastAsia="zh-CN"/>
              </w:rPr>
            </w:pPr>
            <w:r>
              <w:rPr>
                <w:spacing w:val="6"/>
                <w:sz w:val="20"/>
                <w:szCs w:val="20"/>
                <w:highlight w:val="none"/>
              </w:rPr>
              <w:t>（</w:t>
            </w:r>
            <w:r>
              <w:rPr>
                <w:rFonts w:hint="eastAsia"/>
                <w:spacing w:val="6"/>
                <w:sz w:val="20"/>
                <w:szCs w:val="20"/>
                <w:highlight w:val="none"/>
                <w:lang w:eastAsia="zh-CN"/>
              </w:rPr>
              <w:t>3</w:t>
            </w:r>
            <w:r>
              <w:rPr>
                <w:spacing w:val="6"/>
                <w:sz w:val="20"/>
                <w:szCs w:val="20"/>
                <w:highlight w:val="none"/>
              </w:rPr>
              <w:t>）</w:t>
            </w:r>
          </w:p>
        </w:tc>
        <w:tc>
          <w:tcPr>
            <w:tcW w:w="1125" w:type="dxa"/>
            <w:tcBorders>
              <w:left w:val="single" w:color="auto" w:sz="4" w:space="0"/>
            </w:tcBorders>
            <w:vAlign w:val="center"/>
          </w:tcPr>
          <w:p>
            <w:pPr>
              <w:pStyle w:val="10"/>
              <w:spacing w:before="65" w:line="228" w:lineRule="auto"/>
              <w:jc w:val="center"/>
              <w:rPr>
                <w:spacing w:val="6"/>
                <w:sz w:val="20"/>
                <w:szCs w:val="20"/>
                <w:highlight w:val="none"/>
                <w:lang w:eastAsia="zh-CN"/>
              </w:rPr>
            </w:pPr>
            <w:r>
              <w:rPr>
                <w:rFonts w:hint="eastAsia"/>
                <w:spacing w:val="7"/>
                <w:sz w:val="20"/>
                <w:szCs w:val="20"/>
                <w:highlight w:val="none"/>
                <w:lang w:eastAsia="zh-CN"/>
              </w:rPr>
              <w:t>评标价</w:t>
            </w:r>
          </w:p>
        </w:tc>
        <w:tc>
          <w:tcPr>
            <w:tcW w:w="942" w:type="dxa"/>
            <w:vAlign w:val="center"/>
          </w:tcPr>
          <w:p>
            <w:pPr>
              <w:pStyle w:val="10"/>
              <w:spacing w:before="65" w:line="228" w:lineRule="auto"/>
              <w:jc w:val="center"/>
              <w:rPr>
                <w:spacing w:val="-2"/>
                <w:sz w:val="20"/>
                <w:szCs w:val="20"/>
                <w:highlight w:val="none"/>
                <w:u w:val="single"/>
              </w:rPr>
            </w:pPr>
            <w:r>
              <w:rPr>
                <w:spacing w:val="-2"/>
                <w:sz w:val="20"/>
                <w:szCs w:val="20"/>
                <w:highlight w:val="none"/>
                <w:u w:val="single"/>
              </w:rPr>
              <w:t>10</w:t>
            </w:r>
            <w:r>
              <w:rPr>
                <w:spacing w:val="-2"/>
                <w:sz w:val="20"/>
                <w:szCs w:val="20"/>
                <w:highlight w:val="none"/>
              </w:rPr>
              <w:t>分</w:t>
            </w:r>
          </w:p>
        </w:tc>
        <w:tc>
          <w:tcPr>
            <w:tcW w:w="1551" w:type="dxa"/>
            <w:vAlign w:val="center"/>
          </w:tcPr>
          <w:p>
            <w:pPr>
              <w:pStyle w:val="10"/>
              <w:spacing w:before="65" w:line="228" w:lineRule="auto"/>
              <w:jc w:val="center"/>
              <w:rPr>
                <w:spacing w:val="6"/>
                <w:sz w:val="20"/>
                <w:szCs w:val="20"/>
                <w:highlight w:val="none"/>
                <w:lang w:eastAsia="zh-CN"/>
              </w:rPr>
            </w:pPr>
            <w:r>
              <w:rPr>
                <w:spacing w:val="7"/>
                <w:sz w:val="20"/>
                <w:szCs w:val="20"/>
                <w:highlight w:val="none"/>
              </w:rPr>
              <w:t>投标人的报价</w:t>
            </w:r>
          </w:p>
        </w:tc>
        <w:tc>
          <w:tcPr>
            <w:tcW w:w="791" w:type="dxa"/>
            <w:vAlign w:val="center"/>
          </w:tcPr>
          <w:p>
            <w:pPr>
              <w:pStyle w:val="10"/>
              <w:spacing w:before="65" w:line="228" w:lineRule="auto"/>
              <w:jc w:val="center"/>
              <w:rPr>
                <w:spacing w:val="6"/>
                <w:sz w:val="20"/>
                <w:szCs w:val="20"/>
                <w:highlight w:val="none"/>
                <w:lang w:eastAsia="zh-CN"/>
              </w:rPr>
            </w:pPr>
            <w:r>
              <w:rPr>
                <w:spacing w:val="-2"/>
                <w:sz w:val="20"/>
                <w:szCs w:val="20"/>
                <w:highlight w:val="none"/>
              </w:rPr>
              <w:t>10分</w:t>
            </w:r>
          </w:p>
        </w:tc>
        <w:tc>
          <w:tcPr>
            <w:tcW w:w="3994" w:type="dxa"/>
          </w:tcPr>
          <w:p>
            <w:pPr>
              <w:pStyle w:val="10"/>
              <w:spacing w:before="65" w:line="228" w:lineRule="auto"/>
              <w:rPr>
                <w:spacing w:val="6"/>
                <w:sz w:val="20"/>
                <w:szCs w:val="20"/>
                <w:highlight w:val="none"/>
                <w:lang w:eastAsia="zh-CN"/>
              </w:rPr>
            </w:pPr>
            <w:r>
              <w:rPr>
                <w:rFonts w:hint="eastAsia"/>
                <w:spacing w:val="6"/>
                <w:sz w:val="20"/>
                <w:szCs w:val="20"/>
                <w:highlight w:val="none"/>
                <w:lang w:eastAsia="zh-CN"/>
              </w:rPr>
              <w:t>评标价得分计算公式示例：</w:t>
            </w:r>
          </w:p>
          <w:p>
            <w:pPr>
              <w:pStyle w:val="10"/>
              <w:spacing w:before="65" w:line="228" w:lineRule="auto"/>
              <w:rPr>
                <w:spacing w:val="6"/>
                <w:sz w:val="20"/>
                <w:szCs w:val="20"/>
                <w:highlight w:val="none"/>
                <w:lang w:eastAsia="zh-CN"/>
              </w:rPr>
            </w:pPr>
            <w:r>
              <w:rPr>
                <w:rFonts w:hint="eastAsia"/>
                <w:spacing w:val="6"/>
                <w:sz w:val="20"/>
                <w:szCs w:val="20"/>
                <w:highlight w:val="none"/>
                <w:lang w:eastAsia="zh-CN"/>
              </w:rPr>
              <w:t>（1）如果投标人的评标价&gt;评标基准价，则评标价得分＝F－偏差率× 100 ×E1；</w:t>
            </w:r>
          </w:p>
          <w:p>
            <w:pPr>
              <w:pStyle w:val="10"/>
              <w:spacing w:before="65" w:line="228" w:lineRule="auto"/>
              <w:rPr>
                <w:spacing w:val="6"/>
                <w:sz w:val="20"/>
                <w:szCs w:val="20"/>
                <w:highlight w:val="none"/>
                <w:lang w:eastAsia="zh-CN"/>
              </w:rPr>
            </w:pPr>
            <w:r>
              <w:rPr>
                <w:rFonts w:hint="eastAsia"/>
                <w:spacing w:val="6"/>
                <w:sz w:val="20"/>
                <w:szCs w:val="20"/>
                <w:highlight w:val="none"/>
                <w:lang w:eastAsia="zh-CN"/>
              </w:rPr>
              <w:t>（2）如果投标人的评标价≤评标基准价，则评标价得分＝F＋偏差率× 100 ×E2。</w:t>
            </w:r>
          </w:p>
          <w:p>
            <w:pPr>
              <w:pStyle w:val="10"/>
              <w:spacing w:before="65" w:line="228" w:lineRule="auto"/>
              <w:rPr>
                <w:spacing w:val="6"/>
                <w:sz w:val="20"/>
                <w:szCs w:val="20"/>
                <w:highlight w:val="none"/>
                <w:lang w:eastAsia="zh-CN"/>
              </w:rPr>
            </w:pPr>
            <w:r>
              <w:rPr>
                <w:rFonts w:hint="eastAsia"/>
                <w:spacing w:val="6"/>
                <w:sz w:val="20"/>
                <w:szCs w:val="20"/>
                <w:highlight w:val="none"/>
                <w:lang w:eastAsia="zh-CN"/>
              </w:rPr>
              <w:t>其中：F是评标价所占的权重分值，E1是评标价每高于评标基准价一个百分点的扣分值、E2是评标价每低于评标基准价一个百分点的扣分值，其中E1=0.2、E2=0.1。</w:t>
            </w:r>
          </w:p>
          <w:p>
            <w:pPr>
              <w:pStyle w:val="10"/>
              <w:spacing w:before="65" w:line="228" w:lineRule="auto"/>
              <w:rPr>
                <w:rFonts w:hint="default"/>
                <w:spacing w:val="6"/>
                <w:sz w:val="20"/>
                <w:szCs w:val="20"/>
                <w:highlight w:val="none"/>
                <w:lang w:val="en-US" w:eastAsia="zh-CN"/>
              </w:rPr>
            </w:pPr>
            <w:r>
              <w:rPr>
                <w:rFonts w:hint="eastAsia"/>
                <w:spacing w:val="6"/>
                <w:sz w:val="20"/>
                <w:szCs w:val="20"/>
                <w:highlight w:val="none"/>
                <w:lang w:eastAsia="zh-CN"/>
              </w:rPr>
              <w:t>投标报价最低得分为0分。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796" w:type="dxa"/>
            <w:vMerge w:val="restart"/>
            <w:tcBorders>
              <w:left w:val="single" w:color="auto" w:sz="4" w:space="0"/>
              <w:right w:val="single" w:color="auto" w:sz="4" w:space="0"/>
            </w:tcBorders>
            <w:vAlign w:val="center"/>
          </w:tcPr>
          <w:p>
            <w:pPr>
              <w:pStyle w:val="10"/>
              <w:spacing w:before="65" w:line="228" w:lineRule="auto"/>
              <w:jc w:val="center"/>
              <w:rPr>
                <w:spacing w:val="6"/>
                <w:sz w:val="20"/>
                <w:szCs w:val="20"/>
                <w:highlight w:val="none"/>
              </w:rPr>
            </w:pPr>
            <w:r>
              <w:rPr>
                <w:spacing w:val="6"/>
                <w:sz w:val="20"/>
                <w:szCs w:val="20"/>
                <w:highlight w:val="none"/>
              </w:rPr>
              <w:t>2.2.4</w:t>
            </w:r>
          </w:p>
          <w:p>
            <w:pPr>
              <w:pStyle w:val="10"/>
              <w:spacing w:before="65" w:line="228" w:lineRule="auto"/>
              <w:jc w:val="center"/>
              <w:rPr>
                <w:spacing w:val="6"/>
                <w:sz w:val="20"/>
                <w:szCs w:val="20"/>
                <w:highlight w:val="none"/>
                <w:lang w:eastAsia="zh-CN"/>
              </w:rPr>
            </w:pPr>
            <w:r>
              <w:rPr>
                <w:spacing w:val="6"/>
                <w:sz w:val="20"/>
                <w:szCs w:val="20"/>
                <w:highlight w:val="none"/>
              </w:rPr>
              <w:t>（</w:t>
            </w:r>
            <w:r>
              <w:rPr>
                <w:rFonts w:hint="eastAsia"/>
                <w:spacing w:val="6"/>
                <w:sz w:val="20"/>
                <w:szCs w:val="20"/>
                <w:highlight w:val="none"/>
                <w:lang w:eastAsia="zh-CN"/>
              </w:rPr>
              <w:t>4</w:t>
            </w:r>
            <w:r>
              <w:rPr>
                <w:spacing w:val="6"/>
                <w:sz w:val="20"/>
                <w:szCs w:val="20"/>
                <w:highlight w:val="none"/>
              </w:rPr>
              <w:t>）</w:t>
            </w:r>
          </w:p>
        </w:tc>
        <w:tc>
          <w:tcPr>
            <w:tcW w:w="1125" w:type="dxa"/>
            <w:vMerge w:val="restart"/>
            <w:tcBorders>
              <w:left w:val="single" w:color="auto" w:sz="4" w:space="0"/>
            </w:tcBorders>
            <w:vAlign w:val="center"/>
          </w:tcPr>
          <w:p>
            <w:pPr>
              <w:pStyle w:val="10"/>
              <w:spacing w:before="65" w:line="228" w:lineRule="auto"/>
              <w:jc w:val="center"/>
              <w:rPr>
                <w:spacing w:val="7"/>
                <w:sz w:val="20"/>
                <w:szCs w:val="20"/>
                <w:highlight w:val="none"/>
                <w:lang w:eastAsia="zh-CN"/>
              </w:rPr>
            </w:pPr>
            <w:r>
              <w:rPr>
                <w:rFonts w:hint="eastAsia"/>
                <w:spacing w:val="7"/>
                <w:sz w:val="20"/>
                <w:szCs w:val="20"/>
                <w:highlight w:val="none"/>
                <w:lang w:eastAsia="zh-CN"/>
              </w:rPr>
              <w:t>其他因素</w:t>
            </w:r>
          </w:p>
        </w:tc>
        <w:tc>
          <w:tcPr>
            <w:tcW w:w="942" w:type="dxa"/>
            <w:vAlign w:val="center"/>
          </w:tcPr>
          <w:p>
            <w:pPr>
              <w:pStyle w:val="10"/>
              <w:spacing w:before="65" w:line="228" w:lineRule="auto"/>
              <w:jc w:val="center"/>
              <w:rPr>
                <w:spacing w:val="-2"/>
                <w:sz w:val="20"/>
                <w:szCs w:val="20"/>
                <w:highlight w:val="none"/>
                <w:u w:val="single"/>
                <w:lang w:eastAsia="zh-CN"/>
              </w:rPr>
            </w:pPr>
            <w:r>
              <w:rPr>
                <w:rFonts w:hint="eastAsia"/>
                <w:spacing w:val="-2"/>
                <w:sz w:val="20"/>
                <w:szCs w:val="20"/>
                <w:highlight w:val="none"/>
                <w:u w:val="single"/>
                <w:lang w:eastAsia="zh-CN"/>
              </w:rPr>
              <w:t>5</w:t>
            </w:r>
            <w:r>
              <w:rPr>
                <w:rFonts w:hint="eastAsia"/>
                <w:spacing w:val="-2"/>
                <w:sz w:val="20"/>
                <w:szCs w:val="20"/>
                <w:highlight w:val="none"/>
                <w:lang w:eastAsia="zh-CN"/>
              </w:rPr>
              <w:t>分</w:t>
            </w:r>
          </w:p>
        </w:tc>
        <w:tc>
          <w:tcPr>
            <w:tcW w:w="1551" w:type="dxa"/>
            <w:vAlign w:val="center"/>
          </w:tcPr>
          <w:p>
            <w:pPr>
              <w:pStyle w:val="10"/>
              <w:spacing w:before="65" w:line="228" w:lineRule="auto"/>
              <w:jc w:val="center"/>
              <w:rPr>
                <w:spacing w:val="7"/>
                <w:sz w:val="20"/>
                <w:szCs w:val="20"/>
                <w:highlight w:val="none"/>
                <w:lang w:eastAsia="zh-CN"/>
              </w:rPr>
            </w:pPr>
            <w:r>
              <w:rPr>
                <w:rFonts w:hint="eastAsia"/>
                <w:spacing w:val="7"/>
                <w:sz w:val="20"/>
                <w:szCs w:val="20"/>
                <w:highlight w:val="none"/>
                <w:lang w:eastAsia="zh-CN"/>
              </w:rPr>
              <w:t>技术能力</w:t>
            </w:r>
          </w:p>
        </w:tc>
        <w:tc>
          <w:tcPr>
            <w:tcW w:w="791" w:type="dxa"/>
            <w:vAlign w:val="center"/>
          </w:tcPr>
          <w:p>
            <w:pPr>
              <w:pStyle w:val="10"/>
              <w:spacing w:before="65" w:line="228" w:lineRule="auto"/>
              <w:jc w:val="center"/>
              <w:rPr>
                <w:spacing w:val="-2"/>
                <w:sz w:val="20"/>
                <w:szCs w:val="20"/>
                <w:highlight w:val="none"/>
                <w:lang w:eastAsia="zh-CN"/>
              </w:rPr>
            </w:pPr>
            <w:r>
              <w:rPr>
                <w:rFonts w:hint="eastAsia"/>
                <w:spacing w:val="-2"/>
                <w:sz w:val="20"/>
                <w:szCs w:val="20"/>
                <w:highlight w:val="none"/>
                <w:lang w:eastAsia="zh-CN"/>
              </w:rPr>
              <w:t>5分</w:t>
            </w:r>
          </w:p>
        </w:tc>
        <w:tc>
          <w:tcPr>
            <w:tcW w:w="3994" w:type="dxa"/>
          </w:tcPr>
          <w:p>
            <w:pPr>
              <w:pStyle w:val="10"/>
              <w:spacing w:before="65" w:line="228" w:lineRule="auto"/>
              <w:rPr>
                <w:spacing w:val="6"/>
                <w:sz w:val="20"/>
                <w:szCs w:val="20"/>
                <w:highlight w:val="none"/>
                <w:lang w:eastAsia="zh-CN"/>
              </w:rPr>
            </w:pPr>
            <w:r>
              <w:rPr>
                <w:rFonts w:hint="eastAsia"/>
                <w:spacing w:val="6"/>
                <w:sz w:val="20"/>
                <w:szCs w:val="20"/>
                <w:highlight w:val="none"/>
                <w:lang w:eastAsia="zh-CN"/>
              </w:rPr>
              <w:t>近5年（指获奖证书颁发日期为2018年</w:t>
            </w:r>
            <w:r>
              <w:rPr>
                <w:rFonts w:hint="eastAsia"/>
                <w:spacing w:val="6"/>
                <w:sz w:val="20"/>
                <w:szCs w:val="20"/>
                <w:highlight w:val="none"/>
                <w:lang w:val="en-US" w:eastAsia="zh-CN"/>
              </w:rPr>
              <w:t>12</w:t>
            </w:r>
            <w:r>
              <w:rPr>
                <w:rFonts w:hint="eastAsia"/>
                <w:spacing w:val="6"/>
                <w:sz w:val="20"/>
                <w:szCs w:val="20"/>
                <w:highlight w:val="none"/>
                <w:lang w:eastAsia="zh-CN"/>
              </w:rPr>
              <w:t>月1日至投标截止日）内，获得“国家或省级（含行业学会）科学技术奖”或“发明专利”或“实用新型专利”的，每有1个证书加1分（同一项目获多个奖项的，按一个项目计算），最多得5分。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6" w:type="dxa"/>
            <w:vMerge w:val="continue"/>
            <w:tcBorders>
              <w:left w:val="single" w:color="auto" w:sz="4" w:space="0"/>
              <w:right w:val="single" w:color="auto" w:sz="4" w:space="0"/>
            </w:tcBorders>
            <w:vAlign w:val="center"/>
          </w:tcPr>
          <w:p>
            <w:pPr>
              <w:pStyle w:val="10"/>
              <w:spacing w:before="65" w:line="228" w:lineRule="auto"/>
              <w:jc w:val="center"/>
              <w:rPr>
                <w:spacing w:val="6"/>
                <w:sz w:val="20"/>
                <w:szCs w:val="20"/>
                <w:highlight w:val="none"/>
                <w:lang w:eastAsia="zh-CN"/>
              </w:rPr>
            </w:pPr>
          </w:p>
        </w:tc>
        <w:tc>
          <w:tcPr>
            <w:tcW w:w="1125" w:type="dxa"/>
            <w:vMerge w:val="continue"/>
            <w:tcBorders>
              <w:left w:val="single" w:color="auto" w:sz="4" w:space="0"/>
            </w:tcBorders>
            <w:vAlign w:val="center"/>
          </w:tcPr>
          <w:p>
            <w:pPr>
              <w:pStyle w:val="10"/>
              <w:spacing w:before="65" w:line="228" w:lineRule="auto"/>
              <w:jc w:val="center"/>
              <w:rPr>
                <w:spacing w:val="6"/>
                <w:sz w:val="20"/>
                <w:szCs w:val="20"/>
                <w:highlight w:val="none"/>
                <w:lang w:eastAsia="zh-CN"/>
              </w:rPr>
            </w:pPr>
          </w:p>
        </w:tc>
        <w:tc>
          <w:tcPr>
            <w:tcW w:w="942" w:type="dxa"/>
            <w:vAlign w:val="center"/>
          </w:tcPr>
          <w:p>
            <w:pPr>
              <w:pStyle w:val="10"/>
              <w:spacing w:before="65" w:line="228" w:lineRule="auto"/>
              <w:jc w:val="center"/>
              <w:rPr>
                <w:spacing w:val="-2"/>
                <w:sz w:val="20"/>
                <w:szCs w:val="20"/>
                <w:highlight w:val="none"/>
                <w:u w:val="single"/>
              </w:rPr>
            </w:pPr>
            <w:r>
              <w:rPr>
                <w:rFonts w:hint="eastAsia"/>
                <w:spacing w:val="3"/>
                <w:sz w:val="20"/>
                <w:szCs w:val="20"/>
                <w:highlight w:val="none"/>
                <w:u w:val="single"/>
                <w:lang w:eastAsia="zh-CN"/>
              </w:rPr>
              <w:t>15</w:t>
            </w:r>
            <w:r>
              <w:rPr>
                <w:spacing w:val="3"/>
                <w:sz w:val="20"/>
                <w:szCs w:val="20"/>
                <w:highlight w:val="none"/>
              </w:rPr>
              <w:t>分</w:t>
            </w:r>
          </w:p>
        </w:tc>
        <w:tc>
          <w:tcPr>
            <w:tcW w:w="1551" w:type="dxa"/>
            <w:vAlign w:val="center"/>
          </w:tcPr>
          <w:p>
            <w:pPr>
              <w:pStyle w:val="10"/>
              <w:spacing w:before="65" w:line="228" w:lineRule="auto"/>
              <w:jc w:val="center"/>
              <w:rPr>
                <w:spacing w:val="6"/>
                <w:sz w:val="20"/>
                <w:szCs w:val="20"/>
                <w:highlight w:val="none"/>
                <w:lang w:eastAsia="zh-CN"/>
              </w:rPr>
            </w:pPr>
            <w:r>
              <w:rPr>
                <w:rFonts w:hint="eastAsia"/>
                <w:spacing w:val="6"/>
                <w:sz w:val="20"/>
                <w:szCs w:val="20"/>
                <w:highlight w:val="none"/>
                <w:lang w:eastAsia="zh-CN"/>
              </w:rPr>
              <w:t>类似项目业绩</w:t>
            </w:r>
          </w:p>
        </w:tc>
        <w:tc>
          <w:tcPr>
            <w:tcW w:w="791" w:type="dxa"/>
            <w:vAlign w:val="center"/>
          </w:tcPr>
          <w:p>
            <w:pPr>
              <w:pStyle w:val="10"/>
              <w:spacing w:before="65" w:line="228" w:lineRule="auto"/>
              <w:jc w:val="center"/>
              <w:rPr>
                <w:spacing w:val="6"/>
                <w:sz w:val="20"/>
                <w:szCs w:val="20"/>
                <w:highlight w:val="none"/>
                <w:lang w:eastAsia="zh-CN"/>
              </w:rPr>
            </w:pPr>
            <w:r>
              <w:rPr>
                <w:rFonts w:hint="eastAsia"/>
                <w:spacing w:val="3"/>
                <w:sz w:val="20"/>
                <w:szCs w:val="20"/>
                <w:highlight w:val="none"/>
                <w:lang w:eastAsia="zh-CN"/>
              </w:rPr>
              <w:t>15</w:t>
            </w:r>
            <w:r>
              <w:rPr>
                <w:spacing w:val="3"/>
                <w:sz w:val="20"/>
                <w:szCs w:val="20"/>
                <w:highlight w:val="none"/>
              </w:rPr>
              <w:t>分</w:t>
            </w:r>
          </w:p>
        </w:tc>
        <w:tc>
          <w:tcPr>
            <w:tcW w:w="3994" w:type="dxa"/>
          </w:tcPr>
          <w:p>
            <w:pPr>
              <w:pStyle w:val="10"/>
              <w:spacing w:before="65" w:line="228" w:lineRule="auto"/>
              <w:rPr>
                <w:spacing w:val="6"/>
                <w:sz w:val="20"/>
                <w:szCs w:val="20"/>
                <w:highlight w:val="none"/>
                <w:lang w:eastAsia="zh-CN"/>
              </w:rPr>
            </w:pPr>
            <w:r>
              <w:rPr>
                <w:spacing w:val="6"/>
                <w:sz w:val="20"/>
                <w:szCs w:val="20"/>
                <w:highlight w:val="none"/>
                <w:lang w:eastAsia="zh-CN"/>
              </w:rPr>
              <w:t>(a)满足招标文件第二章“投标人须知 前附表 ”附录2相关规定的，得基本分</w:t>
            </w:r>
            <w:r>
              <w:rPr>
                <w:rFonts w:hint="eastAsia"/>
                <w:spacing w:val="6"/>
                <w:sz w:val="20"/>
                <w:szCs w:val="20"/>
                <w:highlight w:val="none"/>
                <w:lang w:eastAsia="zh-CN"/>
              </w:rPr>
              <w:t>9</w:t>
            </w:r>
            <w:r>
              <w:rPr>
                <w:spacing w:val="6"/>
                <w:sz w:val="20"/>
                <w:szCs w:val="20"/>
                <w:highlight w:val="none"/>
                <w:lang w:eastAsia="zh-CN"/>
              </w:rPr>
              <w:t>分；</w:t>
            </w:r>
          </w:p>
          <w:p>
            <w:pPr>
              <w:pStyle w:val="10"/>
              <w:spacing w:before="65" w:line="228" w:lineRule="auto"/>
              <w:rPr>
                <w:spacing w:val="6"/>
                <w:sz w:val="20"/>
                <w:szCs w:val="20"/>
                <w:highlight w:val="none"/>
                <w:lang w:eastAsia="zh-CN"/>
              </w:rPr>
            </w:pPr>
            <w:r>
              <w:rPr>
                <w:spacing w:val="6"/>
                <w:sz w:val="20"/>
                <w:szCs w:val="20"/>
                <w:highlight w:val="none"/>
                <w:lang w:eastAsia="zh-CN"/>
              </w:rPr>
              <w:t>(b)在满足资格审查的条件下，近</w:t>
            </w:r>
            <w:r>
              <w:rPr>
                <w:rFonts w:hint="eastAsia"/>
                <w:spacing w:val="6"/>
                <w:sz w:val="20"/>
                <w:szCs w:val="20"/>
                <w:highlight w:val="none"/>
                <w:lang w:eastAsia="zh-CN"/>
              </w:rPr>
              <w:t>五</w:t>
            </w:r>
            <w:r>
              <w:rPr>
                <w:spacing w:val="6"/>
                <w:sz w:val="20"/>
                <w:szCs w:val="20"/>
                <w:highlight w:val="none"/>
                <w:lang w:eastAsia="zh-CN"/>
              </w:rPr>
              <w:t>年（20</w:t>
            </w:r>
            <w:r>
              <w:rPr>
                <w:rFonts w:hint="eastAsia"/>
                <w:spacing w:val="6"/>
                <w:sz w:val="20"/>
                <w:szCs w:val="20"/>
                <w:highlight w:val="none"/>
                <w:lang w:eastAsia="zh-CN"/>
              </w:rPr>
              <w:t>18</w:t>
            </w:r>
            <w:r>
              <w:rPr>
                <w:spacing w:val="6"/>
                <w:sz w:val="20"/>
                <w:szCs w:val="20"/>
                <w:highlight w:val="none"/>
                <w:lang w:eastAsia="zh-CN"/>
              </w:rPr>
              <w:t>年</w:t>
            </w:r>
            <w:r>
              <w:rPr>
                <w:rFonts w:hint="eastAsia"/>
                <w:spacing w:val="6"/>
                <w:sz w:val="20"/>
                <w:szCs w:val="20"/>
                <w:highlight w:val="none"/>
                <w:lang w:val="en-US" w:eastAsia="zh-CN"/>
              </w:rPr>
              <w:t>12</w:t>
            </w:r>
            <w:r>
              <w:rPr>
                <w:spacing w:val="6"/>
                <w:sz w:val="20"/>
                <w:szCs w:val="20"/>
                <w:highlight w:val="none"/>
                <w:lang w:eastAsia="zh-CN"/>
              </w:rPr>
              <w:t>月1日至投标文件递交截止日，以合同签订时间为准）</w:t>
            </w:r>
            <w:r>
              <w:rPr>
                <w:rFonts w:hint="eastAsia"/>
                <w:spacing w:val="6"/>
                <w:sz w:val="20"/>
                <w:szCs w:val="20"/>
                <w:highlight w:val="none"/>
                <w:lang w:eastAsia="zh-CN"/>
              </w:rPr>
              <w:t>每增加1个跨江河（或道路或铁路）的桥梁设计或咨询业绩加</w:t>
            </w:r>
            <w:r>
              <w:rPr>
                <w:rFonts w:hint="eastAsia"/>
                <w:spacing w:val="6"/>
                <w:sz w:val="20"/>
                <w:szCs w:val="20"/>
                <w:highlight w:val="none"/>
                <w:lang w:val="en-US" w:eastAsia="zh-CN"/>
              </w:rPr>
              <w:t>1.5</w:t>
            </w:r>
            <w:r>
              <w:rPr>
                <w:rFonts w:hint="eastAsia"/>
                <w:spacing w:val="6"/>
                <w:sz w:val="20"/>
                <w:szCs w:val="20"/>
                <w:highlight w:val="none"/>
                <w:lang w:eastAsia="zh-CN"/>
              </w:rPr>
              <w:t>分，最多加</w:t>
            </w:r>
            <w:r>
              <w:rPr>
                <w:rFonts w:hint="eastAsia"/>
                <w:spacing w:val="6"/>
                <w:sz w:val="20"/>
                <w:szCs w:val="20"/>
                <w:highlight w:val="none"/>
                <w:lang w:val="en-US" w:eastAsia="zh-CN"/>
              </w:rPr>
              <w:t>3</w:t>
            </w:r>
            <w:r>
              <w:rPr>
                <w:rFonts w:hint="eastAsia"/>
                <w:spacing w:val="6"/>
                <w:sz w:val="20"/>
                <w:szCs w:val="20"/>
                <w:highlight w:val="none"/>
                <w:lang w:eastAsia="zh-CN"/>
              </w:rPr>
              <w:t>分；每增加1个一级路及以上等级道路设计业绩加</w:t>
            </w:r>
            <w:r>
              <w:rPr>
                <w:rFonts w:hint="eastAsia"/>
                <w:spacing w:val="6"/>
                <w:sz w:val="20"/>
                <w:szCs w:val="20"/>
                <w:highlight w:val="none"/>
                <w:lang w:val="en-US" w:eastAsia="zh-CN"/>
              </w:rPr>
              <w:t>1.5</w:t>
            </w:r>
            <w:r>
              <w:rPr>
                <w:rFonts w:hint="eastAsia"/>
                <w:spacing w:val="6"/>
                <w:sz w:val="20"/>
                <w:szCs w:val="20"/>
                <w:highlight w:val="none"/>
                <w:lang w:eastAsia="zh-CN"/>
              </w:rPr>
              <w:t>分，最多加</w:t>
            </w:r>
            <w:r>
              <w:rPr>
                <w:rFonts w:hint="eastAsia"/>
                <w:spacing w:val="6"/>
                <w:sz w:val="20"/>
                <w:szCs w:val="20"/>
                <w:highlight w:val="none"/>
                <w:lang w:val="en-US" w:eastAsia="zh-CN"/>
              </w:rPr>
              <w:t>3</w:t>
            </w:r>
            <w:r>
              <w:rPr>
                <w:rFonts w:hint="eastAsia"/>
                <w:spacing w:val="6"/>
                <w:sz w:val="20"/>
                <w:szCs w:val="20"/>
                <w:highlight w:val="none"/>
                <w:lang w:eastAsia="zh-CN"/>
              </w:rPr>
              <w:t>分。</w:t>
            </w:r>
          </w:p>
          <w:p>
            <w:pPr>
              <w:pStyle w:val="10"/>
              <w:spacing w:before="65" w:line="228" w:lineRule="auto"/>
              <w:rPr>
                <w:spacing w:val="6"/>
                <w:sz w:val="20"/>
                <w:szCs w:val="20"/>
                <w:highlight w:val="none"/>
                <w:lang w:eastAsia="zh-CN"/>
              </w:rPr>
            </w:pPr>
            <w:r>
              <w:rPr>
                <w:rFonts w:hint="eastAsia"/>
                <w:spacing w:val="6"/>
                <w:sz w:val="20"/>
                <w:szCs w:val="20"/>
                <w:highlight w:val="none"/>
                <w:lang w:eastAsia="zh-CN"/>
              </w:rPr>
              <w:t>（</w:t>
            </w:r>
            <w:r>
              <w:rPr>
                <w:rFonts w:hint="eastAsia"/>
                <w:sz w:val="21"/>
                <w:szCs w:val="21"/>
                <w:highlight w:val="none"/>
                <w:lang w:eastAsia="zh-CN"/>
              </w:rPr>
              <w:t>1.</w:t>
            </w:r>
            <w:r>
              <w:rPr>
                <w:sz w:val="21"/>
                <w:szCs w:val="21"/>
                <w:highlight w:val="none"/>
                <w:lang w:eastAsia="zh-CN"/>
              </w:rPr>
              <w:t>投标人应提供业绩中标通知书或合同复印件加盖公章，</w:t>
            </w:r>
            <w:r>
              <w:rPr>
                <w:spacing w:val="-1"/>
                <w:sz w:val="21"/>
                <w:szCs w:val="21"/>
                <w:highlight w:val="none"/>
                <w:lang w:eastAsia="zh-CN"/>
              </w:rPr>
              <w:t>不提供的不予认定。</w:t>
            </w:r>
            <w:r>
              <w:rPr>
                <w:rFonts w:hint="eastAsia"/>
                <w:spacing w:val="-1"/>
                <w:sz w:val="21"/>
                <w:szCs w:val="21"/>
                <w:highlight w:val="none"/>
                <w:lang w:eastAsia="zh-CN"/>
              </w:rPr>
              <w:t>2.投标人应提供业主单位开具的证明材料或其他证明材料，用以证明项目设计工作已完成。3.业绩时间以合同签订时间为准。</w:t>
            </w:r>
            <w:r>
              <w:rPr>
                <w:rFonts w:hint="eastAsia"/>
                <w:spacing w:val="6"/>
                <w:sz w:val="20"/>
                <w:szCs w:val="20"/>
                <w:highlight w:val="none"/>
                <w:lang w:eastAsia="zh-CN"/>
              </w:rPr>
              <w:t>4.如合同中无法体现设计内容，可提供业主开具的证明材料）。同一项目只能选择一种类型业绩加分。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96" w:type="dxa"/>
            <w:vMerge w:val="continue"/>
            <w:tcBorders>
              <w:left w:val="single" w:color="auto" w:sz="4" w:space="0"/>
              <w:right w:val="single" w:color="auto" w:sz="4" w:space="0"/>
            </w:tcBorders>
            <w:vAlign w:val="center"/>
          </w:tcPr>
          <w:p>
            <w:pPr>
              <w:pStyle w:val="10"/>
              <w:spacing w:before="65" w:line="228" w:lineRule="auto"/>
              <w:jc w:val="center"/>
              <w:rPr>
                <w:spacing w:val="6"/>
                <w:sz w:val="20"/>
                <w:szCs w:val="20"/>
                <w:highlight w:val="none"/>
                <w:lang w:eastAsia="zh-CN"/>
              </w:rPr>
            </w:pPr>
          </w:p>
        </w:tc>
        <w:tc>
          <w:tcPr>
            <w:tcW w:w="1125" w:type="dxa"/>
            <w:vMerge w:val="continue"/>
            <w:tcBorders>
              <w:left w:val="single" w:color="auto" w:sz="4" w:space="0"/>
            </w:tcBorders>
            <w:vAlign w:val="center"/>
          </w:tcPr>
          <w:p>
            <w:pPr>
              <w:pStyle w:val="10"/>
              <w:spacing w:before="65" w:line="228" w:lineRule="auto"/>
              <w:jc w:val="center"/>
              <w:rPr>
                <w:spacing w:val="5"/>
                <w:sz w:val="20"/>
                <w:szCs w:val="20"/>
                <w:highlight w:val="none"/>
                <w:lang w:eastAsia="zh-CN"/>
              </w:rPr>
            </w:pPr>
          </w:p>
        </w:tc>
        <w:tc>
          <w:tcPr>
            <w:tcW w:w="942" w:type="dxa"/>
            <w:vAlign w:val="center"/>
          </w:tcPr>
          <w:p>
            <w:pPr>
              <w:pStyle w:val="10"/>
              <w:spacing w:before="65" w:line="228" w:lineRule="auto"/>
              <w:jc w:val="center"/>
              <w:rPr>
                <w:spacing w:val="3"/>
                <w:sz w:val="20"/>
                <w:szCs w:val="20"/>
                <w:highlight w:val="none"/>
                <w:u w:val="single"/>
              </w:rPr>
            </w:pPr>
            <w:r>
              <w:rPr>
                <w:spacing w:val="1"/>
                <w:sz w:val="20"/>
                <w:szCs w:val="20"/>
                <w:highlight w:val="none"/>
                <w:u w:val="single"/>
              </w:rPr>
              <w:t>5</w:t>
            </w:r>
            <w:r>
              <w:rPr>
                <w:spacing w:val="1"/>
                <w:sz w:val="20"/>
                <w:szCs w:val="20"/>
                <w:highlight w:val="none"/>
              </w:rPr>
              <w:t>分</w:t>
            </w:r>
          </w:p>
        </w:tc>
        <w:tc>
          <w:tcPr>
            <w:tcW w:w="1551" w:type="dxa"/>
            <w:vAlign w:val="center"/>
          </w:tcPr>
          <w:p>
            <w:pPr>
              <w:pStyle w:val="10"/>
              <w:spacing w:before="65" w:line="228" w:lineRule="auto"/>
              <w:jc w:val="center"/>
              <w:rPr>
                <w:spacing w:val="6"/>
                <w:sz w:val="20"/>
                <w:szCs w:val="20"/>
                <w:highlight w:val="none"/>
                <w:lang w:eastAsia="zh-CN"/>
              </w:rPr>
            </w:pPr>
            <w:r>
              <w:rPr>
                <w:spacing w:val="6"/>
                <w:sz w:val="20"/>
                <w:szCs w:val="20"/>
                <w:highlight w:val="none"/>
              </w:rPr>
              <w:t>履约信誉</w:t>
            </w:r>
          </w:p>
        </w:tc>
        <w:tc>
          <w:tcPr>
            <w:tcW w:w="791" w:type="dxa"/>
            <w:vAlign w:val="center"/>
          </w:tcPr>
          <w:p>
            <w:pPr>
              <w:pStyle w:val="10"/>
              <w:spacing w:before="65" w:line="228" w:lineRule="auto"/>
              <w:jc w:val="center"/>
              <w:rPr>
                <w:spacing w:val="3"/>
                <w:sz w:val="20"/>
                <w:szCs w:val="20"/>
                <w:highlight w:val="none"/>
              </w:rPr>
            </w:pPr>
            <w:r>
              <w:rPr>
                <w:spacing w:val="1"/>
                <w:sz w:val="20"/>
                <w:szCs w:val="20"/>
                <w:highlight w:val="none"/>
              </w:rPr>
              <w:t>5分</w:t>
            </w:r>
          </w:p>
        </w:tc>
        <w:tc>
          <w:tcPr>
            <w:tcW w:w="3994" w:type="dxa"/>
          </w:tcPr>
          <w:p>
            <w:pPr>
              <w:pStyle w:val="10"/>
              <w:spacing w:before="65" w:line="228" w:lineRule="auto"/>
              <w:rPr>
                <w:spacing w:val="6"/>
                <w:sz w:val="20"/>
                <w:highlight w:val="none"/>
                <w:lang w:eastAsia="zh-CN"/>
              </w:rPr>
            </w:pPr>
            <w:r>
              <w:rPr>
                <w:rFonts w:hint="eastAsia" w:ascii="Times New Roman" w:hAnsi="Times New Roman" w:cs="Times New Roman"/>
                <w:color w:val="auto"/>
                <w:kern w:val="2"/>
                <w:sz w:val="21"/>
                <w:szCs w:val="21"/>
                <w:highlight w:val="none"/>
                <w:lang w:eastAsia="zh-CN"/>
              </w:rPr>
              <w:t>不存在招标文件第一章“招标公告”3.4条规定的不良状况或不良信用记录，得5分；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4" w:hRule="atLeast"/>
        </w:trPr>
        <w:tc>
          <w:tcPr>
            <w:tcW w:w="9199" w:type="dxa"/>
            <w:gridSpan w:val="6"/>
            <w:tcBorders>
              <w:left w:val="single" w:color="auto" w:sz="4" w:space="0"/>
              <w:bottom w:val="single" w:color="auto" w:sz="4" w:space="0"/>
            </w:tcBorders>
            <w:vAlign w:val="center"/>
          </w:tcPr>
          <w:p>
            <w:pPr>
              <w:pStyle w:val="10"/>
              <w:spacing w:before="65" w:line="228" w:lineRule="auto"/>
              <w:rPr>
                <w:spacing w:val="9"/>
                <w:sz w:val="20"/>
                <w:szCs w:val="20"/>
                <w:highlight w:val="none"/>
                <w:lang w:eastAsia="zh-CN"/>
              </w:rPr>
            </w:pPr>
            <w:r>
              <w:rPr>
                <w:spacing w:val="9"/>
                <w:sz w:val="20"/>
                <w:szCs w:val="20"/>
                <w:highlight w:val="none"/>
                <w:lang w:eastAsia="zh-CN"/>
              </w:rPr>
              <w:t>需要补充的其他内容：</w:t>
            </w:r>
          </w:p>
          <w:p>
            <w:pPr>
              <w:pStyle w:val="10"/>
              <w:numPr>
                <w:ilvl w:val="1"/>
                <w:numId w:val="6"/>
              </w:numPr>
              <w:spacing w:before="65" w:line="228" w:lineRule="auto"/>
              <w:rPr>
                <w:spacing w:val="9"/>
                <w:sz w:val="20"/>
                <w:szCs w:val="20"/>
                <w:highlight w:val="none"/>
                <w:lang w:eastAsia="zh-CN"/>
              </w:rPr>
            </w:pPr>
            <w:r>
              <w:rPr>
                <w:spacing w:val="9"/>
                <w:sz w:val="20"/>
                <w:szCs w:val="20"/>
                <w:highlight w:val="none"/>
                <w:lang w:eastAsia="zh-CN"/>
              </w:rPr>
              <w:t>通过第一个信封初步评审</w:t>
            </w:r>
            <w:r>
              <w:rPr>
                <w:rFonts w:hint="eastAsia"/>
                <w:spacing w:val="9"/>
                <w:sz w:val="20"/>
                <w:szCs w:val="20"/>
                <w:highlight w:val="none"/>
                <w:lang w:eastAsia="zh-CN"/>
              </w:rPr>
              <w:t>的</w:t>
            </w:r>
            <w:r>
              <w:rPr>
                <w:spacing w:val="9"/>
                <w:sz w:val="20"/>
                <w:szCs w:val="20"/>
                <w:highlight w:val="none"/>
                <w:lang w:eastAsia="zh-CN"/>
              </w:rPr>
              <w:t>投标人进入第二个信封的评审，其第二个信封在监督人的监督下进行开标；未通过第一个信封初步评审的投标人不进入第二个信封的评审，第二个信封原封退回，不参与第二个信封的开标。</w:t>
            </w:r>
          </w:p>
          <w:p>
            <w:pPr>
              <w:pStyle w:val="10"/>
              <w:numPr>
                <w:ilvl w:val="1"/>
                <w:numId w:val="6"/>
              </w:numPr>
              <w:spacing w:before="65" w:line="228" w:lineRule="auto"/>
              <w:rPr>
                <w:spacing w:val="9"/>
                <w:sz w:val="20"/>
                <w:szCs w:val="20"/>
                <w:highlight w:val="none"/>
                <w:lang w:eastAsia="zh-CN"/>
              </w:rPr>
            </w:pPr>
            <w:r>
              <w:rPr>
                <w:spacing w:val="9"/>
                <w:sz w:val="20"/>
                <w:szCs w:val="20"/>
                <w:highlight w:val="none"/>
                <w:lang w:eastAsia="zh-CN"/>
              </w:rPr>
              <w:t>1.2 评标委员会对投标文件第二个信封进行初步评审，对通过第二个信封初步评审的投标文件按照本章第 2.2 款规定的评分标准进行评标价评分（保留小数点后两位，小数点后第三位“ 四舍  五入 ”），各投标人的最终得分为第一个信封与第二个信封得分之和，评标委员会按最终得分由高到低顺序确定中标候选人推荐排序，但投标报价低于其成本的除外。</w:t>
            </w:r>
          </w:p>
          <w:p>
            <w:pPr>
              <w:pStyle w:val="10"/>
              <w:spacing w:before="65" w:line="228" w:lineRule="auto"/>
              <w:rPr>
                <w:spacing w:val="9"/>
                <w:sz w:val="20"/>
                <w:szCs w:val="20"/>
                <w:highlight w:val="none"/>
                <w:lang w:eastAsia="zh-CN"/>
              </w:rPr>
            </w:pPr>
            <w:r>
              <w:rPr>
                <w:spacing w:val="9"/>
                <w:sz w:val="20"/>
                <w:szCs w:val="20"/>
                <w:highlight w:val="none"/>
                <w:lang w:eastAsia="zh-CN"/>
              </w:rPr>
              <w:t>1.3 当两家及以上投标人的综合得分相等时，评标委员会依次按照以下优先顺序推荐中标候选人或确定中标人：</w:t>
            </w:r>
          </w:p>
          <w:p>
            <w:pPr>
              <w:pStyle w:val="10"/>
              <w:spacing w:before="65" w:line="228" w:lineRule="auto"/>
              <w:rPr>
                <w:spacing w:val="9"/>
                <w:sz w:val="20"/>
                <w:szCs w:val="20"/>
                <w:highlight w:val="none"/>
                <w:lang w:eastAsia="zh-CN"/>
              </w:rPr>
            </w:pPr>
            <w:r>
              <w:rPr>
                <w:spacing w:val="9"/>
                <w:sz w:val="20"/>
                <w:szCs w:val="20"/>
                <w:highlight w:val="none"/>
                <w:lang w:eastAsia="zh-CN"/>
              </w:rPr>
              <w:t>（1）以投标报价低的优先；（2）投标报价也相等的，以技术建议书部分得分高的优先；如果技术建议书部分得分也相等，以投标人其他因素部分得分高的优先。（3）如投标报价、技术建议书部分得分、其他因素部分得分均相等，则由评标委员会投票表决推荐排名优先的投标人。</w:t>
            </w:r>
          </w:p>
          <w:p>
            <w:pPr>
              <w:pStyle w:val="10"/>
              <w:spacing w:before="65" w:line="228" w:lineRule="auto"/>
              <w:rPr>
                <w:spacing w:val="9"/>
                <w:sz w:val="20"/>
                <w:szCs w:val="20"/>
                <w:highlight w:val="none"/>
                <w:lang w:eastAsia="zh-CN"/>
              </w:rPr>
            </w:pPr>
            <w:r>
              <w:rPr>
                <w:spacing w:val="9"/>
                <w:sz w:val="20"/>
                <w:szCs w:val="20"/>
                <w:highlight w:val="none"/>
                <w:lang w:eastAsia="zh-CN"/>
              </w:rPr>
              <w:t>1.4 通过第一个信封评审且参与第二个信封开标的投标人在 3 个及以上的，招标人将按规的程序进行第二个信封开标；在对第二个信封进行评审后，有效投标不足 3 个使得投标明显缺乏竞争的，评标委员会可以否决全部投标。评标委员会未否决全部投标的，应当在评标报告中阐明理由并推荐中标候选人。</w:t>
            </w:r>
          </w:p>
          <w:p>
            <w:pPr>
              <w:pStyle w:val="10"/>
              <w:spacing w:before="65" w:line="228" w:lineRule="auto"/>
              <w:rPr>
                <w:spacing w:val="9"/>
                <w:sz w:val="20"/>
                <w:szCs w:val="20"/>
                <w:highlight w:val="none"/>
                <w:lang w:eastAsia="zh-CN"/>
              </w:rPr>
            </w:pPr>
            <w:r>
              <w:rPr>
                <w:spacing w:val="9"/>
                <w:sz w:val="20"/>
                <w:szCs w:val="20"/>
                <w:highlight w:val="none"/>
                <w:lang w:eastAsia="zh-CN"/>
              </w:rPr>
              <w:t>通过第一个信封评审且参与第二个信封开标的投标人少于 3 个的，评标委员会可以否决全部投标；未否决全部投标的，评标委员会应当在评标报告中阐明理由，招标人将按规定的程序进行第二个信封（报价文件）开标，但评标委员会在进行第二个信封评审时仍有权否决全部投标； 评标委员会未在第二个信封评审时否决全部投标的，应当在评标报告中阐明理由井推荐中标候选人。</w:t>
            </w:r>
          </w:p>
        </w:tc>
      </w:tr>
    </w:tbl>
    <w:p>
      <w:pPr>
        <w:rPr>
          <w:highlight w:val="none"/>
          <w:lang w:eastAsia="zh-CN"/>
        </w:rPr>
        <w:sectPr>
          <w:footerReference r:id="rId3" w:type="default"/>
          <w:pgSz w:w="11911" w:h="16850"/>
          <w:pgMar w:top="1432" w:right="1469" w:bottom="1050" w:left="1537" w:header="0" w:footer="871" w:gutter="0"/>
          <w:pgBorders>
            <w:top w:val="none" w:sz="0" w:space="0"/>
            <w:left w:val="none" w:sz="0" w:space="0"/>
            <w:bottom w:val="none" w:sz="0" w:space="0"/>
            <w:right w:val="none" w:sz="0" w:space="0"/>
          </w:pgBorders>
          <w:pgNumType w:fmt="decimal"/>
          <w:cols w:space="720" w:num="1"/>
        </w:sectPr>
      </w:pPr>
    </w:p>
    <w:p>
      <w:pPr>
        <w:rPr>
          <w:highlight w:val="none"/>
        </w:rPr>
      </w:pPr>
    </w:p>
    <w:p>
      <w:pPr>
        <w:pStyle w:val="3"/>
        <w:widowControl/>
        <w:rPr>
          <w:color w:val="auto"/>
          <w:highlight w:val="none"/>
        </w:rPr>
      </w:pPr>
      <w:r>
        <w:rPr>
          <w:color w:val="auto"/>
          <w:highlight w:val="none"/>
        </w:rPr>
        <w:t xml:space="preserve">1. </w:t>
      </w:r>
      <w:r>
        <w:rPr>
          <w:rFonts w:hint="eastAsia" w:ascii="黑体" w:hAnsi="黑体"/>
          <w:color w:val="auto"/>
          <w:highlight w:val="none"/>
        </w:rPr>
        <w:t>评标方法</w:t>
      </w:r>
    </w:p>
    <w:p>
      <w:pPr>
        <w:spacing w:before="167" w:line="359" w:lineRule="auto"/>
        <w:ind w:right="404" w:firstLine="476" w:firstLineChars="200"/>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报价低者优先；报价也相等的，以技术评分高者优先；技术评分也相等的，以</w:t>
      </w:r>
      <w:r>
        <w:rPr>
          <w:rFonts w:hint="eastAsia" w:ascii="宋体" w:hAnsi="宋体" w:eastAsia="宋体" w:cs="宋体"/>
          <w:spacing w:val="-1"/>
          <w:sz w:val="24"/>
          <w:szCs w:val="24"/>
          <w:highlight w:val="none"/>
          <w:lang w:val="en-US" w:eastAsia="zh-CN"/>
        </w:rPr>
        <w:t>其他因素</w:t>
      </w:r>
      <w:r>
        <w:rPr>
          <w:rFonts w:hint="eastAsia" w:ascii="宋体" w:hAnsi="宋体" w:eastAsia="宋体" w:cs="宋体"/>
          <w:spacing w:val="-1"/>
          <w:sz w:val="24"/>
          <w:szCs w:val="24"/>
          <w:highlight w:val="none"/>
          <w:lang w:eastAsia="zh-CN"/>
        </w:rPr>
        <w:t>评分高者优先，</w:t>
      </w:r>
      <w:r>
        <w:rPr>
          <w:rFonts w:hint="eastAsia" w:ascii="宋体" w:hAnsi="宋体" w:eastAsia="宋体" w:cs="宋体"/>
          <w:spacing w:val="-1"/>
          <w:sz w:val="24"/>
          <w:szCs w:val="24"/>
          <w:highlight w:val="none"/>
          <w:lang w:val="en-US" w:eastAsia="zh-CN"/>
        </w:rPr>
        <w:t>其他因素</w:t>
      </w:r>
      <w:r>
        <w:rPr>
          <w:rFonts w:hint="eastAsia" w:ascii="宋体" w:hAnsi="宋体" w:eastAsia="宋体" w:cs="宋体"/>
          <w:spacing w:val="-1"/>
          <w:sz w:val="24"/>
          <w:szCs w:val="24"/>
          <w:highlight w:val="none"/>
          <w:lang w:eastAsia="zh-CN"/>
        </w:rPr>
        <w:t>评分也相等的。以评标委员会投票决定。</w:t>
      </w:r>
    </w:p>
    <w:p>
      <w:pPr>
        <w:pStyle w:val="3"/>
        <w:widowControl/>
        <w:rPr>
          <w:color w:val="auto"/>
          <w:highlight w:val="none"/>
        </w:rPr>
      </w:pPr>
      <w:r>
        <w:rPr>
          <w:color w:val="auto"/>
          <w:highlight w:val="none"/>
        </w:rPr>
        <w:t xml:space="preserve">2. </w:t>
      </w:r>
      <w:r>
        <w:rPr>
          <w:rFonts w:hint="eastAsia" w:ascii="黑体" w:hAnsi="黑体"/>
          <w:color w:val="auto"/>
          <w:highlight w:val="none"/>
        </w:rPr>
        <w:t>评审标准</w:t>
      </w:r>
    </w:p>
    <w:p>
      <w:pPr>
        <w:pStyle w:val="5"/>
        <w:keepLines w:val="0"/>
        <w:widowControl/>
        <w:rPr>
          <w:color w:val="auto"/>
          <w:highlight w:val="none"/>
        </w:rPr>
      </w:pPr>
      <w:r>
        <w:rPr>
          <w:color w:val="auto"/>
          <w:highlight w:val="none"/>
        </w:rPr>
        <w:t xml:space="preserve">2.1 </w:t>
      </w:r>
      <w:r>
        <w:rPr>
          <w:rFonts w:hint="eastAsia" w:ascii="黑体" w:hAnsi="黑体"/>
          <w:color w:val="auto"/>
          <w:highlight w:val="none"/>
        </w:rPr>
        <w:t>初步评审标准</w:t>
      </w:r>
    </w:p>
    <w:p>
      <w:pPr>
        <w:spacing w:line="360" w:lineRule="auto"/>
        <w:ind w:firstLine="480" w:firstLineChars="200"/>
        <w:rPr>
          <w:sz w:val="24"/>
          <w:highlight w:val="none"/>
        </w:rPr>
      </w:pPr>
      <w:r>
        <w:rPr>
          <w:sz w:val="24"/>
          <w:highlight w:val="none"/>
        </w:rPr>
        <w:t>2.1.1</w:t>
      </w:r>
      <w:r>
        <w:rPr>
          <w:rFonts w:hint="eastAsia" w:ascii="宋体" w:hAnsi="宋体"/>
          <w:sz w:val="24"/>
          <w:highlight w:val="none"/>
        </w:rPr>
        <w:t>形式评审标准：见评标办法前附表。</w:t>
      </w:r>
    </w:p>
    <w:p>
      <w:pPr>
        <w:spacing w:line="360" w:lineRule="auto"/>
        <w:ind w:firstLine="480" w:firstLineChars="200"/>
        <w:rPr>
          <w:sz w:val="24"/>
          <w:highlight w:val="none"/>
        </w:rPr>
      </w:pPr>
      <w:r>
        <w:rPr>
          <w:sz w:val="24"/>
          <w:highlight w:val="none"/>
        </w:rPr>
        <w:t>2.1.2</w:t>
      </w:r>
      <w:r>
        <w:rPr>
          <w:rFonts w:hint="eastAsia" w:ascii="宋体" w:hAnsi="宋体"/>
          <w:sz w:val="24"/>
          <w:highlight w:val="none"/>
        </w:rPr>
        <w:t>资格评审标准：见评标办法前附表。（适用于未进行资格预审的）</w:t>
      </w:r>
    </w:p>
    <w:p>
      <w:pPr>
        <w:spacing w:line="360" w:lineRule="auto"/>
        <w:ind w:firstLine="480" w:firstLineChars="200"/>
        <w:rPr>
          <w:sz w:val="24"/>
          <w:highlight w:val="none"/>
        </w:rPr>
      </w:pPr>
      <w:r>
        <w:rPr>
          <w:sz w:val="24"/>
          <w:highlight w:val="none"/>
        </w:rPr>
        <w:t>2.1.2</w:t>
      </w:r>
      <w:r>
        <w:rPr>
          <w:rFonts w:hint="eastAsia" w:ascii="宋体" w:hAnsi="宋体"/>
          <w:sz w:val="24"/>
          <w:highlight w:val="none"/>
        </w:rPr>
        <w:t>资格评审标准：见资格预审文件第三章</w:t>
      </w:r>
      <w:r>
        <w:rPr>
          <w:sz w:val="24"/>
          <w:highlight w:val="none"/>
        </w:rPr>
        <w:t>“</w:t>
      </w:r>
      <w:r>
        <w:rPr>
          <w:rFonts w:hint="eastAsia" w:ascii="宋体" w:hAnsi="宋体"/>
          <w:sz w:val="24"/>
          <w:highlight w:val="none"/>
        </w:rPr>
        <w:t>资格审查办法</w:t>
      </w:r>
      <w:r>
        <w:rPr>
          <w:sz w:val="24"/>
          <w:highlight w:val="none"/>
        </w:rPr>
        <w:t>”</w:t>
      </w:r>
      <w:r>
        <w:rPr>
          <w:rFonts w:hint="eastAsia" w:ascii="宋体" w:hAnsi="宋体"/>
          <w:sz w:val="24"/>
          <w:highlight w:val="none"/>
        </w:rPr>
        <w:t>详细审查标准。（适用于已进行资格预审的）</w:t>
      </w:r>
    </w:p>
    <w:p>
      <w:pPr>
        <w:spacing w:line="360" w:lineRule="auto"/>
        <w:ind w:firstLine="480" w:firstLineChars="200"/>
        <w:rPr>
          <w:szCs w:val="21"/>
          <w:highlight w:val="none"/>
        </w:rPr>
      </w:pPr>
      <w:r>
        <w:rPr>
          <w:sz w:val="24"/>
          <w:highlight w:val="none"/>
        </w:rPr>
        <w:t>2.1.3</w:t>
      </w:r>
      <w:r>
        <w:rPr>
          <w:rFonts w:hint="eastAsia" w:ascii="宋体" w:hAnsi="宋体"/>
          <w:sz w:val="24"/>
          <w:highlight w:val="none"/>
        </w:rPr>
        <w:t>响应性评审标准：见评标办法前附表。</w:t>
      </w:r>
    </w:p>
    <w:p>
      <w:pPr>
        <w:pStyle w:val="5"/>
        <w:keepLines w:val="0"/>
        <w:widowControl/>
        <w:rPr>
          <w:color w:val="auto"/>
          <w:highlight w:val="none"/>
        </w:rPr>
      </w:pPr>
      <w:r>
        <w:rPr>
          <w:color w:val="auto"/>
          <w:highlight w:val="none"/>
        </w:rPr>
        <w:t xml:space="preserve">2.2 </w:t>
      </w:r>
      <w:r>
        <w:rPr>
          <w:rFonts w:hint="eastAsia" w:ascii="黑体" w:hAnsi="黑体"/>
          <w:color w:val="auto"/>
          <w:highlight w:val="none"/>
        </w:rPr>
        <w:t>分值构成与评分标准</w:t>
      </w:r>
    </w:p>
    <w:p>
      <w:pPr>
        <w:spacing w:line="360" w:lineRule="auto"/>
        <w:ind w:firstLine="480" w:firstLineChars="200"/>
        <w:rPr>
          <w:sz w:val="24"/>
          <w:highlight w:val="none"/>
        </w:rPr>
      </w:pPr>
      <w:r>
        <w:rPr>
          <w:sz w:val="24"/>
          <w:highlight w:val="none"/>
        </w:rPr>
        <w:t>2.2.1</w:t>
      </w:r>
      <w:r>
        <w:rPr>
          <w:rFonts w:hint="eastAsia" w:ascii="黑体" w:hAnsi="黑体" w:eastAsia="黑体"/>
          <w:sz w:val="24"/>
          <w:highlight w:val="none"/>
        </w:rPr>
        <w:t>分值构成</w:t>
      </w:r>
    </w:p>
    <w:p>
      <w:pPr>
        <w:spacing w:line="360" w:lineRule="auto"/>
        <w:ind w:firstLine="480" w:firstLineChars="200"/>
        <w:rPr>
          <w:sz w:val="24"/>
          <w:highlight w:val="none"/>
        </w:rPr>
      </w:pPr>
      <w:r>
        <w:rPr>
          <w:rFonts w:hint="eastAsia" w:ascii="宋体" w:hAnsi="宋体"/>
          <w:sz w:val="24"/>
          <w:highlight w:val="none"/>
        </w:rPr>
        <w:t>（</w:t>
      </w:r>
      <w:r>
        <w:rPr>
          <w:sz w:val="24"/>
          <w:highlight w:val="none"/>
        </w:rPr>
        <w:t>1</w:t>
      </w:r>
      <w:r>
        <w:rPr>
          <w:rFonts w:hint="eastAsia" w:ascii="宋体" w:hAnsi="宋体"/>
          <w:sz w:val="24"/>
          <w:highlight w:val="none"/>
        </w:rPr>
        <w:t>）技术建议书：见评标办法前附表；</w:t>
      </w:r>
    </w:p>
    <w:p>
      <w:pPr>
        <w:spacing w:line="360" w:lineRule="auto"/>
        <w:ind w:firstLine="480" w:firstLineChars="200"/>
        <w:rPr>
          <w:sz w:val="24"/>
          <w:highlight w:val="none"/>
        </w:rPr>
      </w:pPr>
      <w:r>
        <w:rPr>
          <w:rFonts w:hint="eastAsia" w:ascii="宋体" w:hAnsi="宋体"/>
          <w:sz w:val="24"/>
          <w:highlight w:val="none"/>
        </w:rPr>
        <w:t>（</w:t>
      </w:r>
      <w:r>
        <w:rPr>
          <w:sz w:val="24"/>
          <w:highlight w:val="none"/>
        </w:rPr>
        <w:t>2</w:t>
      </w:r>
      <w:r>
        <w:rPr>
          <w:rFonts w:hint="eastAsia" w:ascii="宋体" w:hAnsi="宋体"/>
          <w:sz w:val="24"/>
          <w:highlight w:val="none"/>
        </w:rPr>
        <w:t>）主要人员：见评标办法前附表；</w:t>
      </w:r>
    </w:p>
    <w:p>
      <w:pPr>
        <w:spacing w:line="360" w:lineRule="auto"/>
        <w:ind w:firstLine="480" w:firstLineChars="200"/>
        <w:rPr>
          <w:sz w:val="24"/>
          <w:highlight w:val="none"/>
        </w:rPr>
      </w:pPr>
      <w:r>
        <w:rPr>
          <w:rFonts w:hint="eastAsia" w:ascii="宋体" w:hAnsi="宋体"/>
          <w:sz w:val="24"/>
          <w:highlight w:val="none"/>
        </w:rPr>
        <w:t>（</w:t>
      </w:r>
      <w:r>
        <w:rPr>
          <w:sz w:val="24"/>
          <w:highlight w:val="none"/>
        </w:rPr>
        <w:t>3</w:t>
      </w:r>
      <w:r>
        <w:rPr>
          <w:rFonts w:hint="eastAsia" w:ascii="宋体" w:hAnsi="宋体"/>
          <w:sz w:val="24"/>
          <w:highlight w:val="none"/>
        </w:rPr>
        <w:t>）评标价：见评标办法前附表；</w:t>
      </w:r>
    </w:p>
    <w:p>
      <w:pPr>
        <w:spacing w:line="360" w:lineRule="auto"/>
        <w:ind w:firstLine="480" w:firstLineChars="200"/>
        <w:rPr>
          <w:szCs w:val="21"/>
          <w:highlight w:val="none"/>
        </w:rPr>
      </w:pPr>
      <w:r>
        <w:rPr>
          <w:rFonts w:hint="eastAsia" w:ascii="宋体" w:hAnsi="宋体"/>
          <w:sz w:val="24"/>
          <w:highlight w:val="none"/>
        </w:rPr>
        <w:t>（</w:t>
      </w:r>
      <w:r>
        <w:rPr>
          <w:sz w:val="24"/>
          <w:highlight w:val="none"/>
        </w:rPr>
        <w:t>4</w:t>
      </w:r>
      <w:r>
        <w:rPr>
          <w:rFonts w:hint="eastAsia" w:ascii="宋体" w:hAnsi="宋体"/>
          <w:sz w:val="24"/>
          <w:highlight w:val="none"/>
        </w:rPr>
        <w:t>）其他评分因素：见评标办法前附表。</w:t>
      </w:r>
    </w:p>
    <w:p>
      <w:pPr>
        <w:spacing w:line="360" w:lineRule="auto"/>
        <w:ind w:firstLine="480" w:firstLineChars="200"/>
        <w:rPr>
          <w:rFonts w:eastAsia="黑体"/>
          <w:sz w:val="24"/>
          <w:highlight w:val="none"/>
        </w:rPr>
      </w:pPr>
      <w:r>
        <w:rPr>
          <w:sz w:val="24"/>
          <w:highlight w:val="none"/>
        </w:rPr>
        <w:t>2.2.2</w:t>
      </w:r>
      <w:r>
        <w:rPr>
          <w:rFonts w:hint="eastAsia" w:ascii="黑体" w:hAnsi="黑体" w:eastAsia="黑体"/>
          <w:sz w:val="24"/>
          <w:highlight w:val="none"/>
        </w:rPr>
        <w:t>评标基准价计算</w:t>
      </w:r>
    </w:p>
    <w:p>
      <w:pPr>
        <w:spacing w:line="360" w:lineRule="auto"/>
        <w:ind w:firstLine="480" w:firstLineChars="200"/>
        <w:rPr>
          <w:szCs w:val="21"/>
          <w:highlight w:val="none"/>
        </w:rPr>
      </w:pPr>
      <w:r>
        <w:rPr>
          <w:rFonts w:hint="eastAsia" w:ascii="宋体" w:hAnsi="宋体"/>
          <w:sz w:val="24"/>
          <w:highlight w:val="none"/>
        </w:rPr>
        <w:t>评标基准价计算方法：见评标办法前附表。</w:t>
      </w:r>
    </w:p>
    <w:p>
      <w:pPr>
        <w:spacing w:line="360" w:lineRule="auto"/>
        <w:ind w:firstLine="480" w:firstLineChars="200"/>
        <w:rPr>
          <w:rFonts w:eastAsia="黑体"/>
          <w:sz w:val="24"/>
          <w:highlight w:val="none"/>
        </w:rPr>
      </w:pPr>
      <w:r>
        <w:rPr>
          <w:sz w:val="24"/>
          <w:highlight w:val="none"/>
        </w:rPr>
        <w:t>2.2.3</w:t>
      </w:r>
      <w:r>
        <w:rPr>
          <w:rFonts w:hint="eastAsia" w:ascii="黑体" w:hAnsi="黑体" w:eastAsia="黑体"/>
          <w:sz w:val="24"/>
          <w:highlight w:val="none"/>
        </w:rPr>
        <w:t>评标价的偏差率计算</w:t>
      </w:r>
    </w:p>
    <w:p>
      <w:pPr>
        <w:spacing w:line="360" w:lineRule="auto"/>
        <w:ind w:firstLine="480" w:firstLineChars="200"/>
        <w:rPr>
          <w:szCs w:val="21"/>
          <w:highlight w:val="none"/>
        </w:rPr>
      </w:pPr>
      <w:r>
        <w:rPr>
          <w:rFonts w:hint="eastAsia" w:ascii="宋体" w:hAnsi="宋体"/>
          <w:sz w:val="24"/>
          <w:highlight w:val="none"/>
        </w:rPr>
        <w:t>评标价的偏差率计算公式：见评标办法前附表。</w:t>
      </w:r>
    </w:p>
    <w:p>
      <w:pPr>
        <w:spacing w:line="360" w:lineRule="auto"/>
        <w:ind w:firstLine="480" w:firstLineChars="200"/>
        <w:rPr>
          <w:rFonts w:eastAsia="黑体"/>
          <w:sz w:val="24"/>
          <w:highlight w:val="none"/>
        </w:rPr>
      </w:pPr>
      <w:r>
        <w:rPr>
          <w:sz w:val="24"/>
          <w:highlight w:val="none"/>
        </w:rPr>
        <w:t>2.2.4</w:t>
      </w:r>
      <w:r>
        <w:rPr>
          <w:rFonts w:hint="eastAsia" w:ascii="黑体" w:hAnsi="黑体" w:eastAsia="黑体"/>
          <w:sz w:val="24"/>
          <w:highlight w:val="none"/>
        </w:rPr>
        <w:t>评分标准</w:t>
      </w:r>
    </w:p>
    <w:p>
      <w:pPr>
        <w:spacing w:line="360" w:lineRule="auto"/>
        <w:ind w:firstLine="480" w:firstLineChars="200"/>
        <w:rPr>
          <w:sz w:val="24"/>
          <w:highlight w:val="none"/>
        </w:rPr>
      </w:pPr>
      <w:r>
        <w:rPr>
          <w:rFonts w:hint="eastAsia" w:ascii="宋体" w:hAnsi="宋体"/>
          <w:sz w:val="24"/>
          <w:highlight w:val="none"/>
        </w:rPr>
        <w:t>（</w:t>
      </w:r>
      <w:r>
        <w:rPr>
          <w:sz w:val="24"/>
          <w:highlight w:val="none"/>
        </w:rPr>
        <w:t>1</w:t>
      </w:r>
      <w:r>
        <w:rPr>
          <w:rFonts w:hint="eastAsia" w:ascii="宋体" w:hAnsi="宋体"/>
          <w:sz w:val="24"/>
          <w:highlight w:val="none"/>
        </w:rPr>
        <w:t>）技术建议书评分标准：见评标办法前附表；</w:t>
      </w:r>
    </w:p>
    <w:p>
      <w:pPr>
        <w:spacing w:line="360" w:lineRule="auto"/>
        <w:ind w:firstLine="480" w:firstLineChars="200"/>
        <w:rPr>
          <w:sz w:val="24"/>
          <w:highlight w:val="none"/>
        </w:rPr>
      </w:pPr>
      <w:r>
        <w:rPr>
          <w:rFonts w:hint="eastAsia" w:ascii="宋体" w:hAnsi="宋体"/>
          <w:sz w:val="24"/>
          <w:highlight w:val="none"/>
        </w:rPr>
        <w:t>（</w:t>
      </w:r>
      <w:r>
        <w:rPr>
          <w:sz w:val="24"/>
          <w:highlight w:val="none"/>
        </w:rPr>
        <w:t>2</w:t>
      </w:r>
      <w:r>
        <w:rPr>
          <w:rFonts w:hint="eastAsia" w:ascii="宋体" w:hAnsi="宋体"/>
          <w:sz w:val="24"/>
          <w:highlight w:val="none"/>
        </w:rPr>
        <w:t>）主要人员评分标准：见评标办法前附表；</w:t>
      </w:r>
    </w:p>
    <w:p>
      <w:pPr>
        <w:spacing w:line="360" w:lineRule="auto"/>
        <w:ind w:firstLine="480" w:firstLineChars="200"/>
        <w:rPr>
          <w:sz w:val="24"/>
          <w:highlight w:val="none"/>
        </w:rPr>
      </w:pPr>
      <w:r>
        <w:rPr>
          <w:rFonts w:hint="eastAsia" w:ascii="宋体" w:hAnsi="宋体"/>
          <w:sz w:val="24"/>
          <w:highlight w:val="none"/>
        </w:rPr>
        <w:t>（</w:t>
      </w:r>
      <w:r>
        <w:rPr>
          <w:sz w:val="24"/>
          <w:highlight w:val="none"/>
        </w:rPr>
        <w:t>3</w:t>
      </w:r>
      <w:r>
        <w:rPr>
          <w:rFonts w:hint="eastAsia" w:ascii="宋体" w:hAnsi="宋体"/>
          <w:sz w:val="24"/>
          <w:highlight w:val="none"/>
        </w:rPr>
        <w:t>）评标价评分标准：见评标办法前附表；</w:t>
      </w:r>
    </w:p>
    <w:p>
      <w:pPr>
        <w:spacing w:line="360" w:lineRule="auto"/>
        <w:ind w:firstLine="480" w:firstLineChars="200"/>
        <w:rPr>
          <w:sz w:val="24"/>
          <w:highlight w:val="none"/>
        </w:rPr>
      </w:pPr>
      <w:r>
        <w:rPr>
          <w:rFonts w:hint="eastAsia" w:ascii="宋体" w:hAnsi="宋体"/>
          <w:sz w:val="24"/>
          <w:highlight w:val="none"/>
        </w:rPr>
        <w:t>（</w:t>
      </w:r>
      <w:r>
        <w:rPr>
          <w:sz w:val="24"/>
          <w:highlight w:val="none"/>
        </w:rPr>
        <w:t>4</w:t>
      </w:r>
      <w:r>
        <w:rPr>
          <w:rFonts w:hint="eastAsia" w:ascii="宋体" w:hAnsi="宋体"/>
          <w:sz w:val="24"/>
          <w:highlight w:val="none"/>
        </w:rPr>
        <w:t>）其他因素评分标准：见评标办法前附表。</w:t>
      </w:r>
    </w:p>
    <w:p>
      <w:pPr>
        <w:pStyle w:val="3"/>
        <w:widowControl/>
        <w:rPr>
          <w:color w:val="auto"/>
          <w:highlight w:val="none"/>
        </w:rPr>
      </w:pPr>
      <w:r>
        <w:rPr>
          <w:color w:val="auto"/>
          <w:highlight w:val="none"/>
        </w:rPr>
        <w:t xml:space="preserve">3. </w:t>
      </w:r>
      <w:r>
        <w:rPr>
          <w:rFonts w:hint="eastAsia" w:ascii="黑体" w:hAnsi="黑体"/>
          <w:color w:val="auto"/>
          <w:highlight w:val="none"/>
        </w:rPr>
        <w:t>评标程序</w:t>
      </w:r>
    </w:p>
    <w:p>
      <w:pPr>
        <w:pStyle w:val="5"/>
        <w:keepLines w:val="0"/>
        <w:widowControl/>
        <w:rPr>
          <w:color w:val="auto"/>
          <w:highlight w:val="none"/>
        </w:rPr>
      </w:pPr>
      <w:r>
        <w:rPr>
          <w:color w:val="auto"/>
          <w:highlight w:val="none"/>
        </w:rPr>
        <w:t xml:space="preserve">3.1 </w:t>
      </w:r>
      <w:r>
        <w:rPr>
          <w:rFonts w:hint="eastAsia" w:ascii="黑体" w:hAnsi="黑体"/>
          <w:color w:val="auto"/>
          <w:highlight w:val="none"/>
        </w:rPr>
        <w:t>第一个信封初步评审</w:t>
      </w:r>
    </w:p>
    <w:p>
      <w:pPr>
        <w:spacing w:line="360" w:lineRule="auto"/>
        <w:ind w:firstLine="480" w:firstLineChars="200"/>
        <w:rPr>
          <w:sz w:val="24"/>
          <w:highlight w:val="none"/>
        </w:rPr>
      </w:pPr>
      <w:r>
        <w:rPr>
          <w:sz w:val="24"/>
          <w:highlight w:val="none"/>
        </w:rPr>
        <w:t>3.1.1</w:t>
      </w:r>
      <w:r>
        <w:rPr>
          <w:rFonts w:hint="eastAsia" w:ascii="宋体" w:hAnsi="宋体"/>
          <w:sz w:val="24"/>
          <w:highlight w:val="none"/>
        </w:rPr>
        <w:t>评标委员会可以要求投标人提交第二章</w:t>
      </w:r>
      <w:r>
        <w:rPr>
          <w:sz w:val="24"/>
          <w:highlight w:val="none"/>
        </w:rPr>
        <w:t>“</w:t>
      </w:r>
      <w:r>
        <w:rPr>
          <w:rFonts w:hint="eastAsia" w:ascii="宋体" w:hAnsi="宋体"/>
          <w:sz w:val="24"/>
          <w:highlight w:val="none"/>
        </w:rPr>
        <w:t>投标人须知</w:t>
      </w:r>
      <w:r>
        <w:rPr>
          <w:sz w:val="24"/>
          <w:highlight w:val="none"/>
        </w:rPr>
        <w:t>”</w:t>
      </w:r>
      <w:r>
        <w:rPr>
          <w:rFonts w:hint="eastAsia" w:ascii="宋体" w:hAnsi="宋体"/>
          <w:sz w:val="24"/>
          <w:highlight w:val="none"/>
        </w:rPr>
        <w:t>第</w:t>
      </w:r>
      <w:r>
        <w:rPr>
          <w:sz w:val="24"/>
          <w:highlight w:val="none"/>
        </w:rPr>
        <w:t>3.5.1</w:t>
      </w:r>
      <w:r>
        <w:rPr>
          <w:rFonts w:hint="eastAsia" w:ascii="宋体" w:hAnsi="宋体"/>
          <w:sz w:val="24"/>
          <w:highlight w:val="none"/>
        </w:rPr>
        <w:t>项至第</w:t>
      </w:r>
      <w:r>
        <w:rPr>
          <w:sz w:val="24"/>
          <w:highlight w:val="none"/>
        </w:rPr>
        <w:t>3.5.5</w:t>
      </w:r>
      <w:r>
        <w:rPr>
          <w:rFonts w:hint="eastAsia" w:ascii="宋体" w:hAnsi="宋体"/>
          <w:sz w:val="24"/>
          <w:highlight w:val="none"/>
        </w:rPr>
        <w:t>项规定的有关证明和证件的原件，以便核验。评标委员会依据本章第</w:t>
      </w:r>
      <w:r>
        <w:rPr>
          <w:sz w:val="24"/>
          <w:highlight w:val="none"/>
        </w:rPr>
        <w:t>2.1</w:t>
      </w:r>
      <w:r>
        <w:rPr>
          <w:rFonts w:hint="eastAsia" w:ascii="宋体" w:hAnsi="宋体"/>
          <w:sz w:val="24"/>
          <w:highlight w:val="none"/>
        </w:rPr>
        <w:t>款规定的标准对投标文件第一个信封（商务及技术文件）进行初步评审。有一项不符合评审标准的，评标委员会应否决其投标。（适用于未进行资格预审的）</w:t>
      </w:r>
    </w:p>
    <w:p>
      <w:pPr>
        <w:spacing w:line="360" w:lineRule="auto"/>
        <w:ind w:firstLine="480" w:firstLineChars="200"/>
        <w:rPr>
          <w:sz w:val="24"/>
          <w:highlight w:val="none"/>
        </w:rPr>
      </w:pPr>
      <w:r>
        <w:rPr>
          <w:sz w:val="24"/>
          <w:highlight w:val="none"/>
        </w:rPr>
        <w:t>3.1.1</w:t>
      </w:r>
      <w:r>
        <w:rPr>
          <w:rFonts w:hint="eastAsia" w:ascii="宋体" w:hAnsi="宋体"/>
          <w:sz w:val="24"/>
          <w:highlight w:val="none"/>
        </w:rPr>
        <w:t>评标委员会依据本章第</w:t>
      </w:r>
      <w:r>
        <w:rPr>
          <w:sz w:val="24"/>
          <w:highlight w:val="none"/>
        </w:rPr>
        <w:t>2.1.1</w:t>
      </w:r>
      <w:r>
        <w:rPr>
          <w:rFonts w:hint="eastAsia" w:ascii="宋体" w:hAnsi="宋体"/>
          <w:sz w:val="24"/>
          <w:highlight w:val="none"/>
        </w:rPr>
        <w:t>项、第</w:t>
      </w:r>
      <w:r>
        <w:rPr>
          <w:sz w:val="24"/>
          <w:highlight w:val="none"/>
        </w:rPr>
        <w:t>2.1.3</w:t>
      </w:r>
      <w:r>
        <w:rPr>
          <w:rFonts w:hint="eastAsia" w:ascii="宋体" w:hAnsi="宋体"/>
          <w:sz w:val="24"/>
          <w:highlight w:val="none"/>
        </w:rPr>
        <w:t>项规定的评审标准对投标文件第一个信封（商务及技术文件）进行初步评审。有一项不符合评审标准的，评标委员会应否决其投标。当投标人资格预审申请文件的内容发生重大变化时，评标委员会依据本章第</w:t>
      </w:r>
      <w:r>
        <w:rPr>
          <w:sz w:val="24"/>
          <w:highlight w:val="none"/>
        </w:rPr>
        <w:t>2.1.2</w:t>
      </w:r>
      <w:r>
        <w:rPr>
          <w:rFonts w:hint="eastAsia" w:ascii="宋体" w:hAnsi="宋体"/>
          <w:sz w:val="24"/>
          <w:highlight w:val="none"/>
        </w:rPr>
        <w:t>项规定的标准对其更新资料进行评审。（适用于已进行资格预审的）</w:t>
      </w:r>
    </w:p>
    <w:p>
      <w:pPr>
        <w:pStyle w:val="5"/>
        <w:keepLines w:val="0"/>
        <w:widowControl/>
        <w:rPr>
          <w:color w:val="auto"/>
          <w:highlight w:val="none"/>
        </w:rPr>
      </w:pPr>
      <w:r>
        <w:rPr>
          <w:color w:val="auto"/>
          <w:highlight w:val="none"/>
        </w:rPr>
        <w:t xml:space="preserve">3.2 </w:t>
      </w:r>
      <w:r>
        <w:rPr>
          <w:rFonts w:hint="eastAsia" w:ascii="黑体" w:hAnsi="黑体"/>
          <w:color w:val="auto"/>
          <w:highlight w:val="none"/>
        </w:rPr>
        <w:t>第一个信封详细评审</w:t>
      </w:r>
    </w:p>
    <w:p>
      <w:pPr>
        <w:spacing w:line="360" w:lineRule="auto"/>
        <w:ind w:firstLine="480" w:firstLineChars="200"/>
        <w:rPr>
          <w:sz w:val="24"/>
          <w:highlight w:val="none"/>
        </w:rPr>
      </w:pPr>
      <w:r>
        <w:rPr>
          <w:sz w:val="24"/>
          <w:highlight w:val="none"/>
        </w:rPr>
        <w:t>3.2.1</w:t>
      </w:r>
      <w:r>
        <w:rPr>
          <w:rFonts w:hint="eastAsia" w:ascii="宋体" w:hAnsi="宋体"/>
          <w:sz w:val="24"/>
          <w:highlight w:val="none"/>
        </w:rPr>
        <w:t>评标委员会按本章第</w:t>
      </w:r>
      <w:r>
        <w:rPr>
          <w:sz w:val="24"/>
          <w:highlight w:val="none"/>
        </w:rPr>
        <w:t>2.2</w:t>
      </w:r>
      <w:r>
        <w:rPr>
          <w:rFonts w:hint="eastAsia" w:ascii="宋体" w:hAnsi="宋体"/>
          <w:sz w:val="24"/>
          <w:highlight w:val="none"/>
        </w:rPr>
        <w:t>款规定的量化因素和分值进行打分，并计算出各投标人的商务和技术得分。</w:t>
      </w:r>
    </w:p>
    <w:p>
      <w:pPr>
        <w:spacing w:line="360" w:lineRule="auto"/>
        <w:ind w:firstLine="480" w:firstLineChars="200"/>
        <w:rPr>
          <w:sz w:val="24"/>
          <w:highlight w:val="none"/>
        </w:rPr>
      </w:pPr>
      <w:r>
        <w:rPr>
          <w:rFonts w:hint="eastAsia" w:ascii="宋体" w:hAnsi="宋体"/>
          <w:sz w:val="24"/>
          <w:highlight w:val="none"/>
        </w:rPr>
        <w:t>（</w:t>
      </w:r>
      <w:r>
        <w:rPr>
          <w:sz w:val="24"/>
          <w:highlight w:val="none"/>
        </w:rPr>
        <w:t>1</w:t>
      </w:r>
      <w:r>
        <w:rPr>
          <w:rFonts w:hint="eastAsia" w:ascii="宋体" w:hAnsi="宋体"/>
          <w:sz w:val="24"/>
          <w:highlight w:val="none"/>
        </w:rPr>
        <w:t>）按本章第</w:t>
      </w:r>
      <w:r>
        <w:rPr>
          <w:sz w:val="24"/>
          <w:highlight w:val="none"/>
        </w:rPr>
        <w:t>2.2.4</w:t>
      </w:r>
      <w:r>
        <w:rPr>
          <w:rFonts w:hint="eastAsia" w:ascii="宋体" w:hAnsi="宋体"/>
          <w:sz w:val="24"/>
          <w:highlight w:val="none"/>
        </w:rPr>
        <w:t>（</w:t>
      </w:r>
      <w:r>
        <w:rPr>
          <w:sz w:val="24"/>
          <w:highlight w:val="none"/>
        </w:rPr>
        <w:t>1</w:t>
      </w:r>
      <w:r>
        <w:rPr>
          <w:rFonts w:hint="eastAsia" w:ascii="宋体" w:hAnsi="宋体"/>
          <w:sz w:val="24"/>
          <w:highlight w:val="none"/>
        </w:rPr>
        <w:t>）目规定的评审因素和分值对技术建议书部分计算出得分</w:t>
      </w:r>
      <w:r>
        <w:rPr>
          <w:sz w:val="24"/>
          <w:highlight w:val="none"/>
        </w:rPr>
        <w:t>A</w:t>
      </w:r>
      <w:r>
        <w:rPr>
          <w:rFonts w:hint="eastAsia" w:ascii="宋体" w:hAnsi="宋体"/>
          <w:sz w:val="24"/>
          <w:highlight w:val="none"/>
        </w:rPr>
        <w:t>；</w:t>
      </w:r>
    </w:p>
    <w:p>
      <w:pPr>
        <w:spacing w:line="360" w:lineRule="auto"/>
        <w:ind w:firstLine="480" w:firstLineChars="200"/>
        <w:rPr>
          <w:sz w:val="24"/>
          <w:highlight w:val="none"/>
        </w:rPr>
      </w:pPr>
      <w:r>
        <w:rPr>
          <w:rFonts w:hint="eastAsia" w:ascii="宋体" w:hAnsi="宋体"/>
          <w:sz w:val="24"/>
          <w:highlight w:val="none"/>
        </w:rPr>
        <w:t>（</w:t>
      </w:r>
      <w:r>
        <w:rPr>
          <w:sz w:val="24"/>
          <w:highlight w:val="none"/>
        </w:rPr>
        <w:t>2</w:t>
      </w:r>
      <w:r>
        <w:rPr>
          <w:rFonts w:hint="eastAsia" w:ascii="宋体" w:hAnsi="宋体"/>
          <w:sz w:val="24"/>
          <w:highlight w:val="none"/>
        </w:rPr>
        <w:t>）按本章第</w:t>
      </w:r>
      <w:r>
        <w:rPr>
          <w:sz w:val="24"/>
          <w:highlight w:val="none"/>
        </w:rPr>
        <w:t>2.2.4</w:t>
      </w:r>
      <w:r>
        <w:rPr>
          <w:rFonts w:hint="eastAsia" w:ascii="宋体" w:hAnsi="宋体"/>
          <w:sz w:val="24"/>
          <w:highlight w:val="none"/>
        </w:rPr>
        <w:t>（</w:t>
      </w:r>
      <w:r>
        <w:rPr>
          <w:sz w:val="24"/>
          <w:highlight w:val="none"/>
        </w:rPr>
        <w:t>2</w:t>
      </w:r>
      <w:r>
        <w:rPr>
          <w:rFonts w:hint="eastAsia" w:ascii="宋体" w:hAnsi="宋体"/>
          <w:sz w:val="24"/>
          <w:highlight w:val="none"/>
        </w:rPr>
        <w:t>）目规定的评审因素和分值对主要人员部分计算出得分</w:t>
      </w:r>
      <w:r>
        <w:rPr>
          <w:sz w:val="24"/>
          <w:highlight w:val="none"/>
        </w:rPr>
        <w:t>B</w:t>
      </w:r>
      <w:r>
        <w:rPr>
          <w:rFonts w:hint="eastAsia" w:ascii="宋体" w:hAnsi="宋体"/>
          <w:sz w:val="24"/>
          <w:highlight w:val="none"/>
        </w:rPr>
        <w:t>；</w:t>
      </w:r>
    </w:p>
    <w:p>
      <w:pPr>
        <w:spacing w:line="360" w:lineRule="auto"/>
        <w:ind w:firstLine="480" w:firstLineChars="200"/>
        <w:rPr>
          <w:sz w:val="24"/>
          <w:highlight w:val="none"/>
        </w:rPr>
      </w:pPr>
      <w:r>
        <w:rPr>
          <w:rFonts w:hint="eastAsia" w:ascii="宋体" w:hAnsi="宋体"/>
          <w:sz w:val="24"/>
          <w:highlight w:val="none"/>
        </w:rPr>
        <w:t>（</w:t>
      </w:r>
      <w:r>
        <w:rPr>
          <w:sz w:val="24"/>
          <w:highlight w:val="none"/>
        </w:rPr>
        <w:t>3</w:t>
      </w:r>
      <w:r>
        <w:rPr>
          <w:rFonts w:hint="eastAsia" w:ascii="宋体" w:hAnsi="宋体"/>
          <w:sz w:val="24"/>
          <w:highlight w:val="none"/>
        </w:rPr>
        <w:t>）按本章第</w:t>
      </w:r>
      <w:r>
        <w:rPr>
          <w:sz w:val="24"/>
          <w:highlight w:val="none"/>
        </w:rPr>
        <w:t>2.2.4</w:t>
      </w:r>
      <w:r>
        <w:rPr>
          <w:rFonts w:hint="eastAsia" w:ascii="宋体" w:hAnsi="宋体"/>
          <w:sz w:val="24"/>
          <w:highlight w:val="none"/>
        </w:rPr>
        <w:t>（</w:t>
      </w:r>
      <w:r>
        <w:rPr>
          <w:sz w:val="24"/>
          <w:highlight w:val="none"/>
        </w:rPr>
        <w:t>4</w:t>
      </w:r>
      <w:r>
        <w:rPr>
          <w:rFonts w:hint="eastAsia" w:ascii="宋体" w:hAnsi="宋体"/>
          <w:sz w:val="24"/>
          <w:highlight w:val="none"/>
        </w:rPr>
        <w:t>）目规定的评审因素和分值对其他部分计算出得分</w:t>
      </w:r>
      <w:r>
        <w:rPr>
          <w:sz w:val="24"/>
          <w:highlight w:val="none"/>
        </w:rPr>
        <w:t>D</w:t>
      </w:r>
      <w:r>
        <w:rPr>
          <w:rFonts w:hint="eastAsia" w:ascii="宋体" w:hAnsi="宋体"/>
          <w:sz w:val="24"/>
          <w:highlight w:val="none"/>
        </w:rPr>
        <w:t>。</w:t>
      </w:r>
    </w:p>
    <w:p>
      <w:pPr>
        <w:spacing w:line="360" w:lineRule="auto"/>
        <w:ind w:firstLine="480" w:firstLineChars="200"/>
        <w:rPr>
          <w:sz w:val="24"/>
          <w:highlight w:val="none"/>
        </w:rPr>
      </w:pPr>
      <w:r>
        <w:rPr>
          <w:sz w:val="24"/>
          <w:highlight w:val="none"/>
        </w:rPr>
        <w:t>3.2.2</w:t>
      </w:r>
      <w:r>
        <w:rPr>
          <w:rFonts w:hint="eastAsia" w:ascii="宋体" w:hAnsi="宋体"/>
          <w:sz w:val="24"/>
          <w:highlight w:val="none"/>
        </w:rPr>
        <w:t>投标人的商务和技术得分分值计算保留小数点后两位，小数点后第三位</w:t>
      </w:r>
      <w:r>
        <w:rPr>
          <w:sz w:val="24"/>
          <w:highlight w:val="none"/>
        </w:rPr>
        <w:t>“</w:t>
      </w:r>
      <w:r>
        <w:rPr>
          <w:rFonts w:hint="eastAsia" w:ascii="宋体" w:hAnsi="宋体"/>
          <w:sz w:val="24"/>
          <w:highlight w:val="none"/>
        </w:rPr>
        <w:t>四舍五入</w:t>
      </w:r>
      <w:r>
        <w:rPr>
          <w:sz w:val="24"/>
          <w:highlight w:val="none"/>
        </w:rPr>
        <w:t>”</w:t>
      </w:r>
      <w:r>
        <w:rPr>
          <w:rFonts w:hint="eastAsia" w:ascii="宋体" w:hAnsi="宋体"/>
          <w:sz w:val="24"/>
          <w:highlight w:val="none"/>
        </w:rPr>
        <w:t>。</w:t>
      </w:r>
    </w:p>
    <w:p>
      <w:pPr>
        <w:spacing w:line="360" w:lineRule="auto"/>
        <w:ind w:firstLine="480" w:firstLineChars="200"/>
        <w:rPr>
          <w:sz w:val="24"/>
          <w:highlight w:val="none"/>
        </w:rPr>
      </w:pPr>
      <w:r>
        <w:rPr>
          <w:sz w:val="24"/>
          <w:highlight w:val="none"/>
        </w:rPr>
        <w:t>3.2.3</w:t>
      </w:r>
      <w:r>
        <w:rPr>
          <w:rFonts w:hint="eastAsia" w:ascii="宋体" w:hAnsi="宋体"/>
          <w:sz w:val="24"/>
          <w:highlight w:val="none"/>
        </w:rPr>
        <w:t>投标人的商务和技术得分</w:t>
      </w:r>
      <w:r>
        <w:rPr>
          <w:sz w:val="24"/>
          <w:highlight w:val="none"/>
        </w:rPr>
        <w:t>=A+B+D</w:t>
      </w:r>
      <w:r>
        <w:rPr>
          <w:rFonts w:hint="eastAsia" w:ascii="宋体" w:hAnsi="宋体"/>
          <w:sz w:val="24"/>
          <w:highlight w:val="none"/>
        </w:rPr>
        <w:t>。</w:t>
      </w:r>
    </w:p>
    <w:p>
      <w:pPr>
        <w:pStyle w:val="5"/>
        <w:keepLines w:val="0"/>
        <w:widowControl/>
        <w:rPr>
          <w:color w:val="auto"/>
          <w:highlight w:val="none"/>
        </w:rPr>
      </w:pPr>
      <w:r>
        <w:rPr>
          <w:color w:val="auto"/>
          <w:highlight w:val="none"/>
        </w:rPr>
        <w:t xml:space="preserve">3.3 </w:t>
      </w:r>
      <w:r>
        <w:rPr>
          <w:rFonts w:hint="eastAsia" w:ascii="黑体" w:hAnsi="黑体"/>
          <w:color w:val="auto"/>
          <w:highlight w:val="none"/>
        </w:rPr>
        <w:t>第二个信封开标</w:t>
      </w:r>
    </w:p>
    <w:p>
      <w:pPr>
        <w:spacing w:line="360" w:lineRule="auto"/>
        <w:ind w:firstLine="480" w:firstLineChars="200"/>
        <w:rPr>
          <w:highlight w:val="none"/>
        </w:rPr>
      </w:pPr>
      <w:r>
        <w:rPr>
          <w:rFonts w:hint="eastAsia" w:ascii="宋体" w:hAnsi="宋体"/>
          <w:sz w:val="24"/>
          <w:highlight w:val="none"/>
        </w:rPr>
        <w:t>第一个信封（商务及技术文件）评审结束后，招标人将按照第二章</w:t>
      </w:r>
      <w:r>
        <w:rPr>
          <w:sz w:val="24"/>
          <w:highlight w:val="none"/>
        </w:rPr>
        <w:t>“</w:t>
      </w:r>
      <w:r>
        <w:rPr>
          <w:rFonts w:hint="eastAsia" w:ascii="宋体" w:hAnsi="宋体"/>
          <w:sz w:val="24"/>
          <w:highlight w:val="none"/>
        </w:rPr>
        <w:t>投标人须知</w:t>
      </w:r>
      <w:r>
        <w:rPr>
          <w:sz w:val="24"/>
          <w:highlight w:val="none"/>
        </w:rPr>
        <w:t>”</w:t>
      </w:r>
      <w:r>
        <w:rPr>
          <w:rFonts w:hint="eastAsia" w:ascii="宋体" w:hAnsi="宋体"/>
          <w:sz w:val="24"/>
          <w:highlight w:val="none"/>
        </w:rPr>
        <w:t>第</w:t>
      </w:r>
      <w:r>
        <w:rPr>
          <w:sz w:val="24"/>
          <w:highlight w:val="none"/>
        </w:rPr>
        <w:t>5.1</w:t>
      </w:r>
      <w:r>
        <w:rPr>
          <w:rFonts w:hint="eastAsia" w:ascii="宋体" w:hAnsi="宋体"/>
          <w:sz w:val="24"/>
          <w:highlight w:val="none"/>
        </w:rPr>
        <w:t>款规定的时间和地点对通过投标文件第一个信封（商务及技术文件）评审的投标文件第二个信封（报价文件）进行开标。</w:t>
      </w:r>
    </w:p>
    <w:p>
      <w:pPr>
        <w:pStyle w:val="5"/>
        <w:keepLines w:val="0"/>
        <w:widowControl/>
        <w:rPr>
          <w:color w:val="auto"/>
          <w:highlight w:val="none"/>
        </w:rPr>
      </w:pPr>
      <w:r>
        <w:rPr>
          <w:color w:val="auto"/>
          <w:highlight w:val="none"/>
        </w:rPr>
        <w:t xml:space="preserve">3.4 </w:t>
      </w:r>
      <w:r>
        <w:rPr>
          <w:rFonts w:hint="eastAsia" w:ascii="黑体" w:hAnsi="黑体"/>
          <w:color w:val="auto"/>
          <w:highlight w:val="none"/>
        </w:rPr>
        <w:t>第二个信封初步评审</w:t>
      </w:r>
    </w:p>
    <w:p>
      <w:pPr>
        <w:spacing w:line="360" w:lineRule="auto"/>
        <w:ind w:firstLine="480" w:firstLineChars="200"/>
        <w:rPr>
          <w:sz w:val="24"/>
          <w:highlight w:val="none"/>
        </w:rPr>
      </w:pPr>
      <w:r>
        <w:rPr>
          <w:sz w:val="24"/>
          <w:highlight w:val="none"/>
        </w:rPr>
        <w:t>3.4.1</w:t>
      </w:r>
      <w:r>
        <w:rPr>
          <w:rFonts w:hint="eastAsia" w:ascii="宋体" w:hAnsi="宋体"/>
          <w:sz w:val="24"/>
          <w:highlight w:val="none"/>
        </w:rPr>
        <w:t>评标委员会依据本章第</w:t>
      </w:r>
      <w:r>
        <w:rPr>
          <w:sz w:val="24"/>
          <w:highlight w:val="none"/>
        </w:rPr>
        <w:t>2.1.1</w:t>
      </w:r>
      <w:r>
        <w:rPr>
          <w:rFonts w:hint="eastAsia" w:ascii="宋体" w:hAnsi="宋体"/>
          <w:sz w:val="24"/>
          <w:highlight w:val="none"/>
        </w:rPr>
        <w:t>项、第</w:t>
      </w:r>
      <w:r>
        <w:rPr>
          <w:sz w:val="24"/>
          <w:highlight w:val="none"/>
        </w:rPr>
        <w:t>2.1.3</w:t>
      </w:r>
      <w:r>
        <w:rPr>
          <w:rFonts w:hint="eastAsia" w:ascii="宋体" w:hAnsi="宋体"/>
          <w:sz w:val="24"/>
          <w:highlight w:val="none"/>
        </w:rPr>
        <w:t>项规定的评审标准对投标文件第二个信封（报价文件）进行初步评审。有一项不符合评审标准的，评标委员会应否决其投标。</w:t>
      </w:r>
    </w:p>
    <w:p>
      <w:pPr>
        <w:spacing w:line="360" w:lineRule="auto"/>
        <w:ind w:firstLine="480" w:firstLineChars="200"/>
        <w:rPr>
          <w:sz w:val="24"/>
          <w:highlight w:val="none"/>
        </w:rPr>
      </w:pPr>
      <w:r>
        <w:rPr>
          <w:sz w:val="24"/>
          <w:highlight w:val="none"/>
        </w:rPr>
        <w:t>3.4.2</w:t>
      </w:r>
      <w:r>
        <w:rPr>
          <w:rFonts w:hint="eastAsia" w:ascii="宋体" w:hAnsi="宋体"/>
          <w:sz w:val="24"/>
          <w:highlight w:val="none"/>
        </w:rPr>
        <w:t>投标报价有算术错误的，评标委员会按以下原则对投标报价进行修正，修正的价格经投标人书面确认后具有约束力。投标人不接受修正价格的，评标委员会应否决其投标。</w:t>
      </w:r>
    </w:p>
    <w:p>
      <w:pPr>
        <w:spacing w:line="360" w:lineRule="auto"/>
        <w:ind w:firstLine="480" w:firstLineChars="200"/>
        <w:rPr>
          <w:sz w:val="24"/>
          <w:highlight w:val="none"/>
        </w:rPr>
      </w:pPr>
      <w:r>
        <w:rPr>
          <w:rFonts w:hint="eastAsia" w:ascii="宋体" w:hAnsi="宋体"/>
          <w:sz w:val="24"/>
          <w:highlight w:val="none"/>
        </w:rPr>
        <w:t>（</w:t>
      </w:r>
      <w:r>
        <w:rPr>
          <w:sz w:val="24"/>
          <w:highlight w:val="none"/>
        </w:rPr>
        <w:t>1</w:t>
      </w:r>
      <w:r>
        <w:rPr>
          <w:rFonts w:hint="eastAsia" w:ascii="宋体" w:hAnsi="宋体"/>
          <w:sz w:val="24"/>
          <w:highlight w:val="none"/>
        </w:rPr>
        <w:t>）投标文件中的大写金额与小写金额不一致的，以大写金额为准；</w:t>
      </w:r>
    </w:p>
    <w:p>
      <w:pPr>
        <w:spacing w:line="360" w:lineRule="auto"/>
        <w:ind w:firstLine="480" w:firstLineChars="200"/>
        <w:rPr>
          <w:sz w:val="24"/>
          <w:highlight w:val="none"/>
        </w:rPr>
      </w:pPr>
      <w:r>
        <w:rPr>
          <w:rFonts w:hint="eastAsia" w:ascii="宋体" w:hAnsi="宋体"/>
          <w:sz w:val="24"/>
          <w:highlight w:val="none"/>
        </w:rPr>
        <w:t>（</w:t>
      </w:r>
      <w:r>
        <w:rPr>
          <w:sz w:val="24"/>
          <w:highlight w:val="none"/>
        </w:rPr>
        <w:t>2</w:t>
      </w:r>
      <w:r>
        <w:rPr>
          <w:rFonts w:hint="eastAsia" w:ascii="宋体" w:hAnsi="宋体"/>
          <w:sz w:val="24"/>
          <w:highlight w:val="none"/>
        </w:rPr>
        <w:t>）总价金额与依据单价计算出的结果不一致的，以单价金额为准修正总价，但单价金额小数点有明显错误的除外；</w:t>
      </w:r>
    </w:p>
    <w:p>
      <w:pPr>
        <w:spacing w:line="360" w:lineRule="auto"/>
        <w:ind w:firstLine="480" w:firstLineChars="200"/>
        <w:rPr>
          <w:sz w:val="24"/>
          <w:highlight w:val="none"/>
        </w:rPr>
      </w:pPr>
      <w:r>
        <w:rPr>
          <w:rFonts w:hint="eastAsia" w:ascii="宋体" w:hAnsi="宋体"/>
          <w:sz w:val="24"/>
          <w:highlight w:val="none"/>
        </w:rPr>
        <w:t>（</w:t>
      </w:r>
      <w:r>
        <w:rPr>
          <w:sz w:val="24"/>
          <w:highlight w:val="none"/>
        </w:rPr>
        <w:t>3</w:t>
      </w:r>
      <w:r>
        <w:rPr>
          <w:rFonts w:hint="eastAsia" w:ascii="宋体" w:hAnsi="宋体"/>
          <w:sz w:val="24"/>
          <w:highlight w:val="none"/>
        </w:rPr>
        <w:t>）当单价与数量相乘不等于合价时，以单价计算为准，如果单价有明显的小数点位置差错，应以标出的合价为准，同时对单价予以修正；</w:t>
      </w:r>
    </w:p>
    <w:p>
      <w:pPr>
        <w:spacing w:line="360" w:lineRule="auto"/>
        <w:ind w:firstLine="480" w:firstLineChars="200"/>
        <w:rPr>
          <w:sz w:val="24"/>
          <w:highlight w:val="none"/>
        </w:rPr>
      </w:pPr>
      <w:r>
        <w:rPr>
          <w:rFonts w:hint="eastAsia" w:ascii="宋体" w:hAnsi="宋体"/>
          <w:sz w:val="24"/>
          <w:highlight w:val="none"/>
        </w:rPr>
        <w:t>（</w:t>
      </w:r>
      <w:r>
        <w:rPr>
          <w:sz w:val="24"/>
          <w:highlight w:val="none"/>
        </w:rPr>
        <w:t>4</w:t>
      </w:r>
      <w:r>
        <w:rPr>
          <w:rFonts w:hint="eastAsia" w:ascii="宋体" w:hAnsi="宋体"/>
          <w:sz w:val="24"/>
          <w:highlight w:val="none"/>
        </w:rPr>
        <w:t>）当各子目的合价累计不等于总价时，应以各子目合价累计数为准，修正总价。</w:t>
      </w:r>
    </w:p>
    <w:p>
      <w:pPr>
        <w:spacing w:line="360" w:lineRule="auto"/>
        <w:ind w:firstLine="480" w:firstLineChars="200"/>
        <w:rPr>
          <w:sz w:val="24"/>
          <w:highlight w:val="none"/>
        </w:rPr>
      </w:pPr>
      <w:r>
        <w:rPr>
          <w:sz w:val="24"/>
          <w:highlight w:val="none"/>
        </w:rPr>
        <w:t>3.4.3</w:t>
      </w:r>
      <w:r>
        <w:rPr>
          <w:rFonts w:hint="eastAsia" w:ascii="宋体" w:hAnsi="宋体"/>
          <w:sz w:val="24"/>
          <w:highlight w:val="none"/>
        </w:rPr>
        <w:t>修正后的最终投标报价若超过最高投标限价（如有），评标委员会应否决其投标。</w:t>
      </w:r>
    </w:p>
    <w:p>
      <w:pPr>
        <w:spacing w:line="360" w:lineRule="auto"/>
        <w:ind w:firstLine="480" w:firstLineChars="200"/>
        <w:rPr>
          <w:szCs w:val="21"/>
          <w:highlight w:val="none"/>
        </w:rPr>
      </w:pPr>
      <w:r>
        <w:rPr>
          <w:sz w:val="24"/>
          <w:highlight w:val="none"/>
        </w:rPr>
        <w:t>3.4.4</w:t>
      </w:r>
      <w:r>
        <w:rPr>
          <w:rFonts w:hint="eastAsia" w:ascii="宋体" w:hAnsi="宋体"/>
          <w:sz w:val="24"/>
          <w:highlight w:val="none"/>
        </w:rPr>
        <w:t>修正后的最终投标报价仅作为签订合同的一个依据，不参与评标价得分的计算。</w:t>
      </w:r>
    </w:p>
    <w:p>
      <w:pPr>
        <w:pStyle w:val="5"/>
        <w:keepLines w:val="0"/>
        <w:widowControl/>
        <w:rPr>
          <w:color w:val="auto"/>
          <w:highlight w:val="none"/>
        </w:rPr>
      </w:pPr>
      <w:r>
        <w:rPr>
          <w:color w:val="auto"/>
          <w:highlight w:val="none"/>
        </w:rPr>
        <w:t xml:space="preserve">3.5 </w:t>
      </w:r>
      <w:r>
        <w:rPr>
          <w:rFonts w:hint="eastAsia" w:ascii="黑体" w:hAnsi="黑体"/>
          <w:color w:val="auto"/>
          <w:highlight w:val="none"/>
        </w:rPr>
        <w:t>第二个信封详细评审</w:t>
      </w:r>
    </w:p>
    <w:p>
      <w:pPr>
        <w:spacing w:line="360" w:lineRule="auto"/>
        <w:ind w:firstLine="480" w:firstLineChars="200"/>
        <w:rPr>
          <w:sz w:val="24"/>
          <w:highlight w:val="none"/>
        </w:rPr>
      </w:pPr>
      <w:r>
        <w:rPr>
          <w:sz w:val="24"/>
          <w:highlight w:val="none"/>
        </w:rPr>
        <w:t>3.5.1</w:t>
      </w:r>
      <w:r>
        <w:rPr>
          <w:rFonts w:hint="eastAsia" w:ascii="宋体" w:hAnsi="宋体"/>
          <w:sz w:val="24"/>
          <w:highlight w:val="none"/>
        </w:rPr>
        <w:t>评标委员会按本章第</w:t>
      </w:r>
      <w:r>
        <w:rPr>
          <w:sz w:val="24"/>
          <w:highlight w:val="none"/>
        </w:rPr>
        <w:t>2.2.4</w:t>
      </w:r>
      <w:r>
        <w:rPr>
          <w:rFonts w:hint="eastAsia" w:ascii="宋体" w:hAnsi="宋体"/>
          <w:sz w:val="24"/>
          <w:highlight w:val="none"/>
        </w:rPr>
        <w:t>项（</w:t>
      </w:r>
      <w:r>
        <w:rPr>
          <w:sz w:val="24"/>
          <w:highlight w:val="none"/>
        </w:rPr>
        <w:t>3</w:t>
      </w:r>
      <w:r>
        <w:rPr>
          <w:rFonts w:hint="eastAsia" w:ascii="宋体" w:hAnsi="宋体"/>
          <w:sz w:val="24"/>
          <w:highlight w:val="none"/>
        </w:rPr>
        <w:t>）目规定的评审因素和分值对评标价计算出得分</w:t>
      </w:r>
      <w:r>
        <w:rPr>
          <w:sz w:val="24"/>
          <w:highlight w:val="none"/>
        </w:rPr>
        <w:t>C</w:t>
      </w:r>
      <w:r>
        <w:rPr>
          <w:rFonts w:hint="eastAsia" w:ascii="宋体" w:hAnsi="宋体"/>
          <w:sz w:val="24"/>
          <w:highlight w:val="none"/>
        </w:rPr>
        <w:t>。评标价得分分值计算保留小数点后两位，小数点后第三位</w:t>
      </w:r>
      <w:r>
        <w:rPr>
          <w:sz w:val="24"/>
          <w:highlight w:val="none"/>
        </w:rPr>
        <w:t>“</w:t>
      </w:r>
      <w:r>
        <w:rPr>
          <w:rFonts w:hint="eastAsia" w:ascii="宋体" w:hAnsi="宋体"/>
          <w:sz w:val="24"/>
          <w:highlight w:val="none"/>
        </w:rPr>
        <w:t>四舍五入</w:t>
      </w:r>
      <w:r>
        <w:rPr>
          <w:sz w:val="24"/>
          <w:highlight w:val="none"/>
        </w:rPr>
        <w:t>”</w:t>
      </w:r>
      <w:r>
        <w:rPr>
          <w:rFonts w:hint="eastAsia" w:ascii="宋体" w:hAnsi="宋体"/>
          <w:sz w:val="24"/>
          <w:highlight w:val="none"/>
        </w:rPr>
        <w:t>。</w:t>
      </w:r>
    </w:p>
    <w:p>
      <w:pPr>
        <w:spacing w:line="360" w:lineRule="auto"/>
        <w:ind w:firstLine="480" w:firstLineChars="200"/>
        <w:rPr>
          <w:sz w:val="24"/>
          <w:highlight w:val="none"/>
        </w:rPr>
      </w:pPr>
      <w:r>
        <w:rPr>
          <w:sz w:val="24"/>
          <w:highlight w:val="none"/>
        </w:rPr>
        <w:t>3.5.2</w:t>
      </w:r>
      <w:r>
        <w:rPr>
          <w:rFonts w:hint="eastAsia" w:ascii="宋体" w:hAnsi="宋体"/>
          <w:sz w:val="24"/>
          <w:highlight w:val="none"/>
        </w:rPr>
        <w:t>投标人综合得分</w:t>
      </w:r>
      <w:r>
        <w:rPr>
          <w:sz w:val="24"/>
          <w:highlight w:val="none"/>
        </w:rPr>
        <w:t>=</w:t>
      </w:r>
      <w:r>
        <w:rPr>
          <w:rFonts w:hint="eastAsia" w:ascii="宋体" w:hAnsi="宋体"/>
          <w:sz w:val="24"/>
          <w:highlight w:val="none"/>
        </w:rPr>
        <w:t>投标人的商务和技术得分</w:t>
      </w:r>
      <w:r>
        <w:rPr>
          <w:sz w:val="24"/>
          <w:highlight w:val="none"/>
        </w:rPr>
        <w:t>+C</w:t>
      </w:r>
      <w:r>
        <w:rPr>
          <w:rFonts w:hint="eastAsia" w:ascii="宋体" w:hAnsi="宋体"/>
          <w:sz w:val="24"/>
          <w:highlight w:val="none"/>
        </w:rPr>
        <w:t>。</w:t>
      </w:r>
    </w:p>
    <w:p>
      <w:pPr>
        <w:spacing w:line="360" w:lineRule="auto"/>
        <w:ind w:firstLine="480" w:firstLineChars="200"/>
        <w:rPr>
          <w:szCs w:val="21"/>
          <w:highlight w:val="none"/>
        </w:rPr>
      </w:pPr>
      <w:r>
        <w:rPr>
          <w:sz w:val="24"/>
          <w:highlight w:val="none"/>
        </w:rPr>
        <w:t>3.5.3</w:t>
      </w:r>
      <w:r>
        <w:rPr>
          <w:rFonts w:hint="eastAsia" w:ascii="宋体" w:hAnsi="宋体"/>
          <w:sz w:val="24"/>
          <w:highlight w:val="none"/>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5"/>
        <w:keepLines w:val="0"/>
        <w:widowControl/>
        <w:rPr>
          <w:color w:val="auto"/>
          <w:highlight w:val="none"/>
        </w:rPr>
      </w:pPr>
      <w:r>
        <w:rPr>
          <w:color w:val="auto"/>
          <w:highlight w:val="none"/>
        </w:rPr>
        <w:t xml:space="preserve">3.6 </w:t>
      </w:r>
      <w:r>
        <w:rPr>
          <w:rFonts w:hint="eastAsia" w:ascii="黑体" w:hAnsi="黑体"/>
          <w:color w:val="auto"/>
          <w:highlight w:val="none"/>
        </w:rPr>
        <w:t>投标文件相关信息的核查</w:t>
      </w:r>
    </w:p>
    <w:p>
      <w:pPr>
        <w:spacing w:line="360" w:lineRule="auto"/>
        <w:ind w:firstLine="480" w:firstLineChars="200"/>
        <w:rPr>
          <w:sz w:val="24"/>
          <w:highlight w:val="none"/>
        </w:rPr>
      </w:pPr>
      <w:r>
        <w:rPr>
          <w:rFonts w:hint="eastAsia" w:ascii="宋体" w:hAnsi="宋体"/>
          <w:sz w:val="24"/>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360" w:lineRule="auto"/>
        <w:ind w:firstLine="480" w:firstLineChars="200"/>
        <w:rPr>
          <w:sz w:val="24"/>
          <w:highlight w:val="none"/>
        </w:rPr>
      </w:pPr>
      <w:r>
        <w:rPr>
          <w:rFonts w:hint="eastAsia" w:ascii="宋体" w:hAnsi="宋体"/>
          <w:sz w:val="24"/>
          <w:highlight w:val="none"/>
        </w:rPr>
        <w:t>（</w:t>
      </w:r>
      <w:r>
        <w:rPr>
          <w:sz w:val="24"/>
          <w:highlight w:val="none"/>
        </w:rPr>
        <w:t>1</w:t>
      </w:r>
      <w:r>
        <w:rPr>
          <w:rFonts w:hint="eastAsia" w:ascii="宋体" w:hAnsi="宋体"/>
          <w:sz w:val="24"/>
          <w:highlight w:val="none"/>
        </w:rPr>
        <w:t>）有下列情形之一的，属于投标人相互串通投标：</w:t>
      </w:r>
    </w:p>
    <w:p>
      <w:pPr>
        <w:spacing w:line="360" w:lineRule="auto"/>
        <w:ind w:firstLine="480" w:firstLineChars="200"/>
        <w:rPr>
          <w:sz w:val="24"/>
          <w:highlight w:val="none"/>
        </w:rPr>
      </w:pPr>
      <w:r>
        <w:rPr>
          <w:sz w:val="24"/>
          <w:highlight w:val="none"/>
        </w:rPr>
        <w:t>a.</w:t>
      </w:r>
      <w:r>
        <w:rPr>
          <w:rFonts w:hint="eastAsia" w:ascii="宋体" w:hAnsi="宋体"/>
          <w:sz w:val="24"/>
          <w:highlight w:val="none"/>
        </w:rPr>
        <w:t>投标人之间协商投标报价等投标文件的实质性内容；</w:t>
      </w:r>
    </w:p>
    <w:p>
      <w:pPr>
        <w:spacing w:line="360" w:lineRule="auto"/>
        <w:ind w:firstLine="480" w:firstLineChars="200"/>
        <w:rPr>
          <w:sz w:val="24"/>
          <w:highlight w:val="none"/>
        </w:rPr>
      </w:pPr>
      <w:r>
        <w:rPr>
          <w:sz w:val="24"/>
          <w:highlight w:val="none"/>
        </w:rPr>
        <w:t>b.</w:t>
      </w:r>
      <w:r>
        <w:rPr>
          <w:rFonts w:hint="eastAsia" w:ascii="宋体" w:hAnsi="宋体"/>
          <w:sz w:val="24"/>
          <w:highlight w:val="none"/>
        </w:rPr>
        <w:t>投标人之间约定中标人；</w:t>
      </w:r>
    </w:p>
    <w:p>
      <w:pPr>
        <w:spacing w:line="360" w:lineRule="auto"/>
        <w:ind w:firstLine="480" w:firstLineChars="200"/>
        <w:rPr>
          <w:sz w:val="24"/>
          <w:highlight w:val="none"/>
        </w:rPr>
      </w:pPr>
      <w:r>
        <w:rPr>
          <w:sz w:val="24"/>
          <w:highlight w:val="none"/>
        </w:rPr>
        <w:t>c.</w:t>
      </w:r>
      <w:r>
        <w:rPr>
          <w:rFonts w:hint="eastAsia" w:ascii="宋体" w:hAnsi="宋体"/>
          <w:sz w:val="24"/>
          <w:highlight w:val="none"/>
        </w:rPr>
        <w:t>投标人之间约定部分投标人放弃投标或中标；</w:t>
      </w:r>
    </w:p>
    <w:p>
      <w:pPr>
        <w:spacing w:line="360" w:lineRule="auto"/>
        <w:ind w:firstLine="480" w:firstLineChars="200"/>
        <w:rPr>
          <w:sz w:val="24"/>
          <w:highlight w:val="none"/>
        </w:rPr>
      </w:pPr>
      <w:r>
        <w:rPr>
          <w:sz w:val="24"/>
          <w:highlight w:val="none"/>
        </w:rPr>
        <w:t>d.</w:t>
      </w:r>
      <w:r>
        <w:rPr>
          <w:rFonts w:hint="eastAsia" w:ascii="宋体" w:hAnsi="宋体"/>
          <w:sz w:val="24"/>
          <w:highlight w:val="none"/>
        </w:rPr>
        <w:t>属于同一集团、协会、商会等组织成员的投标人按照该组织要求协同投标；</w:t>
      </w:r>
    </w:p>
    <w:p>
      <w:pPr>
        <w:spacing w:line="360" w:lineRule="auto"/>
        <w:ind w:firstLine="480" w:firstLineChars="200"/>
        <w:rPr>
          <w:sz w:val="24"/>
          <w:highlight w:val="none"/>
        </w:rPr>
      </w:pPr>
      <w:r>
        <w:rPr>
          <w:sz w:val="24"/>
          <w:highlight w:val="none"/>
        </w:rPr>
        <w:t>e.</w:t>
      </w:r>
      <w:r>
        <w:rPr>
          <w:rFonts w:hint="eastAsia" w:ascii="宋体" w:hAnsi="宋体"/>
          <w:sz w:val="24"/>
          <w:highlight w:val="none"/>
        </w:rPr>
        <w:t>投标人之间为谋取中标或排斥特定投标人而采取的其他联合行动。</w:t>
      </w:r>
    </w:p>
    <w:p>
      <w:pPr>
        <w:spacing w:line="360" w:lineRule="auto"/>
        <w:ind w:firstLine="480" w:firstLineChars="200"/>
        <w:rPr>
          <w:sz w:val="24"/>
          <w:highlight w:val="none"/>
        </w:rPr>
      </w:pPr>
      <w:r>
        <w:rPr>
          <w:rFonts w:hint="eastAsia" w:ascii="宋体" w:hAnsi="宋体"/>
          <w:sz w:val="24"/>
          <w:highlight w:val="none"/>
        </w:rPr>
        <w:t>（</w:t>
      </w:r>
      <w:r>
        <w:rPr>
          <w:sz w:val="24"/>
          <w:highlight w:val="none"/>
        </w:rPr>
        <w:t>2</w:t>
      </w:r>
      <w:r>
        <w:rPr>
          <w:rFonts w:hint="eastAsia" w:ascii="宋体" w:hAnsi="宋体"/>
          <w:sz w:val="24"/>
          <w:highlight w:val="none"/>
        </w:rPr>
        <w:t>）有下列情形之一的，视为投标人相互串通投标：</w:t>
      </w:r>
    </w:p>
    <w:p>
      <w:pPr>
        <w:spacing w:line="360" w:lineRule="auto"/>
        <w:ind w:firstLine="480" w:firstLineChars="200"/>
        <w:rPr>
          <w:sz w:val="24"/>
          <w:highlight w:val="none"/>
        </w:rPr>
      </w:pPr>
      <w:r>
        <w:rPr>
          <w:sz w:val="24"/>
          <w:highlight w:val="none"/>
        </w:rPr>
        <w:t>a.</w:t>
      </w:r>
      <w:r>
        <w:rPr>
          <w:rFonts w:hint="eastAsia" w:ascii="宋体" w:hAnsi="宋体"/>
          <w:sz w:val="24"/>
          <w:highlight w:val="none"/>
        </w:rPr>
        <w:t>不同投标人的投标文件由同一单位或个人编制；</w:t>
      </w:r>
    </w:p>
    <w:p>
      <w:pPr>
        <w:spacing w:line="360" w:lineRule="auto"/>
        <w:ind w:firstLine="480" w:firstLineChars="200"/>
        <w:rPr>
          <w:sz w:val="24"/>
          <w:highlight w:val="none"/>
        </w:rPr>
      </w:pPr>
      <w:r>
        <w:rPr>
          <w:sz w:val="24"/>
          <w:highlight w:val="none"/>
        </w:rPr>
        <w:t>b.</w:t>
      </w:r>
      <w:r>
        <w:rPr>
          <w:rFonts w:hint="eastAsia" w:ascii="宋体" w:hAnsi="宋体"/>
          <w:sz w:val="24"/>
          <w:highlight w:val="none"/>
        </w:rPr>
        <w:t>不同投标人委托同一单位或个人办理投标事宜；</w:t>
      </w:r>
    </w:p>
    <w:p>
      <w:pPr>
        <w:spacing w:line="360" w:lineRule="auto"/>
        <w:ind w:firstLine="480" w:firstLineChars="200"/>
        <w:rPr>
          <w:sz w:val="24"/>
          <w:highlight w:val="none"/>
        </w:rPr>
      </w:pPr>
      <w:r>
        <w:rPr>
          <w:sz w:val="24"/>
          <w:highlight w:val="none"/>
        </w:rPr>
        <w:t>c.</w:t>
      </w:r>
      <w:r>
        <w:rPr>
          <w:rFonts w:hint="eastAsia" w:ascii="宋体" w:hAnsi="宋体"/>
          <w:sz w:val="24"/>
          <w:highlight w:val="none"/>
        </w:rPr>
        <w:t>不同投标人的投标文件载明的项目管理成员为同一人；</w:t>
      </w:r>
    </w:p>
    <w:p>
      <w:pPr>
        <w:spacing w:line="360" w:lineRule="auto"/>
        <w:ind w:firstLine="480" w:firstLineChars="200"/>
        <w:rPr>
          <w:sz w:val="24"/>
          <w:highlight w:val="none"/>
        </w:rPr>
      </w:pPr>
      <w:r>
        <w:rPr>
          <w:sz w:val="24"/>
          <w:highlight w:val="none"/>
        </w:rPr>
        <w:t>d.</w:t>
      </w:r>
      <w:r>
        <w:rPr>
          <w:rFonts w:hint="eastAsia" w:ascii="宋体" w:hAnsi="宋体"/>
          <w:sz w:val="24"/>
          <w:highlight w:val="none"/>
        </w:rPr>
        <w:t>不同投标人的投标文件异常一致或投标报价呈规律性差异；</w:t>
      </w:r>
    </w:p>
    <w:p>
      <w:pPr>
        <w:spacing w:line="360" w:lineRule="auto"/>
        <w:ind w:firstLine="480" w:firstLineChars="200"/>
        <w:rPr>
          <w:sz w:val="24"/>
          <w:highlight w:val="none"/>
        </w:rPr>
      </w:pPr>
      <w:r>
        <w:rPr>
          <w:sz w:val="24"/>
          <w:highlight w:val="none"/>
        </w:rPr>
        <w:t>e.</w:t>
      </w:r>
      <w:r>
        <w:rPr>
          <w:rFonts w:hint="eastAsia" w:ascii="宋体" w:hAnsi="宋体"/>
          <w:sz w:val="24"/>
          <w:highlight w:val="none"/>
        </w:rPr>
        <w:t>不同投标人的投标文件相互混装；</w:t>
      </w:r>
    </w:p>
    <w:p>
      <w:pPr>
        <w:spacing w:line="360" w:lineRule="auto"/>
        <w:ind w:firstLine="480" w:firstLineChars="200"/>
        <w:rPr>
          <w:sz w:val="24"/>
          <w:highlight w:val="none"/>
        </w:rPr>
      </w:pPr>
      <w:r>
        <w:rPr>
          <w:sz w:val="24"/>
          <w:highlight w:val="none"/>
        </w:rPr>
        <w:t>f.</w:t>
      </w:r>
      <w:r>
        <w:rPr>
          <w:rFonts w:hint="eastAsia" w:ascii="宋体" w:hAnsi="宋体"/>
          <w:sz w:val="24"/>
          <w:highlight w:val="none"/>
        </w:rPr>
        <w:t>不同投标人的投标保证金从同一单位或个人的账户转出。</w:t>
      </w:r>
    </w:p>
    <w:p>
      <w:pPr>
        <w:spacing w:line="360" w:lineRule="auto"/>
        <w:ind w:firstLine="480" w:firstLineChars="200"/>
        <w:rPr>
          <w:sz w:val="24"/>
          <w:highlight w:val="none"/>
        </w:rPr>
      </w:pPr>
      <w:r>
        <w:rPr>
          <w:rFonts w:hint="eastAsia" w:ascii="宋体" w:hAnsi="宋体"/>
          <w:sz w:val="24"/>
          <w:highlight w:val="none"/>
        </w:rPr>
        <w:t>（</w:t>
      </w:r>
      <w:r>
        <w:rPr>
          <w:sz w:val="24"/>
          <w:highlight w:val="none"/>
        </w:rPr>
        <w:t>3</w:t>
      </w:r>
      <w:r>
        <w:rPr>
          <w:rFonts w:hint="eastAsia" w:ascii="宋体" w:hAnsi="宋体"/>
          <w:sz w:val="24"/>
          <w:highlight w:val="none"/>
        </w:rPr>
        <w:t>）有下列情形之一的，属于招标人与投标人串通投标：</w:t>
      </w:r>
    </w:p>
    <w:p>
      <w:pPr>
        <w:spacing w:line="360" w:lineRule="auto"/>
        <w:ind w:firstLine="480" w:firstLineChars="200"/>
        <w:rPr>
          <w:sz w:val="24"/>
          <w:highlight w:val="none"/>
        </w:rPr>
      </w:pPr>
      <w:r>
        <w:rPr>
          <w:sz w:val="24"/>
          <w:highlight w:val="none"/>
        </w:rPr>
        <w:t>a.</w:t>
      </w:r>
      <w:r>
        <w:rPr>
          <w:rFonts w:hint="eastAsia" w:ascii="宋体" w:hAnsi="宋体"/>
          <w:sz w:val="24"/>
          <w:highlight w:val="none"/>
        </w:rPr>
        <w:t>招标人在开标前开启投标文件并将有关信息泄露给其他投标人</w:t>
      </w:r>
      <w:r>
        <w:rPr>
          <w:sz w:val="24"/>
          <w:highlight w:val="none"/>
        </w:rPr>
        <w:t>;</w:t>
      </w:r>
    </w:p>
    <w:p>
      <w:pPr>
        <w:spacing w:line="360" w:lineRule="auto"/>
        <w:ind w:firstLine="480" w:firstLineChars="200"/>
        <w:rPr>
          <w:sz w:val="24"/>
          <w:highlight w:val="none"/>
        </w:rPr>
      </w:pPr>
      <w:r>
        <w:rPr>
          <w:sz w:val="24"/>
          <w:highlight w:val="none"/>
        </w:rPr>
        <w:t>b.</w:t>
      </w:r>
      <w:r>
        <w:rPr>
          <w:rFonts w:hint="eastAsia" w:ascii="宋体" w:hAnsi="宋体"/>
          <w:sz w:val="24"/>
          <w:highlight w:val="none"/>
        </w:rPr>
        <w:t>招标人直接或间接向投标人泄露标底、评标委员会成员等信息；</w:t>
      </w:r>
    </w:p>
    <w:p>
      <w:pPr>
        <w:spacing w:line="360" w:lineRule="auto"/>
        <w:ind w:firstLine="480" w:firstLineChars="200"/>
        <w:rPr>
          <w:sz w:val="24"/>
          <w:highlight w:val="none"/>
        </w:rPr>
      </w:pPr>
      <w:r>
        <w:rPr>
          <w:sz w:val="24"/>
          <w:highlight w:val="none"/>
        </w:rPr>
        <w:t>c.</w:t>
      </w:r>
      <w:r>
        <w:rPr>
          <w:rFonts w:hint="eastAsia" w:ascii="宋体" w:hAnsi="宋体"/>
          <w:sz w:val="24"/>
          <w:highlight w:val="none"/>
        </w:rPr>
        <w:t>招标人明示或暗示投标人压低或抬高投标报价；</w:t>
      </w:r>
    </w:p>
    <w:p>
      <w:pPr>
        <w:spacing w:line="360" w:lineRule="auto"/>
        <w:ind w:firstLine="480" w:firstLineChars="200"/>
        <w:rPr>
          <w:sz w:val="24"/>
          <w:highlight w:val="none"/>
        </w:rPr>
      </w:pPr>
      <w:r>
        <w:rPr>
          <w:sz w:val="24"/>
          <w:highlight w:val="none"/>
        </w:rPr>
        <w:t>d.</w:t>
      </w:r>
      <w:r>
        <w:rPr>
          <w:rFonts w:hint="eastAsia" w:ascii="宋体" w:hAnsi="宋体"/>
          <w:sz w:val="24"/>
          <w:highlight w:val="none"/>
        </w:rPr>
        <w:t>招标人授意投标人撤换、修改投标文件；</w:t>
      </w:r>
    </w:p>
    <w:p>
      <w:pPr>
        <w:spacing w:line="360" w:lineRule="auto"/>
        <w:ind w:firstLine="480" w:firstLineChars="200"/>
        <w:rPr>
          <w:sz w:val="24"/>
          <w:highlight w:val="none"/>
        </w:rPr>
      </w:pPr>
      <w:r>
        <w:rPr>
          <w:sz w:val="24"/>
          <w:highlight w:val="none"/>
        </w:rPr>
        <w:t>e.</w:t>
      </w:r>
      <w:r>
        <w:rPr>
          <w:rFonts w:hint="eastAsia" w:ascii="宋体" w:hAnsi="宋体"/>
          <w:sz w:val="24"/>
          <w:highlight w:val="none"/>
        </w:rPr>
        <w:t>招标人明示或暗示投标人为特定投标人中标提供方便；</w:t>
      </w:r>
    </w:p>
    <w:p>
      <w:pPr>
        <w:spacing w:line="360" w:lineRule="auto"/>
        <w:ind w:firstLine="480" w:firstLineChars="200"/>
        <w:rPr>
          <w:sz w:val="24"/>
          <w:highlight w:val="none"/>
        </w:rPr>
      </w:pPr>
      <w:r>
        <w:rPr>
          <w:sz w:val="24"/>
          <w:highlight w:val="none"/>
        </w:rPr>
        <w:t>f.</w:t>
      </w:r>
      <w:r>
        <w:rPr>
          <w:rFonts w:hint="eastAsia" w:ascii="宋体" w:hAnsi="宋体"/>
          <w:sz w:val="24"/>
          <w:highlight w:val="none"/>
        </w:rPr>
        <w:t>招标人与投标人为谋求特定投标人中标而采取的其他串通行为。</w:t>
      </w:r>
    </w:p>
    <w:p>
      <w:pPr>
        <w:spacing w:line="360" w:lineRule="auto"/>
        <w:ind w:firstLine="480" w:firstLineChars="200"/>
        <w:rPr>
          <w:sz w:val="24"/>
          <w:highlight w:val="none"/>
        </w:rPr>
      </w:pPr>
      <w:r>
        <w:rPr>
          <w:rFonts w:hint="eastAsia" w:ascii="宋体" w:hAnsi="宋体"/>
          <w:sz w:val="24"/>
          <w:highlight w:val="none"/>
        </w:rPr>
        <w:t>（</w:t>
      </w:r>
      <w:r>
        <w:rPr>
          <w:sz w:val="24"/>
          <w:highlight w:val="none"/>
        </w:rPr>
        <w:t>4</w:t>
      </w:r>
      <w:r>
        <w:rPr>
          <w:rFonts w:hint="eastAsia" w:ascii="宋体" w:hAnsi="宋体"/>
          <w:sz w:val="24"/>
          <w:highlight w:val="none"/>
        </w:rPr>
        <w:t>）投标人有下列情形之一的，属于弄虚作假的行为：</w:t>
      </w:r>
    </w:p>
    <w:p>
      <w:pPr>
        <w:spacing w:line="360" w:lineRule="auto"/>
        <w:ind w:firstLine="480" w:firstLineChars="200"/>
        <w:rPr>
          <w:sz w:val="24"/>
          <w:highlight w:val="none"/>
        </w:rPr>
      </w:pPr>
      <w:r>
        <w:rPr>
          <w:sz w:val="24"/>
          <w:highlight w:val="none"/>
        </w:rPr>
        <w:t>a.</w:t>
      </w:r>
      <w:r>
        <w:rPr>
          <w:rFonts w:hint="eastAsia" w:ascii="宋体" w:hAnsi="宋体"/>
          <w:sz w:val="24"/>
          <w:highlight w:val="none"/>
        </w:rPr>
        <w:t>使用通过受让或租借等方式获取的资格、资质证书投标；</w:t>
      </w:r>
    </w:p>
    <w:p>
      <w:pPr>
        <w:spacing w:line="360" w:lineRule="auto"/>
        <w:ind w:firstLine="480" w:firstLineChars="200"/>
        <w:rPr>
          <w:sz w:val="24"/>
          <w:highlight w:val="none"/>
        </w:rPr>
      </w:pPr>
      <w:r>
        <w:rPr>
          <w:sz w:val="24"/>
          <w:highlight w:val="none"/>
        </w:rPr>
        <w:t>b.</w:t>
      </w:r>
      <w:r>
        <w:rPr>
          <w:rFonts w:hint="eastAsia" w:ascii="宋体" w:hAnsi="宋体"/>
          <w:sz w:val="24"/>
          <w:highlight w:val="none"/>
        </w:rPr>
        <w:t>使用伪造、变造的许可证件；</w:t>
      </w:r>
    </w:p>
    <w:p>
      <w:pPr>
        <w:spacing w:line="360" w:lineRule="auto"/>
        <w:ind w:firstLine="480" w:firstLineChars="200"/>
        <w:rPr>
          <w:sz w:val="24"/>
          <w:highlight w:val="none"/>
        </w:rPr>
      </w:pPr>
      <w:r>
        <w:rPr>
          <w:sz w:val="24"/>
          <w:highlight w:val="none"/>
        </w:rPr>
        <w:t>c.</w:t>
      </w:r>
      <w:r>
        <w:rPr>
          <w:rFonts w:hint="eastAsia" w:ascii="宋体" w:hAnsi="宋体"/>
          <w:sz w:val="24"/>
          <w:highlight w:val="none"/>
        </w:rPr>
        <w:t>提供虚假的业绩；</w:t>
      </w:r>
    </w:p>
    <w:p>
      <w:pPr>
        <w:spacing w:line="360" w:lineRule="auto"/>
        <w:ind w:firstLine="480" w:firstLineChars="200"/>
        <w:rPr>
          <w:sz w:val="24"/>
          <w:highlight w:val="none"/>
        </w:rPr>
      </w:pPr>
      <w:r>
        <w:rPr>
          <w:sz w:val="24"/>
          <w:highlight w:val="none"/>
        </w:rPr>
        <w:t>d.</w:t>
      </w:r>
      <w:r>
        <w:rPr>
          <w:rFonts w:hint="eastAsia" w:ascii="宋体" w:hAnsi="宋体"/>
          <w:sz w:val="24"/>
          <w:highlight w:val="none"/>
        </w:rPr>
        <w:t>提供虚假的项目负责人或主要技术人员简历、劳动关系证明；</w:t>
      </w:r>
    </w:p>
    <w:p>
      <w:pPr>
        <w:spacing w:line="360" w:lineRule="auto"/>
        <w:ind w:firstLine="480" w:firstLineChars="200"/>
        <w:rPr>
          <w:sz w:val="24"/>
          <w:highlight w:val="none"/>
        </w:rPr>
      </w:pPr>
      <w:r>
        <w:rPr>
          <w:sz w:val="24"/>
          <w:highlight w:val="none"/>
        </w:rPr>
        <w:t>e.</w:t>
      </w:r>
      <w:r>
        <w:rPr>
          <w:rFonts w:hint="eastAsia" w:ascii="宋体" w:hAnsi="宋体"/>
          <w:sz w:val="24"/>
          <w:highlight w:val="none"/>
        </w:rPr>
        <w:t>提供虚假的信用状况；</w:t>
      </w:r>
    </w:p>
    <w:p>
      <w:pPr>
        <w:spacing w:line="360" w:lineRule="auto"/>
        <w:ind w:firstLine="480" w:firstLineChars="200"/>
        <w:rPr>
          <w:szCs w:val="21"/>
          <w:highlight w:val="none"/>
        </w:rPr>
      </w:pPr>
      <w:r>
        <w:rPr>
          <w:sz w:val="24"/>
          <w:highlight w:val="none"/>
        </w:rPr>
        <w:t>f.</w:t>
      </w:r>
      <w:r>
        <w:rPr>
          <w:rFonts w:hint="eastAsia" w:ascii="宋体" w:hAnsi="宋体"/>
          <w:sz w:val="24"/>
          <w:highlight w:val="none"/>
        </w:rPr>
        <w:t>其他弄虚作假的行为。</w:t>
      </w:r>
    </w:p>
    <w:p>
      <w:pPr>
        <w:pStyle w:val="5"/>
        <w:keepLines w:val="0"/>
        <w:widowControl/>
        <w:rPr>
          <w:color w:val="auto"/>
          <w:highlight w:val="none"/>
        </w:rPr>
      </w:pPr>
      <w:r>
        <w:rPr>
          <w:color w:val="auto"/>
          <w:highlight w:val="none"/>
        </w:rPr>
        <w:t xml:space="preserve">3.7 </w:t>
      </w:r>
      <w:r>
        <w:rPr>
          <w:rFonts w:hint="eastAsia" w:ascii="黑体" w:hAnsi="黑体"/>
          <w:color w:val="auto"/>
          <w:highlight w:val="none"/>
        </w:rPr>
        <w:t>投标文件的澄清和说明</w:t>
      </w:r>
    </w:p>
    <w:p>
      <w:pPr>
        <w:spacing w:line="400" w:lineRule="atLeast"/>
        <w:ind w:firstLine="480" w:firstLineChars="200"/>
        <w:rPr>
          <w:sz w:val="24"/>
          <w:highlight w:val="none"/>
        </w:rPr>
      </w:pPr>
      <w:r>
        <w:rPr>
          <w:sz w:val="24"/>
          <w:highlight w:val="none"/>
        </w:rPr>
        <w:t>3.7.1</w:t>
      </w:r>
      <w:r>
        <w:rPr>
          <w:rFonts w:hint="eastAsia" w:ascii="宋体" w:hAnsi="宋体"/>
          <w:sz w:val="24"/>
          <w:highlight w:val="none"/>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pacing w:line="400" w:lineRule="atLeast"/>
        <w:ind w:firstLine="480" w:firstLineChars="200"/>
        <w:rPr>
          <w:sz w:val="24"/>
          <w:highlight w:val="none"/>
        </w:rPr>
      </w:pPr>
      <w:r>
        <w:rPr>
          <w:sz w:val="24"/>
          <w:highlight w:val="none"/>
        </w:rPr>
        <w:t>3.7.2</w:t>
      </w:r>
      <w:r>
        <w:rPr>
          <w:rFonts w:hint="eastAsia" w:ascii="宋体" w:hAnsi="宋体"/>
          <w:sz w:val="24"/>
          <w:highlight w:val="none"/>
        </w:rPr>
        <w:t>澄清和说明不得超出投标文件的范围或改变投标文件的实质性内容（算术性错误的修正除外）。投标人的书面澄清、说明属于投标文件的组成部分。</w:t>
      </w:r>
    </w:p>
    <w:p>
      <w:pPr>
        <w:spacing w:line="400" w:lineRule="atLeast"/>
        <w:ind w:firstLine="480" w:firstLineChars="200"/>
        <w:rPr>
          <w:sz w:val="24"/>
          <w:highlight w:val="none"/>
        </w:rPr>
      </w:pPr>
      <w:r>
        <w:rPr>
          <w:sz w:val="24"/>
          <w:highlight w:val="none"/>
        </w:rPr>
        <w:t>3.7.3</w:t>
      </w:r>
      <w:r>
        <w:rPr>
          <w:rFonts w:hint="eastAsia" w:ascii="宋体" w:hAnsi="宋体"/>
          <w:sz w:val="24"/>
          <w:highlight w:val="none"/>
        </w:rPr>
        <w:t>评标委员会不得暗示或诱导投标人作出澄清、说明，对投标人提交的澄清、说明有疑问的，可以要求投标人进一步澄清或说明，直至满足评标委员会的要求。</w:t>
      </w:r>
    </w:p>
    <w:p>
      <w:pPr>
        <w:spacing w:line="440" w:lineRule="exact"/>
        <w:ind w:firstLine="480" w:firstLineChars="200"/>
        <w:rPr>
          <w:szCs w:val="21"/>
          <w:highlight w:val="none"/>
        </w:rPr>
      </w:pPr>
      <w:r>
        <w:rPr>
          <w:sz w:val="24"/>
          <w:highlight w:val="none"/>
        </w:rPr>
        <w:t>3.7.4</w:t>
      </w:r>
      <w:r>
        <w:rPr>
          <w:rFonts w:hint="eastAsia" w:ascii="宋体" w:hAnsi="宋体"/>
          <w:sz w:val="24"/>
          <w:highlight w:val="none"/>
        </w:rPr>
        <w:t>凡超出招标文件规定的或给发包人带来未曾要求的利益的变化、偏差或其他因素在评标时不予考虑。</w:t>
      </w:r>
    </w:p>
    <w:p>
      <w:pPr>
        <w:pStyle w:val="5"/>
        <w:keepLines w:val="0"/>
        <w:widowControl/>
        <w:rPr>
          <w:color w:val="auto"/>
          <w:highlight w:val="none"/>
        </w:rPr>
      </w:pPr>
      <w:r>
        <w:rPr>
          <w:color w:val="auto"/>
          <w:highlight w:val="none"/>
        </w:rPr>
        <w:t xml:space="preserve">3.8 </w:t>
      </w:r>
      <w:r>
        <w:rPr>
          <w:rFonts w:hint="eastAsia" w:ascii="黑体" w:hAnsi="黑体"/>
          <w:color w:val="auto"/>
          <w:highlight w:val="none"/>
        </w:rPr>
        <w:t>不得否决投标的情形</w:t>
      </w:r>
    </w:p>
    <w:p>
      <w:pPr>
        <w:spacing w:line="440" w:lineRule="exact"/>
        <w:ind w:firstLine="480" w:firstLineChars="200"/>
        <w:rPr>
          <w:highlight w:val="none"/>
        </w:rPr>
      </w:pPr>
      <w:r>
        <w:rPr>
          <w:rFonts w:hint="eastAsia" w:ascii="宋体" w:hAnsi="宋体"/>
          <w:sz w:val="24"/>
          <w:highlight w:val="none"/>
        </w:rPr>
        <w:t>投标文件存在第二章“投标人须知”第</w:t>
      </w:r>
      <w:r>
        <w:rPr>
          <w:sz w:val="24"/>
          <w:highlight w:val="none"/>
        </w:rPr>
        <w:t>1.12.3</w:t>
      </w:r>
      <w:r>
        <w:rPr>
          <w:rFonts w:hint="eastAsia" w:ascii="宋体" w:hAnsi="宋体"/>
          <w:sz w:val="24"/>
          <w:highlight w:val="none"/>
        </w:rPr>
        <w:t>项所列情形的，均视为细微偏差，评标委员会不得否决投标人的投标，应按照第二章“投标人须知”第</w:t>
      </w:r>
      <w:r>
        <w:rPr>
          <w:sz w:val="24"/>
          <w:highlight w:val="none"/>
        </w:rPr>
        <w:t>1.12.4</w:t>
      </w:r>
      <w:r>
        <w:rPr>
          <w:rFonts w:hint="eastAsia" w:ascii="宋体" w:hAnsi="宋体"/>
          <w:sz w:val="24"/>
          <w:highlight w:val="none"/>
        </w:rPr>
        <w:t>项规定的原则处理。</w:t>
      </w:r>
    </w:p>
    <w:p>
      <w:pPr>
        <w:pStyle w:val="5"/>
        <w:keepLines w:val="0"/>
        <w:widowControl/>
        <w:rPr>
          <w:color w:val="auto"/>
          <w:highlight w:val="none"/>
        </w:rPr>
      </w:pPr>
      <w:r>
        <w:rPr>
          <w:color w:val="auto"/>
          <w:highlight w:val="none"/>
        </w:rPr>
        <w:t xml:space="preserve">3.9 </w:t>
      </w:r>
      <w:r>
        <w:rPr>
          <w:rFonts w:hint="eastAsia" w:ascii="黑体" w:hAnsi="黑体"/>
          <w:color w:val="auto"/>
          <w:highlight w:val="none"/>
        </w:rPr>
        <w:t>评标结果</w:t>
      </w:r>
    </w:p>
    <w:p>
      <w:pPr>
        <w:spacing w:line="440" w:lineRule="exact"/>
        <w:ind w:firstLine="480" w:firstLineChars="200"/>
        <w:rPr>
          <w:rFonts w:hint="eastAsia" w:ascii="宋体" w:hAnsi="宋体"/>
          <w:sz w:val="24"/>
          <w:highlight w:val="none"/>
        </w:rPr>
      </w:pPr>
      <w:r>
        <w:rPr>
          <w:rFonts w:ascii="宋体" w:hAnsi="宋体"/>
          <w:sz w:val="24"/>
          <w:highlight w:val="none"/>
        </w:rPr>
        <w:t>3.9.1</w:t>
      </w:r>
      <w:r>
        <w:rPr>
          <w:rFonts w:hint="eastAsia" w:ascii="宋体" w:hAnsi="宋体"/>
          <w:sz w:val="24"/>
          <w:highlight w:val="none"/>
        </w:rPr>
        <w:t>除第二章“投标人须知”前附表授权直接确定中标人外，评标委员会按照得分由高到低的顺序推荐中标候选人，并标明排序。</w:t>
      </w:r>
    </w:p>
    <w:p>
      <w:pPr>
        <w:ind w:firstLine="480" w:firstLineChars="200"/>
        <w:rPr>
          <w:highlight w:val="none"/>
        </w:rPr>
      </w:pPr>
      <w:bookmarkStart w:id="1" w:name="_GoBack"/>
      <w:bookmarkEnd w:id="1"/>
      <w:r>
        <w:rPr>
          <w:rFonts w:ascii="宋体" w:hAnsi="宋体"/>
          <w:sz w:val="24"/>
          <w:highlight w:val="none"/>
        </w:rPr>
        <w:t>3.9.2</w:t>
      </w:r>
      <w:r>
        <w:rPr>
          <w:rFonts w:hint="eastAsia" w:ascii="宋体" w:hAnsi="宋体"/>
          <w:sz w:val="24"/>
          <w:highlight w:val="none"/>
        </w:rPr>
        <w:t>评标委员会完成评标后，应向招标人提交书面评标报告。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334"/>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2"/>
      <w:numFmt w:val="lowerLetter"/>
      <w:lvlText w:val="%1."/>
      <w:lvlJc w:val="left"/>
      <w:pPr>
        <w:ind w:left="104" w:hanging="160"/>
      </w:pPr>
      <w:rPr>
        <w:rFonts w:hint="default" w:ascii="Times New Roman" w:hAnsi="Times New Roman" w:eastAsia="Times New Roman" w:cs="Times New Roman"/>
        <w:w w:val="100"/>
        <w:sz w:val="19"/>
        <w:szCs w:val="19"/>
      </w:rPr>
    </w:lvl>
    <w:lvl w:ilvl="1" w:tentative="0">
      <w:start w:val="0"/>
      <w:numFmt w:val="bullet"/>
      <w:lvlText w:val="•"/>
      <w:lvlJc w:val="left"/>
      <w:pPr>
        <w:ind w:left="751" w:hanging="160"/>
      </w:pPr>
      <w:rPr>
        <w:rFonts w:hint="default"/>
      </w:rPr>
    </w:lvl>
    <w:lvl w:ilvl="2" w:tentative="0">
      <w:start w:val="0"/>
      <w:numFmt w:val="bullet"/>
      <w:lvlText w:val="•"/>
      <w:lvlJc w:val="left"/>
      <w:pPr>
        <w:ind w:left="1402" w:hanging="160"/>
      </w:pPr>
      <w:rPr>
        <w:rFonts w:hint="default"/>
      </w:rPr>
    </w:lvl>
    <w:lvl w:ilvl="3" w:tentative="0">
      <w:start w:val="0"/>
      <w:numFmt w:val="bullet"/>
      <w:lvlText w:val="•"/>
      <w:lvlJc w:val="left"/>
      <w:pPr>
        <w:ind w:left="2054" w:hanging="160"/>
      </w:pPr>
      <w:rPr>
        <w:rFonts w:hint="default"/>
      </w:rPr>
    </w:lvl>
    <w:lvl w:ilvl="4" w:tentative="0">
      <w:start w:val="0"/>
      <w:numFmt w:val="bullet"/>
      <w:lvlText w:val="•"/>
      <w:lvlJc w:val="left"/>
      <w:pPr>
        <w:ind w:left="2705" w:hanging="160"/>
      </w:pPr>
      <w:rPr>
        <w:rFonts w:hint="default"/>
      </w:rPr>
    </w:lvl>
    <w:lvl w:ilvl="5" w:tentative="0">
      <w:start w:val="0"/>
      <w:numFmt w:val="bullet"/>
      <w:lvlText w:val="•"/>
      <w:lvlJc w:val="left"/>
      <w:pPr>
        <w:ind w:left="3356" w:hanging="160"/>
      </w:pPr>
      <w:rPr>
        <w:rFonts w:hint="default"/>
      </w:rPr>
    </w:lvl>
    <w:lvl w:ilvl="6" w:tentative="0">
      <w:start w:val="0"/>
      <w:numFmt w:val="bullet"/>
      <w:lvlText w:val="•"/>
      <w:lvlJc w:val="left"/>
      <w:pPr>
        <w:ind w:left="4008" w:hanging="160"/>
      </w:pPr>
      <w:rPr>
        <w:rFonts w:hint="default"/>
      </w:rPr>
    </w:lvl>
    <w:lvl w:ilvl="7" w:tentative="0">
      <w:start w:val="0"/>
      <w:numFmt w:val="bullet"/>
      <w:lvlText w:val="•"/>
      <w:lvlJc w:val="left"/>
      <w:pPr>
        <w:ind w:left="4659" w:hanging="160"/>
      </w:pPr>
      <w:rPr>
        <w:rFonts w:hint="default"/>
      </w:rPr>
    </w:lvl>
    <w:lvl w:ilvl="8" w:tentative="0">
      <w:start w:val="0"/>
      <w:numFmt w:val="bullet"/>
      <w:lvlText w:val="•"/>
      <w:lvlJc w:val="left"/>
      <w:pPr>
        <w:ind w:left="5310" w:hanging="160"/>
      </w:pPr>
      <w:rPr>
        <w:rFonts w:hint="default"/>
      </w:rPr>
    </w:lvl>
  </w:abstractNum>
  <w:abstractNum w:abstractNumId="1">
    <w:nsid w:val="8CAEB125"/>
    <w:multiLevelType w:val="multilevel"/>
    <w:tmpl w:val="8CAEB125"/>
    <w:lvl w:ilvl="0" w:tentative="0">
      <w:start w:val="1"/>
      <w:numFmt w:val="lowerLetter"/>
      <w:lvlText w:val="%1."/>
      <w:lvlJc w:val="left"/>
      <w:pPr>
        <w:ind w:left="104" w:hanging="148"/>
      </w:pPr>
      <w:rPr>
        <w:rFonts w:hint="default" w:ascii="Times New Roman" w:hAnsi="Times New Roman" w:eastAsia="Times New Roman" w:cs="Times New Roman"/>
        <w:spacing w:val="-1"/>
        <w:w w:val="100"/>
        <w:sz w:val="19"/>
        <w:szCs w:val="19"/>
      </w:rPr>
    </w:lvl>
    <w:lvl w:ilvl="1" w:tentative="0">
      <w:start w:val="0"/>
      <w:numFmt w:val="bullet"/>
      <w:lvlText w:val="•"/>
      <w:lvlJc w:val="left"/>
      <w:pPr>
        <w:ind w:left="751" w:hanging="148"/>
      </w:pPr>
      <w:rPr>
        <w:rFonts w:hint="default"/>
      </w:rPr>
    </w:lvl>
    <w:lvl w:ilvl="2" w:tentative="0">
      <w:start w:val="0"/>
      <w:numFmt w:val="bullet"/>
      <w:lvlText w:val="•"/>
      <w:lvlJc w:val="left"/>
      <w:pPr>
        <w:ind w:left="1402" w:hanging="148"/>
      </w:pPr>
      <w:rPr>
        <w:rFonts w:hint="default"/>
      </w:rPr>
    </w:lvl>
    <w:lvl w:ilvl="3" w:tentative="0">
      <w:start w:val="0"/>
      <w:numFmt w:val="bullet"/>
      <w:lvlText w:val="•"/>
      <w:lvlJc w:val="left"/>
      <w:pPr>
        <w:ind w:left="2054" w:hanging="148"/>
      </w:pPr>
      <w:rPr>
        <w:rFonts w:hint="default"/>
      </w:rPr>
    </w:lvl>
    <w:lvl w:ilvl="4" w:tentative="0">
      <w:start w:val="0"/>
      <w:numFmt w:val="bullet"/>
      <w:lvlText w:val="•"/>
      <w:lvlJc w:val="left"/>
      <w:pPr>
        <w:ind w:left="2705" w:hanging="148"/>
      </w:pPr>
      <w:rPr>
        <w:rFonts w:hint="default"/>
      </w:rPr>
    </w:lvl>
    <w:lvl w:ilvl="5" w:tentative="0">
      <w:start w:val="0"/>
      <w:numFmt w:val="bullet"/>
      <w:lvlText w:val="•"/>
      <w:lvlJc w:val="left"/>
      <w:pPr>
        <w:ind w:left="3356" w:hanging="148"/>
      </w:pPr>
      <w:rPr>
        <w:rFonts w:hint="default"/>
      </w:rPr>
    </w:lvl>
    <w:lvl w:ilvl="6" w:tentative="0">
      <w:start w:val="0"/>
      <w:numFmt w:val="bullet"/>
      <w:lvlText w:val="•"/>
      <w:lvlJc w:val="left"/>
      <w:pPr>
        <w:ind w:left="4008" w:hanging="148"/>
      </w:pPr>
      <w:rPr>
        <w:rFonts w:hint="default"/>
      </w:rPr>
    </w:lvl>
    <w:lvl w:ilvl="7" w:tentative="0">
      <w:start w:val="0"/>
      <w:numFmt w:val="bullet"/>
      <w:lvlText w:val="•"/>
      <w:lvlJc w:val="left"/>
      <w:pPr>
        <w:ind w:left="4659" w:hanging="148"/>
      </w:pPr>
      <w:rPr>
        <w:rFonts w:hint="default"/>
      </w:rPr>
    </w:lvl>
    <w:lvl w:ilvl="8" w:tentative="0">
      <w:start w:val="0"/>
      <w:numFmt w:val="bullet"/>
      <w:lvlText w:val="•"/>
      <w:lvlJc w:val="left"/>
      <w:pPr>
        <w:ind w:left="5310" w:hanging="148"/>
      </w:pPr>
      <w:rPr>
        <w:rFonts w:hint="default"/>
      </w:rPr>
    </w:lvl>
  </w:abstractNum>
  <w:abstractNum w:abstractNumId="2">
    <w:nsid w:val="323194D0"/>
    <w:multiLevelType w:val="multilevel"/>
    <w:tmpl w:val="323194D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4C3D7A74"/>
    <w:multiLevelType w:val="multilevel"/>
    <w:tmpl w:val="4C3D7A74"/>
    <w:lvl w:ilvl="0" w:tentative="0">
      <w:start w:val="1"/>
      <w:numFmt w:val="lowerLetter"/>
      <w:lvlText w:val="%1."/>
      <w:lvlJc w:val="left"/>
      <w:pPr>
        <w:ind w:left="104" w:hanging="148"/>
      </w:pPr>
      <w:rPr>
        <w:rFonts w:hint="default" w:ascii="Times New Roman" w:hAnsi="Times New Roman" w:eastAsia="Times New Roman" w:cs="Times New Roman"/>
        <w:spacing w:val="-1"/>
        <w:w w:val="100"/>
        <w:sz w:val="19"/>
        <w:szCs w:val="19"/>
      </w:rPr>
    </w:lvl>
    <w:lvl w:ilvl="1" w:tentative="0">
      <w:start w:val="0"/>
      <w:numFmt w:val="bullet"/>
      <w:lvlText w:val="•"/>
      <w:lvlJc w:val="left"/>
      <w:pPr>
        <w:ind w:left="751" w:hanging="148"/>
      </w:pPr>
      <w:rPr>
        <w:rFonts w:hint="default"/>
      </w:rPr>
    </w:lvl>
    <w:lvl w:ilvl="2" w:tentative="0">
      <w:start w:val="0"/>
      <w:numFmt w:val="bullet"/>
      <w:lvlText w:val="•"/>
      <w:lvlJc w:val="left"/>
      <w:pPr>
        <w:ind w:left="1402" w:hanging="148"/>
      </w:pPr>
      <w:rPr>
        <w:rFonts w:hint="default"/>
      </w:rPr>
    </w:lvl>
    <w:lvl w:ilvl="3" w:tentative="0">
      <w:start w:val="0"/>
      <w:numFmt w:val="bullet"/>
      <w:lvlText w:val="•"/>
      <w:lvlJc w:val="left"/>
      <w:pPr>
        <w:ind w:left="2054" w:hanging="148"/>
      </w:pPr>
      <w:rPr>
        <w:rFonts w:hint="default"/>
      </w:rPr>
    </w:lvl>
    <w:lvl w:ilvl="4" w:tentative="0">
      <w:start w:val="0"/>
      <w:numFmt w:val="bullet"/>
      <w:lvlText w:val="•"/>
      <w:lvlJc w:val="left"/>
      <w:pPr>
        <w:ind w:left="2705" w:hanging="148"/>
      </w:pPr>
      <w:rPr>
        <w:rFonts w:hint="default"/>
      </w:rPr>
    </w:lvl>
    <w:lvl w:ilvl="5" w:tentative="0">
      <w:start w:val="0"/>
      <w:numFmt w:val="bullet"/>
      <w:lvlText w:val="•"/>
      <w:lvlJc w:val="left"/>
      <w:pPr>
        <w:ind w:left="3356" w:hanging="148"/>
      </w:pPr>
      <w:rPr>
        <w:rFonts w:hint="default"/>
      </w:rPr>
    </w:lvl>
    <w:lvl w:ilvl="6" w:tentative="0">
      <w:start w:val="0"/>
      <w:numFmt w:val="bullet"/>
      <w:lvlText w:val="•"/>
      <w:lvlJc w:val="left"/>
      <w:pPr>
        <w:ind w:left="4008" w:hanging="148"/>
      </w:pPr>
      <w:rPr>
        <w:rFonts w:hint="default"/>
      </w:rPr>
    </w:lvl>
    <w:lvl w:ilvl="7" w:tentative="0">
      <w:start w:val="0"/>
      <w:numFmt w:val="bullet"/>
      <w:lvlText w:val="•"/>
      <w:lvlJc w:val="left"/>
      <w:pPr>
        <w:ind w:left="4659" w:hanging="148"/>
      </w:pPr>
      <w:rPr>
        <w:rFonts w:hint="default"/>
      </w:rPr>
    </w:lvl>
    <w:lvl w:ilvl="8" w:tentative="0">
      <w:start w:val="0"/>
      <w:numFmt w:val="bullet"/>
      <w:lvlText w:val="•"/>
      <w:lvlJc w:val="left"/>
      <w:pPr>
        <w:ind w:left="5310" w:hanging="148"/>
      </w:pPr>
      <w:rPr>
        <w:rFonts w:hint="default"/>
      </w:rPr>
    </w:lvl>
  </w:abstractNum>
  <w:abstractNum w:abstractNumId="4">
    <w:nsid w:val="65CD0074"/>
    <w:multiLevelType w:val="multilevel"/>
    <w:tmpl w:val="65CD0074"/>
    <w:lvl w:ilvl="0" w:tentative="0">
      <w:start w:val="1"/>
      <w:numFmt w:val="decimal"/>
      <w:lvlText w:val="（%1）"/>
      <w:lvlJc w:val="left"/>
      <w:pPr>
        <w:ind w:left="104" w:hanging="529"/>
      </w:pPr>
      <w:rPr>
        <w:rFonts w:hint="default" w:ascii="宋体" w:hAnsi="宋体" w:eastAsia="宋体" w:cs="宋体"/>
        <w:spacing w:val="-3"/>
        <w:w w:val="100"/>
        <w:sz w:val="19"/>
        <w:szCs w:val="19"/>
      </w:rPr>
    </w:lvl>
    <w:lvl w:ilvl="1" w:tentative="0">
      <w:start w:val="0"/>
      <w:numFmt w:val="bullet"/>
      <w:lvlText w:val="•"/>
      <w:lvlJc w:val="left"/>
      <w:pPr>
        <w:ind w:left="751" w:hanging="529"/>
      </w:pPr>
      <w:rPr>
        <w:rFonts w:hint="default"/>
      </w:rPr>
    </w:lvl>
    <w:lvl w:ilvl="2" w:tentative="0">
      <w:start w:val="0"/>
      <w:numFmt w:val="bullet"/>
      <w:lvlText w:val="•"/>
      <w:lvlJc w:val="left"/>
      <w:pPr>
        <w:ind w:left="1402" w:hanging="529"/>
      </w:pPr>
      <w:rPr>
        <w:rFonts w:hint="default"/>
      </w:rPr>
    </w:lvl>
    <w:lvl w:ilvl="3" w:tentative="0">
      <w:start w:val="0"/>
      <w:numFmt w:val="bullet"/>
      <w:lvlText w:val="•"/>
      <w:lvlJc w:val="left"/>
      <w:pPr>
        <w:ind w:left="2054" w:hanging="529"/>
      </w:pPr>
      <w:rPr>
        <w:rFonts w:hint="default"/>
      </w:rPr>
    </w:lvl>
    <w:lvl w:ilvl="4" w:tentative="0">
      <w:start w:val="0"/>
      <w:numFmt w:val="bullet"/>
      <w:lvlText w:val="•"/>
      <w:lvlJc w:val="left"/>
      <w:pPr>
        <w:ind w:left="2705" w:hanging="529"/>
      </w:pPr>
      <w:rPr>
        <w:rFonts w:hint="default"/>
      </w:rPr>
    </w:lvl>
    <w:lvl w:ilvl="5" w:tentative="0">
      <w:start w:val="0"/>
      <w:numFmt w:val="bullet"/>
      <w:lvlText w:val="•"/>
      <w:lvlJc w:val="left"/>
      <w:pPr>
        <w:ind w:left="3356" w:hanging="529"/>
      </w:pPr>
      <w:rPr>
        <w:rFonts w:hint="default"/>
      </w:rPr>
    </w:lvl>
    <w:lvl w:ilvl="6" w:tentative="0">
      <w:start w:val="0"/>
      <w:numFmt w:val="bullet"/>
      <w:lvlText w:val="•"/>
      <w:lvlJc w:val="left"/>
      <w:pPr>
        <w:ind w:left="4008" w:hanging="529"/>
      </w:pPr>
      <w:rPr>
        <w:rFonts w:hint="default"/>
      </w:rPr>
    </w:lvl>
    <w:lvl w:ilvl="7" w:tentative="0">
      <w:start w:val="0"/>
      <w:numFmt w:val="bullet"/>
      <w:lvlText w:val="•"/>
      <w:lvlJc w:val="left"/>
      <w:pPr>
        <w:ind w:left="4659" w:hanging="529"/>
      </w:pPr>
      <w:rPr>
        <w:rFonts w:hint="default"/>
      </w:rPr>
    </w:lvl>
    <w:lvl w:ilvl="8" w:tentative="0">
      <w:start w:val="0"/>
      <w:numFmt w:val="bullet"/>
      <w:lvlText w:val="•"/>
      <w:lvlJc w:val="left"/>
      <w:pPr>
        <w:ind w:left="5310" w:hanging="529"/>
      </w:pPr>
      <w:rPr>
        <w:rFonts w:hint="default"/>
      </w:rPr>
    </w:lvl>
  </w:abstractNum>
  <w:abstractNum w:abstractNumId="5">
    <w:nsid w:val="74C28B35"/>
    <w:multiLevelType w:val="multilevel"/>
    <w:tmpl w:val="74C28B35"/>
    <w:lvl w:ilvl="0" w:tentative="0">
      <w:start w:val="1"/>
      <w:numFmt w:val="lowerLetter"/>
      <w:lvlText w:val="%1."/>
      <w:lvlJc w:val="left"/>
      <w:pPr>
        <w:ind w:left="104" w:hanging="148"/>
      </w:pPr>
      <w:rPr>
        <w:rFonts w:hint="default" w:ascii="Times New Roman" w:hAnsi="Times New Roman" w:eastAsia="Times New Roman" w:cs="Times New Roman"/>
        <w:spacing w:val="-1"/>
        <w:w w:val="100"/>
        <w:sz w:val="19"/>
        <w:szCs w:val="19"/>
      </w:rPr>
    </w:lvl>
    <w:lvl w:ilvl="1" w:tentative="0">
      <w:start w:val="0"/>
      <w:numFmt w:val="bullet"/>
      <w:lvlText w:val="•"/>
      <w:lvlJc w:val="left"/>
      <w:pPr>
        <w:ind w:left="751" w:hanging="148"/>
      </w:pPr>
      <w:rPr>
        <w:rFonts w:hint="default"/>
      </w:rPr>
    </w:lvl>
    <w:lvl w:ilvl="2" w:tentative="0">
      <w:start w:val="0"/>
      <w:numFmt w:val="bullet"/>
      <w:lvlText w:val="•"/>
      <w:lvlJc w:val="left"/>
      <w:pPr>
        <w:ind w:left="1402" w:hanging="148"/>
      </w:pPr>
      <w:rPr>
        <w:rFonts w:hint="default"/>
      </w:rPr>
    </w:lvl>
    <w:lvl w:ilvl="3" w:tentative="0">
      <w:start w:val="0"/>
      <w:numFmt w:val="bullet"/>
      <w:lvlText w:val="•"/>
      <w:lvlJc w:val="left"/>
      <w:pPr>
        <w:ind w:left="2054" w:hanging="148"/>
      </w:pPr>
      <w:rPr>
        <w:rFonts w:hint="default"/>
      </w:rPr>
    </w:lvl>
    <w:lvl w:ilvl="4" w:tentative="0">
      <w:start w:val="0"/>
      <w:numFmt w:val="bullet"/>
      <w:lvlText w:val="•"/>
      <w:lvlJc w:val="left"/>
      <w:pPr>
        <w:ind w:left="2705" w:hanging="148"/>
      </w:pPr>
      <w:rPr>
        <w:rFonts w:hint="default"/>
      </w:rPr>
    </w:lvl>
    <w:lvl w:ilvl="5" w:tentative="0">
      <w:start w:val="0"/>
      <w:numFmt w:val="bullet"/>
      <w:lvlText w:val="•"/>
      <w:lvlJc w:val="left"/>
      <w:pPr>
        <w:ind w:left="3356" w:hanging="148"/>
      </w:pPr>
      <w:rPr>
        <w:rFonts w:hint="default"/>
      </w:rPr>
    </w:lvl>
    <w:lvl w:ilvl="6" w:tentative="0">
      <w:start w:val="0"/>
      <w:numFmt w:val="bullet"/>
      <w:lvlText w:val="•"/>
      <w:lvlJc w:val="left"/>
      <w:pPr>
        <w:ind w:left="4008" w:hanging="148"/>
      </w:pPr>
      <w:rPr>
        <w:rFonts w:hint="default"/>
      </w:rPr>
    </w:lvl>
    <w:lvl w:ilvl="7" w:tentative="0">
      <w:start w:val="0"/>
      <w:numFmt w:val="bullet"/>
      <w:lvlText w:val="•"/>
      <w:lvlJc w:val="left"/>
      <w:pPr>
        <w:ind w:left="4659" w:hanging="148"/>
      </w:pPr>
      <w:rPr>
        <w:rFonts w:hint="default"/>
      </w:rPr>
    </w:lvl>
    <w:lvl w:ilvl="8" w:tentative="0">
      <w:start w:val="0"/>
      <w:numFmt w:val="bullet"/>
      <w:lvlText w:val="•"/>
      <w:lvlJc w:val="left"/>
      <w:pPr>
        <w:ind w:left="5310" w:hanging="148"/>
      </w:pPr>
      <w:rPr>
        <w:rFont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YzgzM2NlMGEwODhmMWZjNmNiMzg1NzVlYzRmYmEifQ=="/>
  </w:docVars>
  <w:rsids>
    <w:rsidRoot w:val="35E86E79"/>
    <w:rsid w:val="15AC7766"/>
    <w:rsid w:val="35E86E79"/>
    <w:rsid w:val="3C1F4007"/>
    <w:rsid w:val="3DD27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3">
    <w:name w:val="heading 3"/>
    <w:basedOn w:val="1"/>
    <w:next w:val="4"/>
    <w:qFormat/>
    <w:uiPriority w:val="99"/>
    <w:pPr>
      <w:spacing w:after="200" w:line="400" w:lineRule="exact"/>
      <w:outlineLvl w:val="2"/>
    </w:pPr>
    <w:rPr>
      <w:rFonts w:eastAsia="黑体"/>
      <w:b/>
      <w:color w:val="000000"/>
      <w:sz w:val="28"/>
      <w:szCs w:val="28"/>
    </w:rPr>
  </w:style>
  <w:style w:type="paragraph" w:styleId="5">
    <w:name w:val="heading 4"/>
    <w:basedOn w:val="2"/>
    <w:next w:val="4"/>
    <w:qFormat/>
    <w:uiPriority w:val="99"/>
    <w:pPr>
      <w:spacing w:before="240" w:after="240" w:line="240" w:lineRule="atLeast"/>
      <w:jc w:val="left"/>
      <w:outlineLvl w:val="3"/>
    </w:pPr>
    <w:rPr>
      <w:rFonts w:eastAsia="黑体"/>
      <w:b w:val="0"/>
      <w:color w:val="000000"/>
      <w:sz w:val="24"/>
      <w:szCs w:val="24"/>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autoSpaceDN/>
      <w:ind w:firstLine="420" w:firstLineChars="200"/>
      <w:jc w:val="both"/>
    </w:pPr>
    <w:rPr>
      <w:rFonts w:ascii="Times New Roman" w:hAnsi="Times New Roman" w:cs="Times New Roman"/>
      <w:kern w:val="2"/>
      <w:szCs w:val="24"/>
    </w:rPr>
  </w:style>
  <w:style w:type="paragraph" w:styleId="6">
    <w:name w:val="Body Text"/>
    <w:basedOn w:val="1"/>
    <w:next w:val="1"/>
    <w:semiHidden/>
    <w:qFormat/>
    <w:uiPriority w:val="0"/>
  </w:style>
  <w:style w:type="paragraph" w:styleId="7">
    <w:name w:val="footer"/>
    <w:basedOn w:val="1"/>
    <w:qFormat/>
    <w:uiPriority w:val="99"/>
    <w:pPr>
      <w:tabs>
        <w:tab w:val="center" w:pos="4153"/>
        <w:tab w:val="right" w:pos="8306"/>
      </w:tabs>
    </w:pPr>
    <w:rPr>
      <w:sz w:val="18"/>
      <w:szCs w:val="18"/>
    </w:rPr>
  </w:style>
  <w:style w:type="paragraph" w:customStyle="1" w:styleId="10">
    <w:name w:val="Table Text"/>
    <w:basedOn w:val="1"/>
    <w:autoRedefine/>
    <w:semiHidden/>
    <w:qFormat/>
    <w:uiPriority w:val="0"/>
    <w:rPr>
      <w:rFonts w:ascii="宋体" w:hAnsi="宋体" w:eastAsia="宋体" w:cs="宋体"/>
      <w:sz w:val="22"/>
      <w:szCs w:val="22"/>
    </w:rPr>
  </w:style>
  <w:style w:type="table" w:customStyle="1" w:styleId="1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2023-12-19T07:15:00Z</dcterms:created>
  <dc:creator>熊小嗨</dc:creator>
  <cp:lastModifiedBy>熊小嗨</cp:lastModifiedBy>
  <dcterms:modified xsi:type="dcterms:W3CDTF">2023-12-19T08:08:10Z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1915E60EE4E544478A42CAE5694EDBE0_11</vt:lpwstr>
  </property>
</Properties>
</file>