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3768A">
      <w:pPr>
        <w:pStyle w:val="2"/>
        <w:ind w:left="674"/>
        <w:jc w:val="center"/>
        <w:outlineLvl w:val="0"/>
      </w:pPr>
      <w:bookmarkStart w:id="0" w:name="_Toc9531"/>
      <w:r>
        <w:rPr>
          <w:spacing w:val="-1"/>
        </w:rPr>
        <w:t>评标办法</w:t>
      </w:r>
      <w:r>
        <w:t>（双信封形式综合评</w:t>
      </w:r>
      <w:r>
        <w:rPr>
          <w:rFonts w:hint="eastAsia"/>
          <w:lang w:val="en-US" w:eastAsia="zh-CN"/>
        </w:rPr>
        <w:t>分</w:t>
      </w:r>
      <w:r>
        <w:t>法</w:t>
      </w:r>
      <w:r>
        <w:rPr>
          <w:spacing w:val="-10"/>
        </w:rPr>
        <w:t>）</w:t>
      </w:r>
      <w:bookmarkEnd w:id="0"/>
    </w:p>
    <w:p w14:paraId="6BFA61D5">
      <w:pPr>
        <w:pStyle w:val="5"/>
        <w:ind w:left="338"/>
        <w:outlineLvl w:val="1"/>
      </w:pPr>
      <w:bookmarkStart w:id="1" w:name="评标办法前附表"/>
      <w:bookmarkEnd w:id="1"/>
      <w:bookmarkStart w:id="2" w:name="_Toc29677"/>
      <w:r>
        <w:rPr>
          <w:spacing w:val="-2"/>
        </w:rPr>
        <w:t>评标办法前附表①</w:t>
      </w:r>
      <w:bookmarkEnd w:id="2"/>
    </w:p>
    <w:p w14:paraId="57D7B0EC">
      <w:pPr>
        <w:pStyle w:val="6"/>
        <w:spacing w:before="3"/>
        <w:rPr>
          <w:rFonts w:ascii="Microsoft JhengHei"/>
          <w:b/>
          <w:sz w:val="12"/>
        </w:rPr>
      </w:pPr>
    </w:p>
    <w:tbl>
      <w:tblPr>
        <w:tblStyle w:val="11"/>
        <w:tblW w:w="0" w:type="auto"/>
        <w:tblInd w:w="34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8"/>
        <w:gridCol w:w="1135"/>
        <w:gridCol w:w="1985"/>
        <w:gridCol w:w="5353"/>
      </w:tblGrid>
      <w:tr w14:paraId="2E7CF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38" w:hRule="atLeast"/>
        </w:trPr>
        <w:tc>
          <w:tcPr>
            <w:tcW w:w="1843" w:type="dxa"/>
            <w:gridSpan w:val="2"/>
            <w:tcBorders>
              <w:bottom w:val="single" w:color="000000" w:sz="2" w:space="0"/>
              <w:right w:val="single" w:color="000000" w:sz="2" w:space="0"/>
            </w:tcBorders>
          </w:tcPr>
          <w:p w14:paraId="3BEDDC6B">
            <w:pPr>
              <w:pStyle w:val="13"/>
              <w:spacing w:before="142"/>
              <w:ind w:left="604"/>
              <w:rPr>
                <w:sz w:val="21"/>
              </w:rPr>
            </w:pPr>
            <w:r>
              <w:rPr>
                <w:spacing w:val="-4"/>
                <w:sz w:val="21"/>
              </w:rPr>
              <w:t>条款号</w:t>
            </w:r>
          </w:p>
        </w:tc>
        <w:tc>
          <w:tcPr>
            <w:tcW w:w="1985" w:type="dxa"/>
            <w:tcBorders>
              <w:left w:val="single" w:color="000000" w:sz="2" w:space="0"/>
              <w:bottom w:val="single" w:color="000000" w:sz="2" w:space="0"/>
              <w:right w:val="single" w:color="000000" w:sz="2" w:space="0"/>
            </w:tcBorders>
          </w:tcPr>
          <w:p w14:paraId="61753E2F">
            <w:pPr>
              <w:pStyle w:val="13"/>
              <w:spacing w:before="142"/>
              <w:ind w:left="21" w:right="2"/>
              <w:jc w:val="center"/>
              <w:rPr>
                <w:sz w:val="21"/>
              </w:rPr>
            </w:pPr>
            <w:r>
              <w:rPr>
                <w:spacing w:val="-4"/>
                <w:sz w:val="21"/>
              </w:rPr>
              <w:t>评审因素</w:t>
            </w:r>
          </w:p>
        </w:tc>
        <w:tc>
          <w:tcPr>
            <w:tcW w:w="5353" w:type="dxa"/>
            <w:tcBorders>
              <w:left w:val="single" w:color="000000" w:sz="2" w:space="0"/>
              <w:bottom w:val="single" w:color="000000" w:sz="2" w:space="0"/>
            </w:tcBorders>
          </w:tcPr>
          <w:p w14:paraId="66EED0BA">
            <w:pPr>
              <w:pStyle w:val="13"/>
              <w:spacing w:before="142"/>
              <w:ind w:left="30"/>
              <w:jc w:val="center"/>
              <w:rPr>
                <w:sz w:val="21"/>
              </w:rPr>
            </w:pPr>
            <w:r>
              <w:rPr>
                <w:spacing w:val="-4"/>
                <w:sz w:val="21"/>
              </w:rPr>
              <w:t>评审标准</w:t>
            </w:r>
          </w:p>
        </w:tc>
      </w:tr>
      <w:tr w14:paraId="032DE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708" w:type="dxa"/>
            <w:vMerge w:val="restart"/>
            <w:tcBorders>
              <w:top w:val="single" w:color="000000" w:sz="2" w:space="0"/>
              <w:bottom w:val="single" w:color="000000" w:sz="2" w:space="0"/>
              <w:right w:val="single" w:color="000000" w:sz="2" w:space="0"/>
            </w:tcBorders>
          </w:tcPr>
          <w:p w14:paraId="5C5BE09A">
            <w:pPr>
              <w:pStyle w:val="13"/>
              <w:rPr>
                <w:rFonts w:ascii="Microsoft JhengHei"/>
                <w:b/>
                <w:sz w:val="21"/>
              </w:rPr>
            </w:pPr>
          </w:p>
          <w:p w14:paraId="325C950F">
            <w:pPr>
              <w:pStyle w:val="13"/>
              <w:rPr>
                <w:rFonts w:ascii="Microsoft JhengHei"/>
                <w:b/>
                <w:sz w:val="21"/>
              </w:rPr>
            </w:pPr>
          </w:p>
          <w:p w14:paraId="5A52B3AF">
            <w:pPr>
              <w:pStyle w:val="13"/>
              <w:rPr>
                <w:rFonts w:ascii="Microsoft JhengHei"/>
                <w:b/>
                <w:sz w:val="21"/>
              </w:rPr>
            </w:pPr>
          </w:p>
          <w:p w14:paraId="61397E5C">
            <w:pPr>
              <w:pStyle w:val="13"/>
              <w:spacing w:before="385"/>
              <w:rPr>
                <w:rFonts w:ascii="Microsoft JhengHei"/>
                <w:b/>
                <w:sz w:val="21"/>
              </w:rPr>
            </w:pPr>
          </w:p>
          <w:p w14:paraId="7DB2C5A2">
            <w:pPr>
              <w:pStyle w:val="13"/>
              <w:ind w:left="143"/>
              <w:rPr>
                <w:rFonts w:ascii="Times New Roman"/>
                <w:sz w:val="21"/>
              </w:rPr>
            </w:pPr>
            <w:r>
              <w:rPr>
                <w:rFonts w:hint="default" w:ascii="Times New Roman" w:hAnsi="Times New Roman" w:cs="Times New Roman"/>
                <w:spacing w:val="-2"/>
                <w:sz w:val="21"/>
              </w:rPr>
              <w:t>2</w:t>
            </w:r>
            <w:r>
              <w:rPr>
                <w:rFonts w:ascii="Times New Roman"/>
                <w:spacing w:val="-2"/>
                <w:sz w:val="21"/>
              </w:rPr>
              <w:t>.</w:t>
            </w:r>
            <w:r>
              <w:rPr>
                <w:rFonts w:hint="default" w:ascii="Times New Roman" w:hAnsi="Times New Roman" w:cs="Times New Roman"/>
                <w:spacing w:val="-2"/>
                <w:sz w:val="21"/>
              </w:rPr>
              <w:t>1</w:t>
            </w:r>
            <w:r>
              <w:rPr>
                <w:rFonts w:ascii="Times New Roman"/>
                <w:spacing w:val="-2"/>
                <w:sz w:val="21"/>
              </w:rPr>
              <w:t>.</w:t>
            </w:r>
            <w:r>
              <w:rPr>
                <w:rFonts w:hint="default" w:ascii="Times New Roman" w:hAnsi="Times New Roman" w:cs="Times New Roman"/>
                <w:spacing w:val="-2"/>
                <w:sz w:val="21"/>
              </w:rPr>
              <w:t>1</w:t>
            </w:r>
          </w:p>
        </w:tc>
        <w:tc>
          <w:tcPr>
            <w:tcW w:w="1135" w:type="dxa"/>
            <w:vMerge w:val="restart"/>
            <w:tcBorders>
              <w:top w:val="single" w:color="000000" w:sz="2" w:space="0"/>
              <w:left w:val="single" w:color="000000" w:sz="2" w:space="0"/>
              <w:bottom w:val="single" w:color="000000" w:sz="2" w:space="0"/>
              <w:right w:val="single" w:color="000000" w:sz="2" w:space="0"/>
            </w:tcBorders>
          </w:tcPr>
          <w:p w14:paraId="5B8BE565">
            <w:pPr>
              <w:pStyle w:val="13"/>
              <w:rPr>
                <w:rFonts w:ascii="Microsoft JhengHei"/>
                <w:b/>
                <w:sz w:val="21"/>
              </w:rPr>
            </w:pPr>
          </w:p>
          <w:p w14:paraId="4919DDEF">
            <w:pPr>
              <w:pStyle w:val="13"/>
              <w:rPr>
                <w:rFonts w:ascii="Microsoft JhengHei"/>
                <w:b/>
                <w:sz w:val="21"/>
              </w:rPr>
            </w:pPr>
          </w:p>
          <w:p w14:paraId="490DB24C">
            <w:pPr>
              <w:pStyle w:val="13"/>
              <w:spacing w:before="318"/>
              <w:rPr>
                <w:rFonts w:ascii="Microsoft JhengHei"/>
                <w:b/>
                <w:sz w:val="21"/>
              </w:rPr>
            </w:pPr>
          </w:p>
          <w:p w14:paraId="410747D7">
            <w:pPr>
              <w:pStyle w:val="13"/>
              <w:spacing w:line="391" w:lineRule="auto"/>
              <w:ind w:left="153" w:right="132"/>
              <w:jc w:val="center"/>
              <w:rPr>
                <w:sz w:val="21"/>
              </w:rPr>
            </w:pPr>
            <w:r>
              <w:rPr>
                <w:spacing w:val="-4"/>
                <w:sz w:val="21"/>
              </w:rPr>
              <w:t>投标文件形式评审</w:t>
            </w:r>
            <w:r>
              <w:rPr>
                <w:spacing w:val="-6"/>
                <w:sz w:val="21"/>
              </w:rPr>
              <w:t>标准</w:t>
            </w:r>
          </w:p>
        </w:tc>
        <w:tc>
          <w:tcPr>
            <w:tcW w:w="1985" w:type="dxa"/>
            <w:tcBorders>
              <w:top w:val="single" w:color="000000" w:sz="2" w:space="0"/>
              <w:left w:val="single" w:color="000000" w:sz="2" w:space="0"/>
              <w:bottom w:val="single" w:color="000000" w:sz="2" w:space="0"/>
              <w:right w:val="single" w:color="000000" w:sz="2" w:space="0"/>
            </w:tcBorders>
          </w:tcPr>
          <w:p w14:paraId="75FADA74">
            <w:pPr>
              <w:pStyle w:val="13"/>
              <w:spacing w:before="142"/>
              <w:ind w:left="21" w:right="2"/>
              <w:jc w:val="center"/>
              <w:rPr>
                <w:sz w:val="21"/>
              </w:rPr>
            </w:pPr>
            <w:r>
              <w:rPr>
                <w:spacing w:val="-4"/>
                <w:sz w:val="21"/>
              </w:rPr>
              <w:t>投标人名称</w:t>
            </w:r>
          </w:p>
        </w:tc>
        <w:tc>
          <w:tcPr>
            <w:tcW w:w="5353" w:type="dxa"/>
            <w:tcBorders>
              <w:top w:val="single" w:color="000000" w:sz="2" w:space="0"/>
              <w:left w:val="single" w:color="000000" w:sz="2" w:space="0"/>
              <w:bottom w:val="single" w:color="000000" w:sz="2" w:space="0"/>
            </w:tcBorders>
          </w:tcPr>
          <w:p w14:paraId="54EBC6CD">
            <w:pPr>
              <w:pStyle w:val="13"/>
              <w:spacing w:before="142"/>
              <w:ind w:left="115"/>
              <w:rPr>
                <w:sz w:val="21"/>
              </w:rPr>
            </w:pPr>
            <w:r>
              <w:rPr>
                <w:spacing w:val="-4"/>
                <w:sz w:val="21"/>
              </w:rPr>
              <w:t>与营业执照一致。</w:t>
            </w:r>
          </w:p>
        </w:tc>
      </w:tr>
      <w:tr w14:paraId="21A1F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9" w:hRule="atLeast"/>
        </w:trPr>
        <w:tc>
          <w:tcPr>
            <w:tcW w:w="708" w:type="dxa"/>
            <w:vMerge w:val="continue"/>
            <w:tcBorders>
              <w:top w:val="nil"/>
              <w:bottom w:val="single" w:color="000000" w:sz="2" w:space="0"/>
              <w:right w:val="single" w:color="000000" w:sz="2" w:space="0"/>
            </w:tcBorders>
          </w:tcPr>
          <w:p w14:paraId="7A657014">
            <w:pPr>
              <w:rPr>
                <w:sz w:val="2"/>
                <w:szCs w:val="2"/>
              </w:rPr>
            </w:pPr>
          </w:p>
        </w:tc>
        <w:tc>
          <w:tcPr>
            <w:tcW w:w="1135" w:type="dxa"/>
            <w:vMerge w:val="continue"/>
            <w:tcBorders>
              <w:top w:val="nil"/>
              <w:left w:val="single" w:color="000000" w:sz="2" w:space="0"/>
              <w:bottom w:val="single" w:color="000000" w:sz="2" w:space="0"/>
              <w:right w:val="single" w:color="000000" w:sz="2" w:space="0"/>
            </w:tcBorders>
          </w:tcPr>
          <w:p w14:paraId="4FF6DD5E">
            <w:pPr>
              <w:rPr>
                <w:sz w:val="2"/>
                <w:szCs w:val="2"/>
              </w:rPr>
            </w:pPr>
          </w:p>
        </w:tc>
        <w:tc>
          <w:tcPr>
            <w:tcW w:w="1985" w:type="dxa"/>
            <w:tcBorders>
              <w:top w:val="single" w:color="000000" w:sz="2" w:space="0"/>
              <w:left w:val="single" w:color="000000" w:sz="2" w:space="0"/>
              <w:bottom w:val="single" w:color="000000" w:sz="2" w:space="0"/>
              <w:right w:val="single" w:color="000000" w:sz="2" w:space="0"/>
            </w:tcBorders>
          </w:tcPr>
          <w:p w14:paraId="03BD5E61">
            <w:pPr>
              <w:pStyle w:val="13"/>
              <w:spacing w:before="195"/>
              <w:rPr>
                <w:rFonts w:ascii="Microsoft JhengHei"/>
                <w:b/>
                <w:sz w:val="21"/>
              </w:rPr>
            </w:pPr>
          </w:p>
          <w:p w14:paraId="44178214">
            <w:pPr>
              <w:pStyle w:val="13"/>
              <w:ind w:left="21" w:right="2"/>
              <w:jc w:val="center"/>
              <w:rPr>
                <w:sz w:val="21"/>
              </w:rPr>
            </w:pPr>
            <w:r>
              <w:rPr>
                <w:spacing w:val="-4"/>
                <w:sz w:val="21"/>
              </w:rPr>
              <w:t>投标文件签字盖章</w:t>
            </w:r>
          </w:p>
        </w:tc>
        <w:tc>
          <w:tcPr>
            <w:tcW w:w="5353" w:type="dxa"/>
            <w:tcBorders>
              <w:top w:val="single" w:color="000000" w:sz="2" w:space="0"/>
              <w:left w:val="single" w:color="000000" w:sz="2" w:space="0"/>
              <w:bottom w:val="single" w:color="000000" w:sz="2" w:space="0"/>
            </w:tcBorders>
          </w:tcPr>
          <w:p w14:paraId="6BA87E9C">
            <w:pPr>
              <w:pStyle w:val="13"/>
              <w:spacing w:line="440" w:lineRule="exact"/>
              <w:ind w:left="115" w:right="-29"/>
              <w:rPr>
                <w:sz w:val="21"/>
              </w:rPr>
            </w:pPr>
            <w:r>
              <w:rPr>
                <w:spacing w:val="1"/>
                <w:w w:val="100"/>
                <w:sz w:val="21"/>
              </w:rPr>
              <w:t>投标文件上法定代表人或其授权代理人的签字、投标人</w:t>
            </w:r>
            <w:r>
              <w:rPr>
                <w:spacing w:val="-5"/>
                <w:w w:val="100"/>
                <w:sz w:val="21"/>
              </w:rPr>
              <w:t>的单位章盖章齐全，符合招标文件第二章“投标人须知”第</w:t>
            </w:r>
            <w:r>
              <w:rPr>
                <w:spacing w:val="-53"/>
                <w:sz w:val="21"/>
              </w:rPr>
              <w:t xml:space="preserve"> </w:t>
            </w:r>
            <w:r>
              <w:rPr>
                <w:rFonts w:hint="default" w:ascii="Times New Roman" w:hAnsi="Times New Roman" w:eastAsia="Times New Roman" w:cs="Times New Roman"/>
                <w:w w:val="100"/>
                <w:sz w:val="21"/>
              </w:rPr>
              <w:t>3</w:t>
            </w:r>
            <w:r>
              <w:rPr>
                <w:rFonts w:ascii="Times New Roman" w:hAnsi="Times New Roman" w:eastAsia="Times New Roman"/>
                <w:w w:val="100"/>
                <w:sz w:val="21"/>
              </w:rPr>
              <w:t>.</w:t>
            </w:r>
            <w:r>
              <w:rPr>
                <w:rFonts w:hint="default" w:ascii="Times New Roman" w:hAnsi="Times New Roman" w:eastAsia="Times New Roman" w:cs="Times New Roman"/>
                <w:w w:val="100"/>
                <w:sz w:val="21"/>
              </w:rPr>
              <w:t>7</w:t>
            </w:r>
            <w:r>
              <w:rPr>
                <w:rFonts w:ascii="Times New Roman" w:hAnsi="Times New Roman" w:eastAsia="Times New Roman"/>
                <w:spacing w:val="-3"/>
                <w:w w:val="100"/>
                <w:sz w:val="21"/>
              </w:rPr>
              <w:t>.</w:t>
            </w:r>
            <w:r>
              <w:rPr>
                <w:rFonts w:hint="default" w:ascii="Times New Roman" w:hAnsi="Times New Roman" w:eastAsia="Times New Roman" w:cs="Times New Roman"/>
                <w:w w:val="100"/>
                <w:sz w:val="21"/>
              </w:rPr>
              <w:t>3</w:t>
            </w:r>
            <w:r>
              <w:rPr>
                <w:rFonts w:ascii="Times New Roman" w:hAnsi="Times New Roman" w:eastAsia="Times New Roman"/>
                <w:sz w:val="21"/>
              </w:rPr>
              <w:t xml:space="preserve"> </w:t>
            </w:r>
            <w:r>
              <w:rPr>
                <w:spacing w:val="-3"/>
                <w:w w:val="100"/>
                <w:sz w:val="21"/>
              </w:rPr>
              <w:t>项规定。</w:t>
            </w:r>
          </w:p>
        </w:tc>
      </w:tr>
      <w:tr w14:paraId="6FA22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 w:hRule="atLeast"/>
        </w:trPr>
        <w:tc>
          <w:tcPr>
            <w:tcW w:w="708" w:type="dxa"/>
            <w:vMerge w:val="continue"/>
            <w:tcBorders>
              <w:top w:val="nil"/>
              <w:bottom w:val="single" w:color="000000" w:sz="2" w:space="0"/>
              <w:right w:val="single" w:color="000000" w:sz="2" w:space="0"/>
            </w:tcBorders>
          </w:tcPr>
          <w:p w14:paraId="5311469E">
            <w:pPr>
              <w:rPr>
                <w:sz w:val="2"/>
                <w:szCs w:val="2"/>
              </w:rPr>
            </w:pPr>
          </w:p>
        </w:tc>
        <w:tc>
          <w:tcPr>
            <w:tcW w:w="1135" w:type="dxa"/>
            <w:vMerge w:val="continue"/>
            <w:tcBorders>
              <w:top w:val="nil"/>
              <w:left w:val="single" w:color="000000" w:sz="2" w:space="0"/>
              <w:bottom w:val="single" w:color="000000" w:sz="2" w:space="0"/>
              <w:right w:val="single" w:color="000000" w:sz="2" w:space="0"/>
            </w:tcBorders>
          </w:tcPr>
          <w:p w14:paraId="481926DF">
            <w:pPr>
              <w:rPr>
                <w:sz w:val="2"/>
                <w:szCs w:val="2"/>
              </w:rPr>
            </w:pPr>
          </w:p>
        </w:tc>
        <w:tc>
          <w:tcPr>
            <w:tcW w:w="1985" w:type="dxa"/>
            <w:tcBorders>
              <w:top w:val="single" w:color="000000" w:sz="2" w:space="0"/>
              <w:left w:val="single" w:color="000000" w:sz="2" w:space="0"/>
              <w:bottom w:val="single" w:color="000000" w:sz="2" w:space="0"/>
              <w:right w:val="single" w:color="000000" w:sz="2" w:space="0"/>
            </w:tcBorders>
          </w:tcPr>
          <w:p w14:paraId="0E57B546">
            <w:pPr>
              <w:pStyle w:val="13"/>
              <w:spacing w:before="142"/>
              <w:ind w:left="21"/>
              <w:jc w:val="center"/>
              <w:rPr>
                <w:sz w:val="21"/>
              </w:rPr>
            </w:pPr>
            <w:r>
              <w:rPr>
                <w:spacing w:val="-4"/>
                <w:sz w:val="21"/>
              </w:rPr>
              <w:t>投标文件格式</w:t>
            </w:r>
          </w:p>
        </w:tc>
        <w:tc>
          <w:tcPr>
            <w:tcW w:w="5353" w:type="dxa"/>
            <w:tcBorders>
              <w:top w:val="single" w:color="000000" w:sz="2" w:space="0"/>
              <w:left w:val="single" w:color="000000" w:sz="2" w:space="0"/>
              <w:bottom w:val="single" w:color="000000" w:sz="2" w:space="0"/>
            </w:tcBorders>
          </w:tcPr>
          <w:p w14:paraId="0F0B0438">
            <w:pPr>
              <w:pStyle w:val="13"/>
              <w:spacing w:before="142"/>
              <w:ind w:left="115"/>
              <w:rPr>
                <w:sz w:val="21"/>
              </w:rPr>
            </w:pPr>
            <w:r>
              <w:rPr>
                <w:spacing w:val="-3"/>
                <w:sz w:val="21"/>
              </w:rPr>
              <w:t>符合第六章“投标文件格式”的规定。</w:t>
            </w:r>
          </w:p>
        </w:tc>
      </w:tr>
      <w:tr w14:paraId="18D99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atLeast"/>
        </w:trPr>
        <w:tc>
          <w:tcPr>
            <w:tcW w:w="708" w:type="dxa"/>
            <w:vMerge w:val="continue"/>
            <w:tcBorders>
              <w:top w:val="nil"/>
              <w:bottom w:val="single" w:color="000000" w:sz="2" w:space="0"/>
              <w:right w:val="single" w:color="000000" w:sz="2" w:space="0"/>
            </w:tcBorders>
          </w:tcPr>
          <w:p w14:paraId="3840D77D">
            <w:pPr>
              <w:rPr>
                <w:sz w:val="2"/>
                <w:szCs w:val="2"/>
              </w:rPr>
            </w:pPr>
          </w:p>
        </w:tc>
        <w:tc>
          <w:tcPr>
            <w:tcW w:w="1135" w:type="dxa"/>
            <w:vMerge w:val="continue"/>
            <w:tcBorders>
              <w:top w:val="nil"/>
              <w:left w:val="single" w:color="000000" w:sz="2" w:space="0"/>
              <w:bottom w:val="single" w:color="000000" w:sz="2" w:space="0"/>
              <w:right w:val="single" w:color="000000" w:sz="2" w:space="0"/>
            </w:tcBorders>
          </w:tcPr>
          <w:p w14:paraId="3B4F1667">
            <w:pPr>
              <w:rPr>
                <w:sz w:val="2"/>
                <w:szCs w:val="2"/>
              </w:rPr>
            </w:pPr>
          </w:p>
        </w:tc>
        <w:tc>
          <w:tcPr>
            <w:tcW w:w="1985" w:type="dxa"/>
            <w:tcBorders>
              <w:top w:val="single" w:color="000000" w:sz="2" w:space="0"/>
              <w:left w:val="single" w:color="000000" w:sz="2" w:space="0"/>
              <w:bottom w:val="single" w:color="000000" w:sz="2" w:space="0"/>
              <w:right w:val="single" w:color="000000" w:sz="2" w:space="0"/>
            </w:tcBorders>
          </w:tcPr>
          <w:p w14:paraId="77CD7464">
            <w:pPr>
              <w:pStyle w:val="13"/>
              <w:spacing w:before="143"/>
              <w:ind w:left="21"/>
              <w:jc w:val="center"/>
              <w:rPr>
                <w:sz w:val="21"/>
              </w:rPr>
            </w:pPr>
            <w:r>
              <w:rPr>
                <w:spacing w:val="-4"/>
                <w:sz w:val="21"/>
              </w:rPr>
              <w:t>联合体投标人</w:t>
            </w:r>
          </w:p>
        </w:tc>
        <w:tc>
          <w:tcPr>
            <w:tcW w:w="5353" w:type="dxa"/>
            <w:tcBorders>
              <w:top w:val="single" w:color="000000" w:sz="2" w:space="0"/>
              <w:left w:val="single" w:color="000000" w:sz="2" w:space="0"/>
              <w:bottom w:val="single" w:color="000000" w:sz="2" w:space="0"/>
            </w:tcBorders>
          </w:tcPr>
          <w:p w14:paraId="1FE05A86">
            <w:pPr>
              <w:pStyle w:val="13"/>
              <w:spacing w:before="143"/>
              <w:ind w:left="115"/>
              <w:rPr>
                <w:sz w:val="21"/>
              </w:rPr>
            </w:pPr>
            <w:r>
              <w:rPr>
                <w:spacing w:val="-3"/>
                <w:sz w:val="21"/>
              </w:rPr>
              <w:t>未以联合体形式进行投标。</w:t>
            </w:r>
          </w:p>
        </w:tc>
      </w:tr>
      <w:tr w14:paraId="6BD61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 w:hRule="atLeast"/>
        </w:trPr>
        <w:tc>
          <w:tcPr>
            <w:tcW w:w="708" w:type="dxa"/>
            <w:vMerge w:val="continue"/>
            <w:tcBorders>
              <w:top w:val="nil"/>
              <w:bottom w:val="single" w:color="000000" w:sz="2" w:space="0"/>
              <w:right w:val="single" w:color="000000" w:sz="2" w:space="0"/>
            </w:tcBorders>
          </w:tcPr>
          <w:p w14:paraId="6218FC0D">
            <w:pPr>
              <w:rPr>
                <w:sz w:val="2"/>
                <w:szCs w:val="2"/>
              </w:rPr>
            </w:pPr>
          </w:p>
        </w:tc>
        <w:tc>
          <w:tcPr>
            <w:tcW w:w="1135" w:type="dxa"/>
            <w:vMerge w:val="continue"/>
            <w:tcBorders>
              <w:top w:val="nil"/>
              <w:left w:val="single" w:color="000000" w:sz="2" w:space="0"/>
              <w:bottom w:val="single" w:color="000000" w:sz="2" w:space="0"/>
              <w:right w:val="single" w:color="000000" w:sz="2" w:space="0"/>
            </w:tcBorders>
          </w:tcPr>
          <w:p w14:paraId="296E2C84">
            <w:pPr>
              <w:rPr>
                <w:sz w:val="2"/>
                <w:szCs w:val="2"/>
              </w:rPr>
            </w:pPr>
          </w:p>
        </w:tc>
        <w:tc>
          <w:tcPr>
            <w:tcW w:w="1985" w:type="dxa"/>
            <w:tcBorders>
              <w:top w:val="single" w:color="000000" w:sz="2" w:space="0"/>
              <w:left w:val="single" w:color="000000" w:sz="2" w:space="0"/>
              <w:bottom w:val="single" w:color="000000" w:sz="2" w:space="0"/>
              <w:right w:val="single" w:color="000000" w:sz="2" w:space="0"/>
            </w:tcBorders>
          </w:tcPr>
          <w:p w14:paraId="70472FC6">
            <w:pPr>
              <w:pStyle w:val="13"/>
              <w:spacing w:before="142"/>
              <w:ind w:left="21"/>
              <w:jc w:val="center"/>
              <w:rPr>
                <w:sz w:val="21"/>
              </w:rPr>
            </w:pPr>
            <w:r>
              <w:rPr>
                <w:spacing w:val="-4"/>
                <w:sz w:val="21"/>
              </w:rPr>
              <w:t>备选投标方案</w:t>
            </w:r>
          </w:p>
        </w:tc>
        <w:tc>
          <w:tcPr>
            <w:tcW w:w="5353" w:type="dxa"/>
            <w:tcBorders>
              <w:top w:val="single" w:color="000000" w:sz="2" w:space="0"/>
              <w:left w:val="single" w:color="000000" w:sz="2" w:space="0"/>
              <w:bottom w:val="single" w:color="000000" w:sz="2" w:space="0"/>
            </w:tcBorders>
          </w:tcPr>
          <w:p w14:paraId="0B345AD5">
            <w:pPr>
              <w:pStyle w:val="13"/>
              <w:spacing w:before="142"/>
              <w:ind w:left="115"/>
              <w:rPr>
                <w:sz w:val="21"/>
              </w:rPr>
            </w:pPr>
            <w:r>
              <w:rPr>
                <w:spacing w:val="-3"/>
                <w:sz w:val="21"/>
              </w:rPr>
              <w:t>投标人未提交备选投标方案。</w:t>
            </w:r>
          </w:p>
        </w:tc>
      </w:tr>
      <w:tr w14:paraId="74953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708" w:type="dxa"/>
            <w:vMerge w:val="continue"/>
            <w:tcBorders>
              <w:top w:val="nil"/>
              <w:bottom w:val="single" w:color="000000" w:sz="2" w:space="0"/>
              <w:right w:val="single" w:color="000000" w:sz="2" w:space="0"/>
            </w:tcBorders>
          </w:tcPr>
          <w:p w14:paraId="7D70FF06">
            <w:pPr>
              <w:rPr>
                <w:sz w:val="2"/>
                <w:szCs w:val="2"/>
              </w:rPr>
            </w:pPr>
          </w:p>
        </w:tc>
        <w:tc>
          <w:tcPr>
            <w:tcW w:w="1135" w:type="dxa"/>
            <w:vMerge w:val="continue"/>
            <w:tcBorders>
              <w:top w:val="nil"/>
              <w:left w:val="single" w:color="000000" w:sz="2" w:space="0"/>
              <w:bottom w:val="single" w:color="000000" w:sz="2" w:space="0"/>
              <w:right w:val="single" w:color="000000" w:sz="2" w:space="0"/>
            </w:tcBorders>
          </w:tcPr>
          <w:p w14:paraId="24788ED3">
            <w:pPr>
              <w:rPr>
                <w:sz w:val="2"/>
                <w:szCs w:val="2"/>
              </w:rPr>
            </w:pPr>
          </w:p>
        </w:tc>
        <w:tc>
          <w:tcPr>
            <w:tcW w:w="1985" w:type="dxa"/>
            <w:tcBorders>
              <w:top w:val="single" w:color="000000" w:sz="2" w:space="0"/>
              <w:left w:val="single" w:color="000000" w:sz="2" w:space="0"/>
              <w:bottom w:val="single" w:color="000000" w:sz="2" w:space="0"/>
              <w:right w:val="single" w:color="000000" w:sz="2" w:space="0"/>
            </w:tcBorders>
          </w:tcPr>
          <w:p w14:paraId="255DF958">
            <w:pPr>
              <w:pStyle w:val="13"/>
              <w:spacing w:before="363"/>
              <w:ind w:left="21"/>
              <w:jc w:val="center"/>
              <w:rPr>
                <w:sz w:val="21"/>
              </w:rPr>
            </w:pPr>
            <w:r>
              <w:rPr>
                <w:spacing w:val="-4"/>
                <w:sz w:val="21"/>
              </w:rPr>
              <w:t>投标文件份数</w:t>
            </w:r>
          </w:p>
        </w:tc>
        <w:tc>
          <w:tcPr>
            <w:tcW w:w="5353" w:type="dxa"/>
            <w:tcBorders>
              <w:top w:val="single" w:color="000000" w:sz="2" w:space="0"/>
              <w:left w:val="single" w:color="000000" w:sz="2" w:space="0"/>
              <w:bottom w:val="single" w:color="000000" w:sz="2" w:space="0"/>
            </w:tcBorders>
          </w:tcPr>
          <w:p w14:paraId="186D8E61">
            <w:pPr>
              <w:pStyle w:val="13"/>
              <w:spacing w:line="440" w:lineRule="exact"/>
              <w:ind w:left="115" w:right="-29"/>
              <w:rPr>
                <w:sz w:val="21"/>
              </w:rPr>
            </w:pPr>
            <w:r>
              <w:rPr>
                <w:spacing w:val="-2"/>
                <w:sz w:val="21"/>
              </w:rPr>
              <w:t>投标文件正、副本数符合招标文件第二章“投标人须知”</w:t>
            </w:r>
            <w:r>
              <w:rPr>
                <w:spacing w:val="-11"/>
                <w:sz w:val="21"/>
              </w:rPr>
              <w:t xml:space="preserve">第 </w:t>
            </w:r>
            <w:r>
              <w:rPr>
                <w:rFonts w:hint="default" w:ascii="Times New Roman" w:hAnsi="Times New Roman" w:eastAsia="Times New Roman" w:cs="Times New Roman"/>
                <w:sz w:val="21"/>
              </w:rPr>
              <w:t>3</w:t>
            </w:r>
            <w:r>
              <w:rPr>
                <w:rFonts w:ascii="Times New Roman" w:hAnsi="Times New Roman" w:eastAsia="Times New Roman"/>
                <w:sz w:val="21"/>
              </w:rPr>
              <w:t>.</w:t>
            </w:r>
            <w:r>
              <w:rPr>
                <w:rFonts w:hint="default" w:ascii="Times New Roman" w:hAnsi="Times New Roman" w:eastAsia="Times New Roman" w:cs="Times New Roman"/>
                <w:sz w:val="21"/>
              </w:rPr>
              <w:t>7</w:t>
            </w:r>
            <w:r>
              <w:rPr>
                <w:rFonts w:ascii="Times New Roman" w:hAnsi="Times New Roman" w:eastAsia="Times New Roman"/>
                <w:sz w:val="21"/>
              </w:rPr>
              <w:t>.</w:t>
            </w:r>
            <w:r>
              <w:rPr>
                <w:rFonts w:hint="default" w:ascii="Times New Roman" w:hAnsi="Times New Roman" w:eastAsia="Times New Roman" w:cs="Times New Roman"/>
                <w:sz w:val="21"/>
              </w:rPr>
              <w:t>5</w:t>
            </w:r>
            <w:r>
              <w:rPr>
                <w:rFonts w:ascii="Times New Roman" w:hAnsi="Times New Roman" w:eastAsia="Times New Roman"/>
                <w:sz w:val="21"/>
              </w:rPr>
              <w:t xml:space="preserve"> </w:t>
            </w:r>
            <w:r>
              <w:rPr>
                <w:sz w:val="21"/>
              </w:rPr>
              <w:t>项规定。</w:t>
            </w:r>
          </w:p>
        </w:tc>
      </w:tr>
      <w:tr w14:paraId="5791D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708" w:type="dxa"/>
            <w:vMerge w:val="restart"/>
            <w:tcBorders>
              <w:top w:val="single" w:color="000000" w:sz="2" w:space="0"/>
              <w:bottom w:val="single" w:color="000000" w:sz="2" w:space="0"/>
              <w:right w:val="single" w:color="000000" w:sz="2" w:space="0"/>
            </w:tcBorders>
          </w:tcPr>
          <w:p w14:paraId="4D3D5515">
            <w:pPr>
              <w:pStyle w:val="13"/>
              <w:rPr>
                <w:rFonts w:ascii="Microsoft JhengHei"/>
                <w:b/>
                <w:sz w:val="21"/>
              </w:rPr>
            </w:pPr>
          </w:p>
          <w:p w14:paraId="1F2E4F86">
            <w:pPr>
              <w:pStyle w:val="13"/>
              <w:spacing w:before="269"/>
              <w:rPr>
                <w:rFonts w:ascii="Microsoft JhengHei"/>
                <w:b/>
                <w:sz w:val="21"/>
              </w:rPr>
            </w:pPr>
          </w:p>
          <w:p w14:paraId="1DCEF9A3">
            <w:pPr>
              <w:pStyle w:val="13"/>
              <w:spacing w:before="1"/>
              <w:ind w:left="143"/>
              <w:rPr>
                <w:rFonts w:ascii="Times New Roman"/>
                <w:sz w:val="21"/>
              </w:rPr>
            </w:pPr>
            <w:r>
              <w:rPr>
                <w:rFonts w:hint="default" w:ascii="Times New Roman" w:hAnsi="Times New Roman" w:cs="Times New Roman"/>
                <w:spacing w:val="-2"/>
                <w:sz w:val="21"/>
              </w:rPr>
              <w:t>2</w:t>
            </w:r>
            <w:r>
              <w:rPr>
                <w:rFonts w:ascii="Times New Roman"/>
                <w:spacing w:val="-2"/>
                <w:sz w:val="21"/>
              </w:rPr>
              <w:t>.</w:t>
            </w:r>
            <w:r>
              <w:rPr>
                <w:rFonts w:hint="default" w:ascii="Times New Roman" w:hAnsi="Times New Roman" w:cs="Times New Roman"/>
                <w:spacing w:val="-2"/>
                <w:sz w:val="21"/>
              </w:rPr>
              <w:t>1</w:t>
            </w:r>
            <w:r>
              <w:rPr>
                <w:rFonts w:ascii="Times New Roman"/>
                <w:spacing w:val="-2"/>
                <w:sz w:val="21"/>
              </w:rPr>
              <w:t>.</w:t>
            </w:r>
            <w:r>
              <w:rPr>
                <w:rFonts w:hint="default" w:ascii="Times New Roman" w:hAnsi="Times New Roman" w:cs="Times New Roman"/>
                <w:spacing w:val="-2"/>
                <w:sz w:val="21"/>
              </w:rPr>
              <w:t>2</w:t>
            </w:r>
          </w:p>
        </w:tc>
        <w:tc>
          <w:tcPr>
            <w:tcW w:w="1135" w:type="dxa"/>
            <w:vMerge w:val="restart"/>
            <w:tcBorders>
              <w:top w:val="single" w:color="000000" w:sz="2" w:space="0"/>
              <w:left w:val="single" w:color="000000" w:sz="2" w:space="0"/>
              <w:bottom w:val="single" w:color="000000" w:sz="2" w:space="0"/>
              <w:right w:val="single" w:color="000000" w:sz="2" w:space="0"/>
            </w:tcBorders>
          </w:tcPr>
          <w:p w14:paraId="226F0102">
            <w:pPr>
              <w:pStyle w:val="13"/>
              <w:spacing w:before="147" w:line="393" w:lineRule="auto"/>
              <w:ind w:left="153" w:right="132"/>
              <w:jc w:val="both"/>
              <w:rPr>
                <w:sz w:val="21"/>
              </w:rPr>
            </w:pPr>
            <w:r>
              <w:rPr>
                <w:spacing w:val="-4"/>
                <w:sz w:val="21"/>
              </w:rPr>
              <w:t>第一个信封（商务及技术文</w:t>
            </w:r>
            <w:r>
              <w:rPr>
                <w:spacing w:val="-2"/>
                <w:sz w:val="21"/>
              </w:rPr>
              <w:t>件）</w:t>
            </w:r>
            <w:r>
              <w:rPr>
                <w:spacing w:val="-6"/>
                <w:sz w:val="21"/>
              </w:rPr>
              <w:t>资格</w:t>
            </w:r>
          </w:p>
          <w:p w14:paraId="4B6A4933">
            <w:pPr>
              <w:pStyle w:val="13"/>
              <w:spacing w:line="264" w:lineRule="exact"/>
              <w:ind w:left="153"/>
              <w:rPr>
                <w:sz w:val="21"/>
              </w:rPr>
            </w:pPr>
            <w:r>
              <w:rPr>
                <w:spacing w:val="-4"/>
                <w:sz w:val="21"/>
              </w:rPr>
              <w:t>评审标准</w:t>
            </w:r>
          </w:p>
        </w:tc>
        <w:tc>
          <w:tcPr>
            <w:tcW w:w="1985" w:type="dxa"/>
            <w:tcBorders>
              <w:top w:val="single" w:color="000000" w:sz="2" w:space="0"/>
              <w:left w:val="single" w:color="000000" w:sz="2" w:space="0"/>
              <w:bottom w:val="single" w:color="000000" w:sz="2" w:space="0"/>
              <w:right w:val="single" w:color="000000" w:sz="2" w:space="0"/>
            </w:tcBorders>
          </w:tcPr>
          <w:p w14:paraId="0DEBC555">
            <w:pPr>
              <w:pStyle w:val="13"/>
              <w:spacing w:before="363"/>
              <w:ind w:left="21" w:right="2"/>
              <w:jc w:val="center"/>
              <w:rPr>
                <w:sz w:val="21"/>
              </w:rPr>
            </w:pPr>
            <w:r>
              <w:rPr>
                <w:spacing w:val="-4"/>
                <w:sz w:val="21"/>
              </w:rPr>
              <w:t>营业执照</w:t>
            </w:r>
          </w:p>
        </w:tc>
        <w:tc>
          <w:tcPr>
            <w:tcW w:w="5353" w:type="dxa"/>
            <w:tcBorders>
              <w:top w:val="single" w:color="000000" w:sz="2" w:space="0"/>
              <w:left w:val="single" w:color="000000" w:sz="2" w:space="0"/>
              <w:bottom w:val="single" w:color="000000" w:sz="2" w:space="0"/>
            </w:tcBorders>
          </w:tcPr>
          <w:p w14:paraId="359960C9">
            <w:pPr>
              <w:pStyle w:val="13"/>
              <w:spacing w:line="440" w:lineRule="exact"/>
              <w:ind w:left="115" w:right="83"/>
              <w:rPr>
                <w:sz w:val="21"/>
              </w:rPr>
            </w:pPr>
            <w:r>
              <w:rPr>
                <w:spacing w:val="-4"/>
                <w:sz w:val="21"/>
              </w:rPr>
              <w:t xml:space="preserve">符合第二章“投标人须知”第 </w:t>
            </w:r>
            <w:r>
              <w:rPr>
                <w:rFonts w:hint="default" w:ascii="Times New Roman" w:hAnsi="Times New Roman" w:eastAsia="Times New Roman" w:cs="Times New Roman"/>
                <w:sz w:val="21"/>
              </w:rPr>
              <w:t>3</w:t>
            </w:r>
            <w:r>
              <w:rPr>
                <w:rFonts w:ascii="Times New Roman" w:hAnsi="Times New Roman" w:eastAsia="Times New Roman"/>
                <w:sz w:val="21"/>
              </w:rPr>
              <w:t>.</w:t>
            </w:r>
            <w:r>
              <w:rPr>
                <w:rFonts w:hint="default" w:ascii="Times New Roman" w:hAnsi="Times New Roman" w:eastAsia="Times New Roman" w:cs="Times New Roman"/>
                <w:sz w:val="21"/>
              </w:rPr>
              <w:t>5</w:t>
            </w:r>
            <w:r>
              <w:rPr>
                <w:rFonts w:ascii="Times New Roman" w:hAnsi="Times New Roman" w:eastAsia="Times New Roman"/>
                <w:sz w:val="21"/>
              </w:rPr>
              <w:t>.</w:t>
            </w:r>
            <w:r>
              <w:rPr>
                <w:rFonts w:hint="default" w:ascii="Times New Roman" w:hAnsi="Times New Roman" w:eastAsia="Times New Roman" w:cs="Times New Roman"/>
                <w:sz w:val="21"/>
              </w:rPr>
              <w:t>1</w:t>
            </w:r>
            <w:r>
              <w:rPr>
                <w:rFonts w:ascii="Times New Roman" w:hAnsi="Times New Roman" w:eastAsia="Times New Roman"/>
                <w:spacing w:val="-14"/>
                <w:sz w:val="21"/>
              </w:rPr>
              <w:t xml:space="preserve"> </w:t>
            </w:r>
            <w:r>
              <w:rPr>
                <w:sz w:val="21"/>
              </w:rPr>
              <w:t>项规定，具备有效的</w:t>
            </w:r>
            <w:r>
              <w:rPr>
                <w:spacing w:val="-2"/>
                <w:sz w:val="21"/>
              </w:rPr>
              <w:t>营业执照。</w:t>
            </w:r>
          </w:p>
        </w:tc>
      </w:tr>
      <w:tr w14:paraId="7D056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9" w:hRule="atLeast"/>
        </w:trPr>
        <w:tc>
          <w:tcPr>
            <w:tcW w:w="708" w:type="dxa"/>
            <w:vMerge w:val="continue"/>
            <w:tcBorders>
              <w:top w:val="nil"/>
              <w:bottom w:val="single" w:color="000000" w:sz="2" w:space="0"/>
              <w:right w:val="single" w:color="000000" w:sz="2" w:space="0"/>
            </w:tcBorders>
          </w:tcPr>
          <w:p w14:paraId="15BCA3FF">
            <w:pPr>
              <w:rPr>
                <w:sz w:val="2"/>
                <w:szCs w:val="2"/>
              </w:rPr>
            </w:pPr>
          </w:p>
        </w:tc>
        <w:tc>
          <w:tcPr>
            <w:tcW w:w="1135" w:type="dxa"/>
            <w:vMerge w:val="continue"/>
            <w:tcBorders>
              <w:top w:val="nil"/>
              <w:left w:val="single" w:color="000000" w:sz="2" w:space="0"/>
              <w:bottom w:val="single" w:color="000000" w:sz="2" w:space="0"/>
              <w:right w:val="single" w:color="000000" w:sz="2" w:space="0"/>
            </w:tcBorders>
          </w:tcPr>
          <w:p w14:paraId="5DBA14EE">
            <w:pPr>
              <w:rPr>
                <w:sz w:val="2"/>
                <w:szCs w:val="2"/>
              </w:rPr>
            </w:pPr>
          </w:p>
        </w:tc>
        <w:tc>
          <w:tcPr>
            <w:tcW w:w="1985" w:type="dxa"/>
            <w:tcBorders>
              <w:top w:val="single" w:color="000000" w:sz="2" w:space="0"/>
              <w:left w:val="single" w:color="000000" w:sz="2" w:space="0"/>
              <w:bottom w:val="single" w:color="000000" w:sz="2" w:space="0"/>
              <w:right w:val="single" w:color="000000" w:sz="2" w:space="0"/>
            </w:tcBorders>
          </w:tcPr>
          <w:p w14:paraId="31BA8359">
            <w:pPr>
              <w:pStyle w:val="13"/>
              <w:spacing w:before="142"/>
              <w:ind w:left="21"/>
              <w:jc w:val="center"/>
              <w:rPr>
                <w:sz w:val="21"/>
              </w:rPr>
            </w:pPr>
            <w:r>
              <w:rPr>
                <w:spacing w:val="-4"/>
                <w:sz w:val="21"/>
              </w:rPr>
              <w:t>投标人的资格</w:t>
            </w:r>
          </w:p>
        </w:tc>
        <w:tc>
          <w:tcPr>
            <w:tcW w:w="5353" w:type="dxa"/>
            <w:tcBorders>
              <w:top w:val="single" w:color="000000" w:sz="2" w:space="0"/>
              <w:left w:val="single" w:color="000000" w:sz="2" w:space="0"/>
              <w:bottom w:val="single" w:color="000000" w:sz="2" w:space="0"/>
            </w:tcBorders>
          </w:tcPr>
          <w:p w14:paraId="52F7A53C">
            <w:pPr>
              <w:pStyle w:val="13"/>
              <w:spacing w:before="142"/>
              <w:ind w:left="115"/>
              <w:rPr>
                <w:sz w:val="21"/>
              </w:rPr>
            </w:pPr>
            <w:r>
              <w:rPr>
                <w:spacing w:val="-6"/>
                <w:sz w:val="21"/>
              </w:rPr>
              <w:t xml:space="preserve">符合第二章“投标人须知”第 </w:t>
            </w:r>
            <w:r>
              <w:rPr>
                <w:rFonts w:hint="default" w:ascii="Times New Roman" w:hAnsi="Times New Roman" w:eastAsia="Times New Roman" w:cs="Times New Roman"/>
                <w:spacing w:val="-2"/>
                <w:sz w:val="21"/>
              </w:rPr>
              <w:t>1</w:t>
            </w:r>
            <w:r>
              <w:rPr>
                <w:rFonts w:ascii="Times New Roman" w:hAnsi="Times New Roman" w:eastAsia="Times New Roman"/>
                <w:spacing w:val="-2"/>
                <w:sz w:val="21"/>
              </w:rPr>
              <w:t>.</w:t>
            </w:r>
            <w:r>
              <w:rPr>
                <w:rFonts w:hint="default" w:ascii="Times New Roman" w:hAnsi="Times New Roman" w:eastAsia="Times New Roman" w:cs="Times New Roman"/>
                <w:spacing w:val="-2"/>
                <w:sz w:val="21"/>
              </w:rPr>
              <w:t>4</w:t>
            </w:r>
            <w:r>
              <w:rPr>
                <w:rFonts w:ascii="Times New Roman" w:hAnsi="Times New Roman" w:eastAsia="Times New Roman"/>
                <w:spacing w:val="-2"/>
                <w:sz w:val="21"/>
              </w:rPr>
              <w:t>.</w:t>
            </w:r>
            <w:r>
              <w:rPr>
                <w:rFonts w:hint="default" w:ascii="Times New Roman" w:hAnsi="Times New Roman" w:eastAsia="Times New Roman" w:cs="Times New Roman"/>
                <w:spacing w:val="-2"/>
                <w:sz w:val="21"/>
              </w:rPr>
              <w:t>1</w:t>
            </w:r>
            <w:r>
              <w:rPr>
                <w:rFonts w:ascii="Times New Roman" w:hAnsi="Times New Roman" w:eastAsia="Times New Roman"/>
                <w:spacing w:val="7"/>
                <w:sz w:val="21"/>
              </w:rPr>
              <w:t xml:space="preserve"> </w:t>
            </w:r>
            <w:r>
              <w:rPr>
                <w:spacing w:val="-4"/>
                <w:sz w:val="21"/>
              </w:rPr>
              <w:t>项规定。</w:t>
            </w:r>
          </w:p>
        </w:tc>
      </w:tr>
      <w:tr w14:paraId="5EDC7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708" w:type="dxa"/>
            <w:vMerge w:val="continue"/>
            <w:tcBorders>
              <w:top w:val="nil"/>
              <w:bottom w:val="single" w:color="000000" w:sz="2" w:space="0"/>
              <w:right w:val="single" w:color="000000" w:sz="2" w:space="0"/>
            </w:tcBorders>
          </w:tcPr>
          <w:p w14:paraId="775BC270">
            <w:pPr>
              <w:rPr>
                <w:sz w:val="2"/>
                <w:szCs w:val="2"/>
              </w:rPr>
            </w:pPr>
          </w:p>
        </w:tc>
        <w:tc>
          <w:tcPr>
            <w:tcW w:w="1135" w:type="dxa"/>
            <w:vMerge w:val="continue"/>
            <w:tcBorders>
              <w:top w:val="nil"/>
              <w:left w:val="single" w:color="000000" w:sz="2" w:space="0"/>
              <w:bottom w:val="single" w:color="000000" w:sz="2" w:space="0"/>
              <w:right w:val="single" w:color="000000" w:sz="2" w:space="0"/>
            </w:tcBorders>
          </w:tcPr>
          <w:p w14:paraId="13B62342">
            <w:pPr>
              <w:rPr>
                <w:sz w:val="2"/>
                <w:szCs w:val="2"/>
              </w:rPr>
            </w:pPr>
          </w:p>
        </w:tc>
        <w:tc>
          <w:tcPr>
            <w:tcW w:w="1985" w:type="dxa"/>
            <w:tcBorders>
              <w:top w:val="single" w:color="000000" w:sz="2" w:space="0"/>
              <w:left w:val="single" w:color="000000" w:sz="2" w:space="0"/>
              <w:bottom w:val="single" w:color="000000" w:sz="2" w:space="0"/>
              <w:right w:val="single" w:color="000000" w:sz="2" w:space="0"/>
            </w:tcBorders>
          </w:tcPr>
          <w:p w14:paraId="473B3DB5">
            <w:pPr>
              <w:pStyle w:val="13"/>
              <w:spacing w:line="440" w:lineRule="exact"/>
              <w:ind w:left="790" w:right="136" w:hanging="632"/>
              <w:rPr>
                <w:sz w:val="21"/>
              </w:rPr>
            </w:pPr>
            <w:r>
              <w:rPr>
                <w:spacing w:val="-2"/>
                <w:sz w:val="21"/>
              </w:rPr>
              <w:t>不存在禁止投标的</w:t>
            </w:r>
            <w:r>
              <w:rPr>
                <w:spacing w:val="-6"/>
                <w:sz w:val="21"/>
              </w:rPr>
              <w:t>情形</w:t>
            </w:r>
          </w:p>
        </w:tc>
        <w:tc>
          <w:tcPr>
            <w:tcW w:w="5353" w:type="dxa"/>
            <w:tcBorders>
              <w:top w:val="single" w:color="000000" w:sz="2" w:space="0"/>
              <w:left w:val="single" w:color="000000" w:sz="2" w:space="0"/>
              <w:bottom w:val="single" w:color="000000" w:sz="2" w:space="0"/>
            </w:tcBorders>
          </w:tcPr>
          <w:p w14:paraId="2B65AB42">
            <w:pPr>
              <w:pStyle w:val="13"/>
              <w:spacing w:line="440" w:lineRule="exact"/>
              <w:ind w:left="115" w:right="83"/>
              <w:rPr>
                <w:sz w:val="21"/>
              </w:rPr>
            </w:pPr>
            <w:r>
              <w:rPr>
                <w:spacing w:val="-4"/>
                <w:sz w:val="21"/>
              </w:rPr>
              <w:t xml:space="preserve">不存在第二章“投标人须知”第 </w:t>
            </w:r>
            <w:r>
              <w:rPr>
                <w:rFonts w:hint="default" w:ascii="Times New Roman" w:hAnsi="Times New Roman" w:eastAsia="Times New Roman" w:cs="Times New Roman"/>
                <w:sz w:val="21"/>
              </w:rPr>
              <w:t>1</w:t>
            </w:r>
            <w:r>
              <w:rPr>
                <w:rFonts w:ascii="Times New Roman" w:hAnsi="Times New Roman" w:eastAsia="Times New Roman"/>
                <w:sz w:val="21"/>
              </w:rPr>
              <w:t>.</w:t>
            </w:r>
            <w:r>
              <w:rPr>
                <w:rFonts w:hint="default" w:ascii="Times New Roman" w:hAnsi="Times New Roman" w:eastAsia="Times New Roman" w:cs="Times New Roman"/>
                <w:sz w:val="21"/>
              </w:rPr>
              <w:t>4</w:t>
            </w:r>
            <w:r>
              <w:rPr>
                <w:rFonts w:ascii="Times New Roman" w:hAnsi="Times New Roman" w:eastAsia="Times New Roman"/>
                <w:sz w:val="21"/>
              </w:rPr>
              <w:t>.</w:t>
            </w:r>
            <w:r>
              <w:rPr>
                <w:rFonts w:hint="default" w:ascii="Times New Roman" w:hAnsi="Times New Roman" w:eastAsia="Times New Roman" w:cs="Times New Roman"/>
                <w:sz w:val="21"/>
              </w:rPr>
              <w:t>3</w:t>
            </w:r>
            <w:r>
              <w:rPr>
                <w:rFonts w:ascii="Times New Roman" w:hAnsi="Times New Roman" w:eastAsia="Times New Roman"/>
                <w:spacing w:val="-14"/>
                <w:sz w:val="21"/>
              </w:rPr>
              <w:t xml:space="preserve"> </w:t>
            </w:r>
            <w:r>
              <w:rPr>
                <w:sz w:val="21"/>
              </w:rPr>
              <w:t>项规定的任何一种</w:t>
            </w:r>
            <w:r>
              <w:rPr>
                <w:spacing w:val="-4"/>
                <w:sz w:val="21"/>
              </w:rPr>
              <w:t>情形。</w:t>
            </w:r>
          </w:p>
        </w:tc>
      </w:tr>
      <w:tr w14:paraId="467F7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708" w:type="dxa"/>
            <w:vMerge w:val="restart"/>
            <w:tcBorders>
              <w:top w:val="single" w:color="000000" w:sz="2" w:space="0"/>
              <w:right w:val="single" w:color="000000" w:sz="2" w:space="0"/>
            </w:tcBorders>
          </w:tcPr>
          <w:p w14:paraId="0E0FCBD4">
            <w:pPr>
              <w:pStyle w:val="13"/>
              <w:rPr>
                <w:rFonts w:ascii="Microsoft JhengHei"/>
                <w:b/>
                <w:sz w:val="21"/>
              </w:rPr>
            </w:pPr>
          </w:p>
          <w:p w14:paraId="42C15C78">
            <w:pPr>
              <w:pStyle w:val="13"/>
              <w:rPr>
                <w:rFonts w:ascii="Microsoft JhengHei"/>
                <w:b/>
                <w:sz w:val="21"/>
              </w:rPr>
            </w:pPr>
          </w:p>
          <w:p w14:paraId="0CF3E929">
            <w:pPr>
              <w:pStyle w:val="13"/>
              <w:rPr>
                <w:rFonts w:ascii="Microsoft JhengHei"/>
                <w:b/>
                <w:sz w:val="21"/>
              </w:rPr>
            </w:pPr>
          </w:p>
          <w:p w14:paraId="5DCF72CF">
            <w:pPr>
              <w:pStyle w:val="13"/>
              <w:rPr>
                <w:rFonts w:ascii="Microsoft JhengHei"/>
                <w:b/>
                <w:sz w:val="21"/>
              </w:rPr>
            </w:pPr>
          </w:p>
          <w:p w14:paraId="6C2E5F45">
            <w:pPr>
              <w:pStyle w:val="13"/>
              <w:spacing w:before="222"/>
              <w:rPr>
                <w:rFonts w:ascii="Microsoft JhengHei"/>
                <w:b/>
                <w:sz w:val="21"/>
              </w:rPr>
            </w:pPr>
          </w:p>
          <w:p w14:paraId="16AD7CC5">
            <w:pPr>
              <w:pStyle w:val="13"/>
              <w:ind w:left="143"/>
              <w:rPr>
                <w:rFonts w:ascii="Times New Roman"/>
                <w:sz w:val="21"/>
              </w:rPr>
            </w:pPr>
            <w:r>
              <w:rPr>
                <w:rFonts w:hint="default" w:ascii="Times New Roman" w:hAnsi="Times New Roman" w:cs="Times New Roman"/>
                <w:spacing w:val="-2"/>
                <w:sz w:val="21"/>
              </w:rPr>
              <w:t>2</w:t>
            </w:r>
            <w:r>
              <w:rPr>
                <w:rFonts w:ascii="Times New Roman"/>
                <w:spacing w:val="-2"/>
                <w:sz w:val="21"/>
              </w:rPr>
              <w:t>.</w:t>
            </w:r>
            <w:r>
              <w:rPr>
                <w:rFonts w:hint="default" w:ascii="Times New Roman" w:hAnsi="Times New Roman" w:cs="Times New Roman"/>
                <w:spacing w:val="-2"/>
                <w:sz w:val="21"/>
              </w:rPr>
              <w:t>1</w:t>
            </w:r>
            <w:r>
              <w:rPr>
                <w:rFonts w:ascii="Times New Roman"/>
                <w:spacing w:val="-2"/>
                <w:sz w:val="21"/>
              </w:rPr>
              <w:t>.</w:t>
            </w:r>
            <w:r>
              <w:rPr>
                <w:rFonts w:hint="default" w:ascii="Times New Roman" w:hAnsi="Times New Roman" w:cs="Times New Roman"/>
                <w:spacing w:val="-2"/>
                <w:sz w:val="21"/>
              </w:rPr>
              <w:t>3</w:t>
            </w:r>
          </w:p>
        </w:tc>
        <w:tc>
          <w:tcPr>
            <w:tcW w:w="1135" w:type="dxa"/>
            <w:vMerge w:val="restart"/>
            <w:tcBorders>
              <w:top w:val="single" w:color="000000" w:sz="2" w:space="0"/>
              <w:left w:val="single" w:color="000000" w:sz="2" w:space="0"/>
              <w:right w:val="single" w:color="000000" w:sz="2" w:space="0"/>
            </w:tcBorders>
          </w:tcPr>
          <w:p w14:paraId="15CCF69B">
            <w:pPr>
              <w:pStyle w:val="13"/>
              <w:rPr>
                <w:rFonts w:ascii="Microsoft JhengHei"/>
                <w:b/>
                <w:sz w:val="21"/>
              </w:rPr>
            </w:pPr>
          </w:p>
          <w:p w14:paraId="2232AC56">
            <w:pPr>
              <w:pStyle w:val="13"/>
              <w:spacing w:before="267"/>
              <w:rPr>
                <w:rFonts w:ascii="Microsoft JhengHei"/>
                <w:b/>
                <w:sz w:val="21"/>
              </w:rPr>
            </w:pPr>
          </w:p>
          <w:p w14:paraId="4F7763E5">
            <w:pPr>
              <w:pStyle w:val="13"/>
              <w:spacing w:before="1" w:line="391" w:lineRule="auto"/>
              <w:ind w:left="153" w:right="132"/>
              <w:jc w:val="center"/>
              <w:rPr>
                <w:sz w:val="21"/>
              </w:rPr>
            </w:pPr>
            <w:r>
              <w:rPr>
                <w:spacing w:val="-4"/>
                <w:sz w:val="21"/>
              </w:rPr>
              <w:t>第一个信封（商务及技术文件）响应性评审标</w:t>
            </w:r>
            <w:r>
              <w:rPr>
                <w:spacing w:val="-10"/>
                <w:sz w:val="21"/>
              </w:rPr>
              <w:t>准</w:t>
            </w:r>
          </w:p>
        </w:tc>
        <w:tc>
          <w:tcPr>
            <w:tcW w:w="1985" w:type="dxa"/>
            <w:tcBorders>
              <w:top w:val="single" w:color="000000" w:sz="2" w:space="0"/>
              <w:left w:val="single" w:color="000000" w:sz="2" w:space="0"/>
              <w:bottom w:val="single" w:color="000000" w:sz="2" w:space="0"/>
              <w:right w:val="single" w:color="000000" w:sz="2" w:space="0"/>
            </w:tcBorders>
          </w:tcPr>
          <w:p w14:paraId="6860A962">
            <w:pPr>
              <w:pStyle w:val="13"/>
              <w:spacing w:before="142" w:line="269" w:lineRule="exact"/>
              <w:ind w:left="21" w:right="2"/>
              <w:jc w:val="center"/>
              <w:rPr>
                <w:sz w:val="21"/>
              </w:rPr>
            </w:pPr>
            <w:r>
              <w:rPr>
                <w:spacing w:val="-4"/>
                <w:sz w:val="21"/>
              </w:rPr>
              <w:t>投标内容</w:t>
            </w:r>
          </w:p>
        </w:tc>
        <w:tc>
          <w:tcPr>
            <w:tcW w:w="5353" w:type="dxa"/>
            <w:tcBorders>
              <w:top w:val="single" w:color="000000" w:sz="2" w:space="0"/>
              <w:left w:val="single" w:color="000000" w:sz="2" w:space="0"/>
              <w:bottom w:val="single" w:color="000000" w:sz="2" w:space="0"/>
            </w:tcBorders>
          </w:tcPr>
          <w:p w14:paraId="08A4D722">
            <w:pPr>
              <w:pStyle w:val="13"/>
              <w:spacing w:before="142" w:line="269" w:lineRule="exact"/>
              <w:ind w:left="115"/>
              <w:rPr>
                <w:sz w:val="21"/>
              </w:rPr>
            </w:pPr>
            <w:r>
              <w:rPr>
                <w:spacing w:val="-6"/>
                <w:sz w:val="21"/>
              </w:rPr>
              <w:t xml:space="preserve">符合第二章“投标人须知”第 </w:t>
            </w:r>
            <w:r>
              <w:rPr>
                <w:rFonts w:hint="default" w:ascii="Times New Roman" w:hAnsi="Times New Roman" w:eastAsia="Times New Roman" w:cs="Times New Roman"/>
                <w:spacing w:val="-2"/>
                <w:sz w:val="21"/>
              </w:rPr>
              <w:t>1</w:t>
            </w:r>
            <w:r>
              <w:rPr>
                <w:rFonts w:ascii="Times New Roman" w:hAnsi="Times New Roman" w:eastAsia="Times New Roman"/>
                <w:spacing w:val="-2"/>
                <w:sz w:val="21"/>
              </w:rPr>
              <w:t>.</w:t>
            </w:r>
            <w:r>
              <w:rPr>
                <w:rFonts w:hint="default" w:ascii="Times New Roman" w:hAnsi="Times New Roman" w:eastAsia="Times New Roman" w:cs="Times New Roman"/>
                <w:spacing w:val="-2"/>
                <w:sz w:val="21"/>
              </w:rPr>
              <w:t>3</w:t>
            </w:r>
            <w:r>
              <w:rPr>
                <w:rFonts w:ascii="Times New Roman" w:hAnsi="Times New Roman" w:eastAsia="Times New Roman"/>
                <w:spacing w:val="-2"/>
                <w:sz w:val="21"/>
              </w:rPr>
              <w:t>.</w:t>
            </w:r>
            <w:r>
              <w:rPr>
                <w:rFonts w:hint="default" w:ascii="Times New Roman" w:hAnsi="Times New Roman" w:eastAsia="Times New Roman" w:cs="Times New Roman"/>
                <w:spacing w:val="-2"/>
                <w:sz w:val="21"/>
              </w:rPr>
              <w:t>1</w:t>
            </w:r>
            <w:r>
              <w:rPr>
                <w:rFonts w:ascii="Times New Roman" w:hAnsi="Times New Roman" w:eastAsia="Times New Roman"/>
                <w:spacing w:val="7"/>
                <w:sz w:val="21"/>
              </w:rPr>
              <w:t xml:space="preserve"> </w:t>
            </w:r>
            <w:r>
              <w:rPr>
                <w:spacing w:val="-4"/>
                <w:sz w:val="21"/>
              </w:rPr>
              <w:t>项规定。</w:t>
            </w:r>
          </w:p>
        </w:tc>
      </w:tr>
      <w:tr w14:paraId="3842C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708" w:type="dxa"/>
            <w:vMerge w:val="continue"/>
            <w:tcBorders>
              <w:top w:val="nil"/>
              <w:right w:val="single" w:color="000000" w:sz="2" w:space="0"/>
            </w:tcBorders>
          </w:tcPr>
          <w:p w14:paraId="7FC7181B">
            <w:pPr>
              <w:rPr>
                <w:sz w:val="2"/>
                <w:szCs w:val="2"/>
              </w:rPr>
            </w:pPr>
          </w:p>
        </w:tc>
        <w:tc>
          <w:tcPr>
            <w:tcW w:w="1135" w:type="dxa"/>
            <w:vMerge w:val="continue"/>
            <w:tcBorders>
              <w:top w:val="nil"/>
              <w:left w:val="single" w:color="000000" w:sz="2" w:space="0"/>
              <w:right w:val="single" w:color="000000" w:sz="2" w:space="0"/>
            </w:tcBorders>
          </w:tcPr>
          <w:p w14:paraId="2FC652F5">
            <w:pPr>
              <w:rPr>
                <w:sz w:val="2"/>
                <w:szCs w:val="2"/>
              </w:rPr>
            </w:pPr>
          </w:p>
        </w:tc>
        <w:tc>
          <w:tcPr>
            <w:tcW w:w="1985" w:type="dxa"/>
            <w:tcBorders>
              <w:top w:val="single" w:color="000000" w:sz="2" w:space="0"/>
              <w:left w:val="single" w:color="000000" w:sz="2" w:space="0"/>
              <w:bottom w:val="single" w:color="000000" w:sz="2" w:space="0"/>
              <w:right w:val="single" w:color="000000" w:sz="2" w:space="0"/>
            </w:tcBorders>
          </w:tcPr>
          <w:p w14:paraId="0FAB0426">
            <w:pPr>
              <w:pStyle w:val="13"/>
              <w:spacing w:before="135"/>
              <w:ind w:left="21"/>
              <w:jc w:val="center"/>
              <w:rPr>
                <w:sz w:val="21"/>
              </w:rPr>
            </w:pPr>
            <w:r>
              <w:rPr>
                <w:spacing w:val="-4"/>
                <w:sz w:val="21"/>
              </w:rPr>
              <w:t>交货期</w:t>
            </w:r>
          </w:p>
        </w:tc>
        <w:tc>
          <w:tcPr>
            <w:tcW w:w="5353" w:type="dxa"/>
            <w:tcBorders>
              <w:top w:val="single" w:color="000000" w:sz="2" w:space="0"/>
              <w:left w:val="single" w:color="000000" w:sz="2" w:space="0"/>
              <w:bottom w:val="single" w:color="000000" w:sz="2" w:space="0"/>
            </w:tcBorders>
          </w:tcPr>
          <w:p w14:paraId="4E6B9DEB">
            <w:pPr>
              <w:pStyle w:val="13"/>
              <w:spacing w:before="135"/>
              <w:ind w:left="115"/>
              <w:rPr>
                <w:sz w:val="21"/>
              </w:rPr>
            </w:pPr>
            <w:r>
              <w:rPr>
                <w:spacing w:val="-6"/>
                <w:sz w:val="21"/>
              </w:rPr>
              <w:t xml:space="preserve">符合第二章“投标人须知”第 </w:t>
            </w:r>
            <w:r>
              <w:rPr>
                <w:rFonts w:hint="default" w:ascii="Times New Roman" w:hAnsi="Times New Roman" w:eastAsia="Times New Roman" w:cs="Times New Roman"/>
                <w:spacing w:val="-2"/>
                <w:sz w:val="21"/>
              </w:rPr>
              <w:t>1</w:t>
            </w:r>
            <w:r>
              <w:rPr>
                <w:rFonts w:ascii="Times New Roman" w:hAnsi="Times New Roman" w:eastAsia="Times New Roman"/>
                <w:spacing w:val="-2"/>
                <w:sz w:val="21"/>
              </w:rPr>
              <w:t>.</w:t>
            </w:r>
            <w:r>
              <w:rPr>
                <w:rFonts w:hint="default" w:ascii="Times New Roman" w:hAnsi="Times New Roman" w:eastAsia="Times New Roman" w:cs="Times New Roman"/>
                <w:spacing w:val="-2"/>
                <w:sz w:val="21"/>
              </w:rPr>
              <w:t>3</w:t>
            </w:r>
            <w:r>
              <w:rPr>
                <w:rFonts w:ascii="Times New Roman" w:hAnsi="Times New Roman" w:eastAsia="Times New Roman"/>
                <w:spacing w:val="-2"/>
                <w:sz w:val="21"/>
              </w:rPr>
              <w:t>.</w:t>
            </w:r>
            <w:r>
              <w:rPr>
                <w:rFonts w:hint="default" w:ascii="Times New Roman" w:hAnsi="Times New Roman" w:eastAsia="Times New Roman" w:cs="Times New Roman"/>
                <w:spacing w:val="-2"/>
                <w:sz w:val="21"/>
              </w:rPr>
              <w:t>2</w:t>
            </w:r>
            <w:r>
              <w:rPr>
                <w:rFonts w:ascii="Times New Roman" w:hAnsi="Times New Roman" w:eastAsia="Times New Roman"/>
                <w:spacing w:val="7"/>
                <w:sz w:val="21"/>
              </w:rPr>
              <w:t xml:space="preserve"> </w:t>
            </w:r>
            <w:r>
              <w:rPr>
                <w:spacing w:val="-4"/>
                <w:sz w:val="21"/>
              </w:rPr>
              <w:t>项规定。</w:t>
            </w:r>
          </w:p>
        </w:tc>
      </w:tr>
      <w:tr w14:paraId="7B25E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708" w:type="dxa"/>
            <w:vMerge w:val="continue"/>
            <w:tcBorders>
              <w:top w:val="nil"/>
              <w:right w:val="single" w:color="000000" w:sz="2" w:space="0"/>
            </w:tcBorders>
          </w:tcPr>
          <w:p w14:paraId="48BEC5E0">
            <w:pPr>
              <w:rPr>
                <w:sz w:val="2"/>
                <w:szCs w:val="2"/>
              </w:rPr>
            </w:pPr>
          </w:p>
        </w:tc>
        <w:tc>
          <w:tcPr>
            <w:tcW w:w="1135" w:type="dxa"/>
            <w:vMerge w:val="continue"/>
            <w:tcBorders>
              <w:top w:val="nil"/>
              <w:left w:val="single" w:color="000000" w:sz="2" w:space="0"/>
              <w:right w:val="single" w:color="000000" w:sz="2" w:space="0"/>
            </w:tcBorders>
          </w:tcPr>
          <w:p w14:paraId="7E304FF4">
            <w:pPr>
              <w:rPr>
                <w:sz w:val="2"/>
                <w:szCs w:val="2"/>
              </w:rPr>
            </w:pPr>
          </w:p>
        </w:tc>
        <w:tc>
          <w:tcPr>
            <w:tcW w:w="1985" w:type="dxa"/>
            <w:tcBorders>
              <w:top w:val="single" w:color="000000" w:sz="2" w:space="0"/>
              <w:left w:val="single" w:color="000000" w:sz="2" w:space="0"/>
              <w:bottom w:val="single" w:color="000000" w:sz="2" w:space="0"/>
              <w:right w:val="single" w:color="000000" w:sz="2" w:space="0"/>
            </w:tcBorders>
          </w:tcPr>
          <w:p w14:paraId="7C430673">
            <w:pPr>
              <w:pStyle w:val="13"/>
              <w:spacing w:before="135" w:line="269" w:lineRule="exact"/>
              <w:ind w:left="21" w:right="2"/>
              <w:jc w:val="center"/>
              <w:rPr>
                <w:sz w:val="21"/>
              </w:rPr>
            </w:pPr>
            <w:r>
              <w:rPr>
                <w:spacing w:val="-4"/>
                <w:sz w:val="21"/>
              </w:rPr>
              <w:t>交货地点</w:t>
            </w:r>
          </w:p>
        </w:tc>
        <w:tc>
          <w:tcPr>
            <w:tcW w:w="5353" w:type="dxa"/>
            <w:tcBorders>
              <w:top w:val="single" w:color="000000" w:sz="2" w:space="0"/>
              <w:left w:val="single" w:color="000000" w:sz="2" w:space="0"/>
              <w:bottom w:val="single" w:color="000000" w:sz="2" w:space="0"/>
            </w:tcBorders>
          </w:tcPr>
          <w:p w14:paraId="54A91502">
            <w:pPr>
              <w:pStyle w:val="13"/>
              <w:spacing w:before="135" w:line="269" w:lineRule="exact"/>
              <w:ind w:left="115"/>
              <w:rPr>
                <w:sz w:val="21"/>
              </w:rPr>
            </w:pPr>
            <w:r>
              <w:rPr>
                <w:spacing w:val="-6"/>
                <w:sz w:val="21"/>
              </w:rPr>
              <w:t xml:space="preserve">符合第二章“投标人须知”第 </w:t>
            </w:r>
            <w:r>
              <w:rPr>
                <w:rFonts w:hint="default" w:ascii="Times New Roman" w:hAnsi="Times New Roman" w:eastAsia="Times New Roman" w:cs="Times New Roman"/>
                <w:spacing w:val="-2"/>
                <w:sz w:val="21"/>
              </w:rPr>
              <w:t>1</w:t>
            </w:r>
            <w:r>
              <w:rPr>
                <w:rFonts w:ascii="Times New Roman" w:hAnsi="Times New Roman" w:eastAsia="Times New Roman"/>
                <w:spacing w:val="-2"/>
                <w:sz w:val="21"/>
              </w:rPr>
              <w:t>.</w:t>
            </w:r>
            <w:r>
              <w:rPr>
                <w:rFonts w:hint="default" w:ascii="Times New Roman" w:hAnsi="Times New Roman" w:eastAsia="Times New Roman" w:cs="Times New Roman"/>
                <w:spacing w:val="-2"/>
                <w:sz w:val="21"/>
              </w:rPr>
              <w:t>3</w:t>
            </w:r>
            <w:r>
              <w:rPr>
                <w:rFonts w:ascii="Times New Roman" w:hAnsi="Times New Roman" w:eastAsia="Times New Roman"/>
                <w:spacing w:val="-2"/>
                <w:sz w:val="21"/>
              </w:rPr>
              <w:t>.</w:t>
            </w:r>
            <w:r>
              <w:rPr>
                <w:rFonts w:hint="default" w:ascii="Times New Roman" w:hAnsi="Times New Roman" w:eastAsia="Times New Roman" w:cs="Times New Roman"/>
                <w:spacing w:val="-2"/>
                <w:sz w:val="21"/>
              </w:rPr>
              <w:t>3</w:t>
            </w:r>
            <w:r>
              <w:rPr>
                <w:rFonts w:ascii="Times New Roman" w:hAnsi="Times New Roman" w:eastAsia="Times New Roman"/>
                <w:spacing w:val="7"/>
                <w:sz w:val="21"/>
              </w:rPr>
              <w:t xml:space="preserve"> </w:t>
            </w:r>
            <w:r>
              <w:rPr>
                <w:spacing w:val="-4"/>
                <w:sz w:val="21"/>
              </w:rPr>
              <w:t>项规定。</w:t>
            </w:r>
          </w:p>
        </w:tc>
      </w:tr>
      <w:tr w14:paraId="101A6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708" w:type="dxa"/>
            <w:vMerge w:val="continue"/>
            <w:tcBorders>
              <w:top w:val="nil"/>
              <w:right w:val="single" w:color="000000" w:sz="2" w:space="0"/>
            </w:tcBorders>
          </w:tcPr>
          <w:p w14:paraId="2F95E934">
            <w:pPr>
              <w:rPr>
                <w:sz w:val="2"/>
                <w:szCs w:val="2"/>
              </w:rPr>
            </w:pPr>
          </w:p>
        </w:tc>
        <w:tc>
          <w:tcPr>
            <w:tcW w:w="1135" w:type="dxa"/>
            <w:vMerge w:val="continue"/>
            <w:tcBorders>
              <w:top w:val="nil"/>
              <w:left w:val="single" w:color="000000" w:sz="2" w:space="0"/>
              <w:right w:val="single" w:color="000000" w:sz="2" w:space="0"/>
            </w:tcBorders>
          </w:tcPr>
          <w:p w14:paraId="447A1DA7">
            <w:pPr>
              <w:rPr>
                <w:sz w:val="2"/>
                <w:szCs w:val="2"/>
              </w:rPr>
            </w:pPr>
          </w:p>
        </w:tc>
        <w:tc>
          <w:tcPr>
            <w:tcW w:w="1985" w:type="dxa"/>
            <w:tcBorders>
              <w:top w:val="single" w:color="000000" w:sz="2" w:space="0"/>
              <w:left w:val="single" w:color="000000" w:sz="2" w:space="0"/>
              <w:bottom w:val="single" w:color="000000" w:sz="2" w:space="0"/>
              <w:right w:val="single" w:color="000000" w:sz="2" w:space="0"/>
            </w:tcBorders>
          </w:tcPr>
          <w:p w14:paraId="6822F0A8">
            <w:pPr>
              <w:pStyle w:val="13"/>
              <w:spacing w:before="135" w:line="269" w:lineRule="exact"/>
              <w:ind w:left="21"/>
              <w:jc w:val="center"/>
              <w:rPr>
                <w:sz w:val="21"/>
              </w:rPr>
            </w:pPr>
            <w:r>
              <w:rPr>
                <w:spacing w:val="-4"/>
                <w:sz w:val="21"/>
              </w:rPr>
              <w:t>技术性能指标</w:t>
            </w:r>
          </w:p>
        </w:tc>
        <w:tc>
          <w:tcPr>
            <w:tcW w:w="5353" w:type="dxa"/>
            <w:tcBorders>
              <w:top w:val="single" w:color="000000" w:sz="2" w:space="0"/>
              <w:left w:val="single" w:color="000000" w:sz="2" w:space="0"/>
              <w:bottom w:val="single" w:color="000000" w:sz="2" w:space="0"/>
            </w:tcBorders>
          </w:tcPr>
          <w:p w14:paraId="6831880D">
            <w:pPr>
              <w:pStyle w:val="13"/>
              <w:spacing w:before="135" w:line="269" w:lineRule="exact"/>
              <w:ind w:left="115"/>
              <w:rPr>
                <w:sz w:val="21"/>
              </w:rPr>
            </w:pPr>
            <w:r>
              <w:rPr>
                <w:spacing w:val="-6"/>
                <w:sz w:val="21"/>
              </w:rPr>
              <w:t xml:space="preserve">符合第二章“投标人须知”第 </w:t>
            </w:r>
            <w:r>
              <w:rPr>
                <w:rFonts w:hint="default" w:ascii="Times New Roman" w:hAnsi="Times New Roman" w:eastAsia="Times New Roman" w:cs="Times New Roman"/>
                <w:spacing w:val="-2"/>
                <w:sz w:val="21"/>
              </w:rPr>
              <w:t>1</w:t>
            </w:r>
            <w:r>
              <w:rPr>
                <w:rFonts w:ascii="Times New Roman" w:hAnsi="Times New Roman" w:eastAsia="Times New Roman"/>
                <w:spacing w:val="-2"/>
                <w:sz w:val="21"/>
              </w:rPr>
              <w:t>.</w:t>
            </w:r>
            <w:r>
              <w:rPr>
                <w:rFonts w:hint="default" w:ascii="Times New Roman" w:hAnsi="Times New Roman" w:eastAsia="Times New Roman" w:cs="Times New Roman"/>
                <w:spacing w:val="-2"/>
                <w:sz w:val="21"/>
              </w:rPr>
              <w:t>3</w:t>
            </w:r>
            <w:r>
              <w:rPr>
                <w:rFonts w:ascii="Times New Roman" w:hAnsi="Times New Roman" w:eastAsia="Times New Roman"/>
                <w:spacing w:val="-2"/>
                <w:sz w:val="21"/>
              </w:rPr>
              <w:t>.</w:t>
            </w:r>
            <w:r>
              <w:rPr>
                <w:rFonts w:hint="default" w:ascii="Times New Roman" w:hAnsi="Times New Roman" w:eastAsia="Times New Roman" w:cs="Times New Roman"/>
                <w:spacing w:val="-2"/>
                <w:sz w:val="21"/>
              </w:rPr>
              <w:t>4</w:t>
            </w:r>
            <w:r>
              <w:rPr>
                <w:rFonts w:ascii="Times New Roman" w:hAnsi="Times New Roman" w:eastAsia="Times New Roman"/>
                <w:spacing w:val="7"/>
                <w:sz w:val="21"/>
              </w:rPr>
              <w:t xml:space="preserve"> </w:t>
            </w:r>
            <w:r>
              <w:rPr>
                <w:spacing w:val="-4"/>
                <w:sz w:val="21"/>
              </w:rPr>
              <w:t>项规定。</w:t>
            </w:r>
          </w:p>
        </w:tc>
      </w:tr>
      <w:tr w14:paraId="11970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708" w:type="dxa"/>
            <w:vMerge w:val="continue"/>
            <w:tcBorders>
              <w:top w:val="nil"/>
              <w:right w:val="single" w:color="000000" w:sz="2" w:space="0"/>
            </w:tcBorders>
          </w:tcPr>
          <w:p w14:paraId="01D96B98">
            <w:pPr>
              <w:rPr>
                <w:sz w:val="2"/>
                <w:szCs w:val="2"/>
              </w:rPr>
            </w:pPr>
          </w:p>
        </w:tc>
        <w:tc>
          <w:tcPr>
            <w:tcW w:w="1135" w:type="dxa"/>
            <w:vMerge w:val="continue"/>
            <w:tcBorders>
              <w:top w:val="nil"/>
              <w:left w:val="single" w:color="000000" w:sz="2" w:space="0"/>
              <w:right w:val="single" w:color="000000" w:sz="2" w:space="0"/>
            </w:tcBorders>
          </w:tcPr>
          <w:p w14:paraId="3DF08D93">
            <w:pPr>
              <w:rPr>
                <w:sz w:val="2"/>
                <w:szCs w:val="2"/>
              </w:rPr>
            </w:pPr>
          </w:p>
        </w:tc>
        <w:tc>
          <w:tcPr>
            <w:tcW w:w="1985" w:type="dxa"/>
            <w:tcBorders>
              <w:top w:val="single" w:color="000000" w:sz="2" w:space="0"/>
              <w:left w:val="single" w:color="000000" w:sz="2" w:space="0"/>
              <w:bottom w:val="single" w:color="000000" w:sz="2" w:space="0"/>
              <w:right w:val="single" w:color="000000" w:sz="2" w:space="0"/>
            </w:tcBorders>
          </w:tcPr>
          <w:p w14:paraId="7B3D5754">
            <w:pPr>
              <w:pStyle w:val="13"/>
              <w:spacing w:before="135"/>
              <w:ind w:left="21" w:right="2"/>
              <w:jc w:val="center"/>
              <w:rPr>
                <w:sz w:val="21"/>
              </w:rPr>
            </w:pPr>
            <w:r>
              <w:rPr>
                <w:spacing w:val="-4"/>
                <w:sz w:val="21"/>
              </w:rPr>
              <w:t>投标有效期</w:t>
            </w:r>
          </w:p>
        </w:tc>
        <w:tc>
          <w:tcPr>
            <w:tcW w:w="5353" w:type="dxa"/>
            <w:tcBorders>
              <w:top w:val="single" w:color="000000" w:sz="2" w:space="0"/>
              <w:left w:val="single" w:color="000000" w:sz="2" w:space="0"/>
              <w:bottom w:val="single" w:color="000000" w:sz="2" w:space="0"/>
            </w:tcBorders>
          </w:tcPr>
          <w:p w14:paraId="13928AB2">
            <w:pPr>
              <w:pStyle w:val="13"/>
              <w:spacing w:before="135"/>
              <w:ind w:left="115"/>
              <w:rPr>
                <w:sz w:val="21"/>
              </w:rPr>
            </w:pPr>
            <w:r>
              <w:rPr>
                <w:spacing w:val="-6"/>
                <w:sz w:val="21"/>
              </w:rPr>
              <w:t xml:space="preserve">符合第二章“投标人须知”第 </w:t>
            </w:r>
            <w:r>
              <w:rPr>
                <w:rFonts w:hint="default" w:ascii="Times New Roman" w:hAnsi="Times New Roman" w:eastAsia="Times New Roman" w:cs="Times New Roman"/>
                <w:spacing w:val="-2"/>
                <w:sz w:val="21"/>
              </w:rPr>
              <w:t>3</w:t>
            </w:r>
            <w:r>
              <w:rPr>
                <w:rFonts w:ascii="Times New Roman" w:hAnsi="Times New Roman" w:eastAsia="Times New Roman"/>
                <w:spacing w:val="-2"/>
                <w:sz w:val="21"/>
              </w:rPr>
              <w:t>.</w:t>
            </w:r>
            <w:r>
              <w:rPr>
                <w:rFonts w:hint="default" w:ascii="Times New Roman" w:hAnsi="Times New Roman" w:eastAsia="Times New Roman" w:cs="Times New Roman"/>
                <w:spacing w:val="-2"/>
                <w:sz w:val="21"/>
              </w:rPr>
              <w:t>3</w:t>
            </w:r>
            <w:r>
              <w:rPr>
                <w:rFonts w:ascii="Times New Roman" w:hAnsi="Times New Roman" w:eastAsia="Times New Roman"/>
                <w:spacing w:val="-2"/>
                <w:sz w:val="21"/>
              </w:rPr>
              <w:t>.</w:t>
            </w:r>
            <w:r>
              <w:rPr>
                <w:rFonts w:hint="default" w:ascii="Times New Roman" w:hAnsi="Times New Roman" w:eastAsia="Times New Roman" w:cs="Times New Roman"/>
                <w:spacing w:val="-2"/>
                <w:sz w:val="21"/>
              </w:rPr>
              <w:t>1</w:t>
            </w:r>
            <w:r>
              <w:rPr>
                <w:rFonts w:ascii="Times New Roman" w:hAnsi="Times New Roman" w:eastAsia="Times New Roman"/>
                <w:spacing w:val="7"/>
                <w:sz w:val="21"/>
              </w:rPr>
              <w:t xml:space="preserve"> </w:t>
            </w:r>
            <w:r>
              <w:rPr>
                <w:spacing w:val="-4"/>
                <w:sz w:val="21"/>
              </w:rPr>
              <w:t>项规定。</w:t>
            </w:r>
          </w:p>
        </w:tc>
      </w:tr>
      <w:tr w14:paraId="49AB0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708" w:type="dxa"/>
            <w:vMerge w:val="continue"/>
            <w:tcBorders>
              <w:top w:val="nil"/>
              <w:right w:val="single" w:color="000000" w:sz="2" w:space="0"/>
            </w:tcBorders>
          </w:tcPr>
          <w:p w14:paraId="19C0A654">
            <w:pPr>
              <w:rPr>
                <w:sz w:val="2"/>
                <w:szCs w:val="2"/>
              </w:rPr>
            </w:pPr>
          </w:p>
        </w:tc>
        <w:tc>
          <w:tcPr>
            <w:tcW w:w="1135" w:type="dxa"/>
            <w:vMerge w:val="continue"/>
            <w:tcBorders>
              <w:top w:val="nil"/>
              <w:left w:val="single" w:color="000000" w:sz="2" w:space="0"/>
              <w:right w:val="single" w:color="000000" w:sz="2" w:space="0"/>
            </w:tcBorders>
          </w:tcPr>
          <w:p w14:paraId="6349092A">
            <w:pPr>
              <w:rPr>
                <w:sz w:val="2"/>
                <w:szCs w:val="2"/>
              </w:rPr>
            </w:pPr>
          </w:p>
        </w:tc>
        <w:tc>
          <w:tcPr>
            <w:tcW w:w="1985" w:type="dxa"/>
            <w:tcBorders>
              <w:top w:val="single" w:color="000000" w:sz="2" w:space="0"/>
              <w:left w:val="single" w:color="000000" w:sz="2" w:space="0"/>
              <w:bottom w:val="single" w:color="000000" w:sz="2" w:space="0"/>
              <w:right w:val="single" w:color="000000" w:sz="2" w:space="0"/>
            </w:tcBorders>
          </w:tcPr>
          <w:p w14:paraId="5AE56C48">
            <w:pPr>
              <w:pStyle w:val="13"/>
              <w:spacing w:before="135" w:line="269" w:lineRule="exact"/>
              <w:ind w:left="21" w:right="2"/>
              <w:jc w:val="center"/>
              <w:rPr>
                <w:sz w:val="21"/>
              </w:rPr>
            </w:pPr>
            <w:r>
              <w:rPr>
                <w:spacing w:val="-4"/>
                <w:sz w:val="21"/>
              </w:rPr>
              <w:t>投标保证金</w:t>
            </w:r>
          </w:p>
        </w:tc>
        <w:tc>
          <w:tcPr>
            <w:tcW w:w="5353" w:type="dxa"/>
            <w:tcBorders>
              <w:top w:val="single" w:color="000000" w:sz="2" w:space="0"/>
              <w:left w:val="single" w:color="000000" w:sz="2" w:space="0"/>
              <w:bottom w:val="single" w:color="000000" w:sz="2" w:space="0"/>
            </w:tcBorders>
          </w:tcPr>
          <w:p w14:paraId="42ED6656">
            <w:pPr>
              <w:pStyle w:val="13"/>
              <w:spacing w:before="135" w:line="269" w:lineRule="exact"/>
              <w:ind w:left="115"/>
              <w:rPr>
                <w:sz w:val="21"/>
              </w:rPr>
            </w:pPr>
            <w:r>
              <w:rPr>
                <w:spacing w:val="-6"/>
                <w:sz w:val="21"/>
              </w:rPr>
              <w:t xml:space="preserve">符合第二章“投标人须知”第 </w:t>
            </w:r>
            <w:r>
              <w:rPr>
                <w:rFonts w:hint="default" w:ascii="Times New Roman" w:hAnsi="Times New Roman" w:eastAsia="Times New Roman" w:cs="Times New Roman"/>
                <w:spacing w:val="-2"/>
                <w:sz w:val="21"/>
              </w:rPr>
              <w:t>3</w:t>
            </w:r>
            <w:r>
              <w:rPr>
                <w:rFonts w:ascii="Times New Roman" w:hAnsi="Times New Roman" w:eastAsia="Times New Roman"/>
                <w:spacing w:val="-2"/>
                <w:sz w:val="21"/>
              </w:rPr>
              <w:t>.</w:t>
            </w:r>
            <w:r>
              <w:rPr>
                <w:rFonts w:hint="default" w:ascii="Times New Roman" w:hAnsi="Times New Roman" w:eastAsia="Times New Roman" w:cs="Times New Roman"/>
                <w:spacing w:val="-2"/>
                <w:sz w:val="21"/>
              </w:rPr>
              <w:t>4</w:t>
            </w:r>
            <w:r>
              <w:rPr>
                <w:rFonts w:ascii="Times New Roman" w:hAnsi="Times New Roman" w:eastAsia="Times New Roman"/>
                <w:spacing w:val="-2"/>
                <w:sz w:val="21"/>
              </w:rPr>
              <w:t>.</w:t>
            </w:r>
            <w:r>
              <w:rPr>
                <w:rFonts w:hint="default" w:ascii="Times New Roman" w:hAnsi="Times New Roman" w:eastAsia="Times New Roman" w:cs="Times New Roman"/>
                <w:spacing w:val="-2"/>
                <w:sz w:val="21"/>
              </w:rPr>
              <w:t>1</w:t>
            </w:r>
            <w:r>
              <w:rPr>
                <w:rFonts w:ascii="Times New Roman" w:hAnsi="Times New Roman" w:eastAsia="Times New Roman"/>
                <w:spacing w:val="7"/>
                <w:sz w:val="21"/>
              </w:rPr>
              <w:t xml:space="preserve"> </w:t>
            </w:r>
            <w:r>
              <w:rPr>
                <w:spacing w:val="-4"/>
                <w:sz w:val="21"/>
              </w:rPr>
              <w:t>项规定。</w:t>
            </w:r>
          </w:p>
        </w:tc>
      </w:tr>
      <w:tr w14:paraId="0B22D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6" w:hRule="atLeast"/>
        </w:trPr>
        <w:tc>
          <w:tcPr>
            <w:tcW w:w="708" w:type="dxa"/>
            <w:vMerge w:val="continue"/>
            <w:tcBorders>
              <w:top w:val="nil"/>
              <w:right w:val="single" w:color="000000" w:sz="2" w:space="0"/>
            </w:tcBorders>
          </w:tcPr>
          <w:p w14:paraId="50FE692D">
            <w:pPr>
              <w:rPr>
                <w:sz w:val="2"/>
                <w:szCs w:val="2"/>
              </w:rPr>
            </w:pPr>
          </w:p>
        </w:tc>
        <w:tc>
          <w:tcPr>
            <w:tcW w:w="1135" w:type="dxa"/>
            <w:vMerge w:val="continue"/>
            <w:tcBorders>
              <w:top w:val="nil"/>
              <w:left w:val="single" w:color="000000" w:sz="2" w:space="0"/>
              <w:right w:val="single" w:color="000000" w:sz="2" w:space="0"/>
            </w:tcBorders>
          </w:tcPr>
          <w:p w14:paraId="0FE19A29">
            <w:pPr>
              <w:rPr>
                <w:sz w:val="2"/>
                <w:szCs w:val="2"/>
              </w:rPr>
            </w:pPr>
          </w:p>
        </w:tc>
        <w:tc>
          <w:tcPr>
            <w:tcW w:w="1985" w:type="dxa"/>
            <w:tcBorders>
              <w:top w:val="single" w:color="000000" w:sz="2" w:space="0"/>
              <w:left w:val="single" w:color="000000" w:sz="2" w:space="0"/>
              <w:bottom w:val="single" w:color="000000" w:sz="2" w:space="0"/>
              <w:right w:val="single" w:color="000000" w:sz="2" w:space="0"/>
            </w:tcBorders>
          </w:tcPr>
          <w:p w14:paraId="2EE02D0F">
            <w:pPr>
              <w:pStyle w:val="13"/>
              <w:spacing w:before="356"/>
              <w:ind w:left="21" w:right="2"/>
              <w:jc w:val="center"/>
              <w:rPr>
                <w:sz w:val="21"/>
              </w:rPr>
            </w:pPr>
            <w:r>
              <w:rPr>
                <w:spacing w:val="-4"/>
                <w:sz w:val="21"/>
              </w:rPr>
              <w:t>权利义务</w:t>
            </w:r>
          </w:p>
        </w:tc>
        <w:tc>
          <w:tcPr>
            <w:tcW w:w="5353" w:type="dxa"/>
            <w:tcBorders>
              <w:top w:val="single" w:color="000000" w:sz="2" w:space="0"/>
              <w:left w:val="single" w:color="000000" w:sz="2" w:space="0"/>
              <w:bottom w:val="single" w:color="000000" w:sz="2" w:space="0"/>
            </w:tcBorders>
          </w:tcPr>
          <w:p w14:paraId="3CD3EF7F">
            <w:pPr>
              <w:pStyle w:val="13"/>
              <w:spacing w:before="135"/>
              <w:ind w:left="115"/>
              <w:rPr>
                <w:sz w:val="21"/>
              </w:rPr>
            </w:pPr>
            <w:r>
              <w:rPr>
                <w:spacing w:val="-9"/>
                <w:sz w:val="21"/>
              </w:rPr>
              <w:t xml:space="preserve">符合第二章“投标人须知”第 </w:t>
            </w:r>
            <w:r>
              <w:rPr>
                <w:rFonts w:hint="default" w:ascii="Times New Roman" w:hAnsi="Times New Roman" w:eastAsia="Times New Roman" w:cs="Times New Roman"/>
                <w:spacing w:val="-6"/>
                <w:sz w:val="21"/>
              </w:rPr>
              <w:t>1</w:t>
            </w:r>
            <w:r>
              <w:rPr>
                <w:rFonts w:ascii="Times New Roman" w:hAnsi="Times New Roman" w:eastAsia="Times New Roman"/>
                <w:spacing w:val="-6"/>
                <w:sz w:val="21"/>
              </w:rPr>
              <w:t>.</w:t>
            </w:r>
            <w:r>
              <w:rPr>
                <w:rFonts w:hint="default" w:ascii="Times New Roman" w:hAnsi="Times New Roman" w:eastAsia="Times New Roman" w:cs="Times New Roman"/>
                <w:spacing w:val="-6"/>
                <w:sz w:val="21"/>
              </w:rPr>
              <w:t>11</w:t>
            </w:r>
            <w:r>
              <w:rPr>
                <w:rFonts w:ascii="Times New Roman" w:hAnsi="Times New Roman" w:eastAsia="Times New Roman"/>
                <w:spacing w:val="-6"/>
                <w:sz w:val="21"/>
              </w:rPr>
              <w:t>.</w:t>
            </w:r>
            <w:r>
              <w:rPr>
                <w:rFonts w:hint="default" w:ascii="Times New Roman" w:hAnsi="Times New Roman" w:eastAsia="Times New Roman" w:cs="Times New Roman"/>
                <w:spacing w:val="-6"/>
                <w:sz w:val="21"/>
              </w:rPr>
              <w:t>1</w:t>
            </w:r>
            <w:r>
              <w:rPr>
                <w:rFonts w:ascii="Times New Roman" w:hAnsi="Times New Roman" w:eastAsia="Times New Roman"/>
                <w:spacing w:val="6"/>
                <w:sz w:val="21"/>
              </w:rPr>
              <w:t xml:space="preserve"> </w:t>
            </w:r>
            <w:r>
              <w:rPr>
                <w:spacing w:val="-7"/>
                <w:sz w:val="21"/>
              </w:rPr>
              <w:t>项规定和第四章“合</w:t>
            </w:r>
          </w:p>
          <w:p w14:paraId="5003702B">
            <w:pPr>
              <w:pStyle w:val="13"/>
              <w:spacing w:before="173" w:line="269" w:lineRule="exact"/>
              <w:ind w:left="115"/>
              <w:rPr>
                <w:sz w:val="21"/>
              </w:rPr>
            </w:pPr>
            <w:r>
              <w:rPr>
                <w:spacing w:val="-3"/>
                <w:sz w:val="21"/>
              </w:rPr>
              <w:t>同条款及格式”中的实质性要求和条件。</w:t>
            </w:r>
          </w:p>
        </w:tc>
      </w:tr>
      <w:tr w14:paraId="0254A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2" w:hRule="atLeast"/>
        </w:trPr>
        <w:tc>
          <w:tcPr>
            <w:tcW w:w="708" w:type="dxa"/>
            <w:vMerge w:val="continue"/>
            <w:tcBorders>
              <w:top w:val="nil"/>
              <w:right w:val="single" w:color="000000" w:sz="2" w:space="0"/>
            </w:tcBorders>
          </w:tcPr>
          <w:p w14:paraId="4ECB3F36">
            <w:pPr>
              <w:rPr>
                <w:sz w:val="2"/>
                <w:szCs w:val="2"/>
              </w:rPr>
            </w:pPr>
          </w:p>
        </w:tc>
        <w:tc>
          <w:tcPr>
            <w:tcW w:w="1135" w:type="dxa"/>
            <w:vMerge w:val="continue"/>
            <w:tcBorders>
              <w:top w:val="nil"/>
              <w:left w:val="single" w:color="000000" w:sz="2" w:space="0"/>
              <w:right w:val="single" w:color="000000" w:sz="2" w:space="0"/>
            </w:tcBorders>
          </w:tcPr>
          <w:p w14:paraId="1D4BD8F7">
            <w:pPr>
              <w:rPr>
                <w:sz w:val="2"/>
                <w:szCs w:val="2"/>
              </w:rPr>
            </w:pPr>
          </w:p>
        </w:tc>
        <w:tc>
          <w:tcPr>
            <w:tcW w:w="1985" w:type="dxa"/>
            <w:tcBorders>
              <w:top w:val="single" w:color="000000" w:sz="2" w:space="0"/>
              <w:left w:val="single" w:color="000000" w:sz="2" w:space="0"/>
              <w:right w:val="single" w:color="000000" w:sz="2" w:space="0"/>
            </w:tcBorders>
          </w:tcPr>
          <w:p w14:paraId="62040E18">
            <w:pPr>
              <w:pStyle w:val="13"/>
              <w:spacing w:before="135"/>
              <w:ind w:left="21" w:right="2"/>
              <w:jc w:val="center"/>
              <w:rPr>
                <w:sz w:val="21"/>
              </w:rPr>
            </w:pPr>
            <w:r>
              <w:rPr>
                <w:spacing w:val="-4"/>
                <w:sz w:val="21"/>
              </w:rPr>
              <w:t>投标设备及相关服</w:t>
            </w:r>
          </w:p>
          <w:p w14:paraId="4E000F89">
            <w:pPr>
              <w:pStyle w:val="13"/>
              <w:spacing w:before="170"/>
              <w:ind w:left="21" w:right="3"/>
              <w:jc w:val="center"/>
              <w:rPr>
                <w:sz w:val="21"/>
              </w:rPr>
            </w:pPr>
            <w:r>
              <w:rPr>
                <w:spacing w:val="-10"/>
                <w:sz w:val="21"/>
              </w:rPr>
              <w:t>务</w:t>
            </w:r>
          </w:p>
        </w:tc>
        <w:tc>
          <w:tcPr>
            <w:tcW w:w="5353" w:type="dxa"/>
            <w:tcBorders>
              <w:top w:val="single" w:color="000000" w:sz="2" w:space="0"/>
              <w:left w:val="single" w:color="000000" w:sz="2" w:space="0"/>
            </w:tcBorders>
          </w:tcPr>
          <w:p w14:paraId="612F62C1">
            <w:pPr>
              <w:pStyle w:val="13"/>
              <w:spacing w:before="356"/>
              <w:ind w:left="115"/>
              <w:rPr>
                <w:sz w:val="21"/>
              </w:rPr>
            </w:pPr>
            <w:r>
              <w:rPr>
                <w:spacing w:val="-3"/>
                <w:sz w:val="21"/>
              </w:rPr>
              <w:t>符合第五章“供货要求”中的实质性要求和条件。</w:t>
            </w:r>
          </w:p>
        </w:tc>
      </w:tr>
    </w:tbl>
    <w:p w14:paraId="1FD93A4F">
      <w:pPr>
        <w:pStyle w:val="6"/>
        <w:spacing w:before="4"/>
        <w:rPr>
          <w:rFonts w:ascii="Microsoft JhengHei"/>
          <w:b/>
          <w:sz w:val="20"/>
        </w:rPr>
      </w:pPr>
      <w:r>
        <mc:AlternateContent>
          <mc:Choice Requires="wps">
            <w:drawing>
              <wp:anchor distT="0" distB="0" distL="0" distR="0" simplePos="0" relativeHeight="251659264" behindDoc="1" locked="0" layoutInCell="1" allowOverlap="1">
                <wp:simplePos x="0" y="0"/>
                <wp:positionH relativeFrom="page">
                  <wp:posOffset>900430</wp:posOffset>
                </wp:positionH>
                <wp:positionV relativeFrom="paragraph">
                  <wp:posOffset>250825</wp:posOffset>
                </wp:positionV>
                <wp:extent cx="1829435" cy="9525"/>
                <wp:effectExtent l="0" t="0" r="0" b="0"/>
                <wp:wrapTopAndBottom/>
                <wp:docPr id="33" name="Graphic 33"/>
                <wp:cNvGraphicFramePr/>
                <a:graphic xmlns:a="http://schemas.openxmlformats.org/drawingml/2006/main">
                  <a:graphicData uri="http://schemas.microsoft.com/office/word/2010/wordprocessingShape">
                    <wps:wsp>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noAutofit/>
                      </wps:bodyPr>
                    </wps:wsp>
                  </a:graphicData>
                </a:graphic>
              </wp:anchor>
            </w:drawing>
          </mc:Choice>
          <mc:Fallback>
            <w:pict>
              <v:shape id="Graphic 33" o:spid="_x0000_s1026" o:spt="100" style="position:absolute;left:0pt;margin-left:70.9pt;margin-top:19.75pt;height:0.75pt;width:144.05pt;mso-position-horizontal-relative:page;mso-wrap-distance-bottom:0pt;mso-wrap-distance-top:0pt;z-index:-251657216;mso-width-relative:page;mso-height-relative:page;" fillcolor="#000000" filled="t" stroked="f" coordsize="1829435,9525" o:gfxdata="UEsDBAoAAAAAAIdO4kAAAAAAAAAAAAAAAAAEAAAAZHJzL1BLAwQUAAAACACHTuJAq0FK0NgAAAAJ&#10;AQAADwAAAGRycy9kb3ducmV2LnhtbE2PwWrDMBBE74X8g9hCbo3kxA21azmEQg+hUEhSepatrW1i&#10;rYylxO7fd3tqbzPMMPu22M2uFzccQ+dJQ7JSIJBqbztqNHycXx+eQIRoyJreE2r4xgC7cnFXmNz6&#10;iY54O8VG8AiF3GhoYxxyKUPdojNh5Qckzr786ExkOzbSjmbicdfLtVJb6UxHfKE1A760WF9OV6fh&#10;Mx6rt/f5cpbbw8bVU7VPh67RenmfqGcQEef4V4ZffEaHkpkqfyUbRM8+TRg9athkjyC4kK6zDETF&#10;IlEgy0L+/6D8AVBLAwQUAAAACACHTuJA5x3G4yMCAADeBAAADgAAAGRycy9lMm9Eb2MueG1srVTb&#10;jtsgEH2v1H9AvDfOtdpEcVbVRruqVLUr7fYDMMYxEjAUSJz8fQdsEmv3ZSs1D/bAHB/mnBmyvT9r&#10;RU7CeQmmpLPJlBJhONTSHEr6+/Xxyx0lPjBTMwVGlPQiPL3fff607exGzKEFVQtHkMT4TWdL2oZg&#10;N0XheSs08xOwwmCyAadZwKU7FLVjHbJrVcyn069FB662DrjwHnf3fZIOjO4jhNA0kos98KMWJvSs&#10;TigWUJJvpfV0l6ptGsHDr6bxIhBVUlQa0hMPwbiKz2K3ZZuDY7aVfCiBfaSEN5o0kwYPvVLtWWDk&#10;6OQ7Ki25Aw9NmHDQRS8kOYIqZtM33ry0zIqkBa329mq6/3+0/Ofp2RFZl3SxoMQwjR1/GuzAHbSn&#10;s36DqBf77IaVxzBqPTdOxzeqIOdk6eVqqTgHwnFzdjdfLxcrSjjm1qv5KlIWt2/50YcnAYmHnX74&#10;0DekzhFrc8TPJocO2xobqlJDAyXYUJcaWvUNtSzE72JxMSTdqJB2qCMmNZzEKyRYiBJitdMVGpGF&#10;YKU3jDJjLE7QCJVz+W0TX49Zz5bLQXZO53cPGx/7T+A0v1hjpuMKvOgNjrqT01cvEDd224OS9aNU&#10;Ksr37lA9KEdOLN6T9BsqHsGKOAp982NUQX3B2elwWkrq/xyZE5So7wanM960HLgcVDlwQT1Auo/x&#10;aAPfjgEaGTufTuh5hwWOfVIxXNF4r8brhLr9Le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tB&#10;StDYAAAACQEAAA8AAAAAAAAAAQAgAAAAIgAAAGRycy9kb3ducmV2LnhtbFBLAQIUABQAAAAIAIdO&#10;4kDnHcbjIwIAAN4EAAAOAAAAAAAAAAEAIAAAACcBAABkcnMvZTJvRG9jLnhtbFBLBQYAAAAABgAG&#10;AFkBAAC8BQAAAAA=&#10;" path="m1829053,0l0,0,0,9144,1829053,9144,1829053,0xe">
                <v:fill on="t" focussize="0,0"/>
                <v:stroke on="f"/>
                <v:imagedata o:title=""/>
                <o:lock v:ext="edit" aspectratio="f"/>
                <v:textbox inset="0mm,0mm,0mm,0mm"/>
                <w10:wrap type="topAndBottom"/>
              </v:shape>
            </w:pict>
          </mc:Fallback>
        </mc:AlternateContent>
      </w:r>
    </w:p>
    <w:p w14:paraId="4441A215">
      <w:pPr>
        <w:spacing w:before="223" w:line="405" w:lineRule="auto"/>
        <w:ind w:left="338" w:right="393" w:firstLine="360"/>
        <w:jc w:val="left"/>
        <w:rPr>
          <w:sz w:val="18"/>
        </w:rPr>
      </w:pPr>
      <w:r>
        <w:rPr>
          <w:rFonts w:ascii="微软雅黑" w:hAnsi="微软雅黑" w:eastAsia="微软雅黑"/>
          <w:spacing w:val="11"/>
          <w:position w:val="6"/>
          <w:sz w:val="12"/>
        </w:rPr>
        <w:t xml:space="preserve">① </w:t>
      </w:r>
      <w:r>
        <w:rPr>
          <w:sz w:val="18"/>
        </w:rPr>
        <w:t>“评标办法前附表”用于进一步明确正文中的未尽事宜，由招标人根据招标项目具体特点和实际需要编制和</w:t>
      </w:r>
      <w:r>
        <w:rPr>
          <w:spacing w:val="-3"/>
          <w:sz w:val="18"/>
        </w:rPr>
        <w:t>填写。评标办法前附表是对评标办法正文的补充和细化，应对照评标办法正文中同一编号的条款一起阅读和理解。</w:t>
      </w:r>
    </w:p>
    <w:p w14:paraId="72CFAC47">
      <w:pPr>
        <w:spacing w:before="0" w:line="291" w:lineRule="exact"/>
        <w:ind w:left="338" w:right="0" w:firstLine="0"/>
        <w:jc w:val="left"/>
        <w:rPr>
          <w:rFonts w:ascii="Microsoft JhengHei" w:eastAsia="Microsoft JhengHei"/>
          <w:b/>
          <w:sz w:val="18"/>
        </w:rPr>
      </w:pPr>
      <w:r>
        <w:rPr>
          <w:rFonts w:hint="eastAsia" w:ascii="宋体" w:hAnsi="宋体" w:eastAsia="宋体" w:cs="宋体"/>
          <w:b w:val="0"/>
          <w:bCs/>
          <w:spacing w:val="-1"/>
          <w:sz w:val="18"/>
        </w:rPr>
        <w:t>如前附表与正文不一致时，以前附表的规定为准</w:t>
      </w:r>
      <w:r>
        <w:rPr>
          <w:rFonts w:ascii="Microsoft JhengHei" w:eastAsia="Microsoft JhengHei"/>
          <w:b/>
          <w:spacing w:val="-1"/>
          <w:sz w:val="18"/>
        </w:rPr>
        <w:t>。</w:t>
      </w:r>
    </w:p>
    <w:p w14:paraId="1748503C">
      <w:pPr>
        <w:spacing w:after="0" w:line="291" w:lineRule="exact"/>
        <w:jc w:val="left"/>
        <w:rPr>
          <w:rFonts w:ascii="Microsoft JhengHei" w:eastAsia="Microsoft JhengHei"/>
          <w:sz w:val="18"/>
        </w:rPr>
        <w:sectPr>
          <w:pgSz w:w="11910" w:h="16850"/>
          <w:pgMar w:top="960" w:right="1062" w:bottom="900" w:left="1080" w:header="742" w:footer="719" w:gutter="0"/>
          <w:pgBorders>
            <w:top w:val="none" w:sz="0" w:space="0"/>
            <w:left w:val="none" w:sz="0" w:space="0"/>
            <w:bottom w:val="none" w:sz="0" w:space="0"/>
            <w:right w:val="none" w:sz="0" w:space="0"/>
          </w:pgBorders>
          <w:pgNumType w:fmt="decimal"/>
          <w:cols w:space="720" w:num="1"/>
        </w:sectPr>
      </w:pPr>
    </w:p>
    <w:p w14:paraId="4644E145">
      <w:pPr>
        <w:pStyle w:val="6"/>
        <w:spacing w:before="71"/>
        <w:rPr>
          <w:rFonts w:ascii="Microsoft JhengHei"/>
          <w:b/>
          <w:sz w:val="20"/>
        </w:rPr>
      </w:pPr>
    </w:p>
    <w:tbl>
      <w:tblPr>
        <w:tblStyle w:val="11"/>
        <w:tblW w:w="0" w:type="auto"/>
        <w:tblInd w:w="34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8"/>
        <w:gridCol w:w="1135"/>
        <w:gridCol w:w="1985"/>
        <w:gridCol w:w="5353"/>
      </w:tblGrid>
      <w:tr w14:paraId="0DE9E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9" w:hRule="atLeast"/>
        </w:trPr>
        <w:tc>
          <w:tcPr>
            <w:tcW w:w="1843" w:type="dxa"/>
            <w:gridSpan w:val="2"/>
            <w:tcBorders>
              <w:bottom w:val="single" w:color="000000" w:sz="2" w:space="0"/>
              <w:right w:val="single" w:color="000000" w:sz="2" w:space="0"/>
            </w:tcBorders>
          </w:tcPr>
          <w:p w14:paraId="5CA4D219">
            <w:pPr>
              <w:pStyle w:val="13"/>
              <w:spacing w:before="142"/>
              <w:ind w:left="604"/>
              <w:rPr>
                <w:sz w:val="21"/>
              </w:rPr>
            </w:pPr>
            <w:r>
              <w:rPr>
                <w:spacing w:val="-4"/>
                <w:sz w:val="21"/>
              </w:rPr>
              <w:t>条款号</w:t>
            </w:r>
          </w:p>
        </w:tc>
        <w:tc>
          <w:tcPr>
            <w:tcW w:w="1985" w:type="dxa"/>
            <w:tcBorders>
              <w:left w:val="single" w:color="000000" w:sz="2" w:space="0"/>
              <w:bottom w:val="single" w:color="000000" w:sz="2" w:space="0"/>
              <w:right w:val="single" w:color="000000" w:sz="2" w:space="0"/>
            </w:tcBorders>
          </w:tcPr>
          <w:p w14:paraId="75E2E110">
            <w:pPr>
              <w:pStyle w:val="13"/>
              <w:spacing w:before="142"/>
              <w:ind w:left="21" w:right="2"/>
              <w:jc w:val="center"/>
              <w:rPr>
                <w:sz w:val="21"/>
              </w:rPr>
            </w:pPr>
            <w:r>
              <w:rPr>
                <w:spacing w:val="-4"/>
                <w:sz w:val="21"/>
              </w:rPr>
              <w:t>评审因素</w:t>
            </w:r>
          </w:p>
        </w:tc>
        <w:tc>
          <w:tcPr>
            <w:tcW w:w="5353" w:type="dxa"/>
            <w:tcBorders>
              <w:left w:val="single" w:color="000000" w:sz="2" w:space="0"/>
              <w:bottom w:val="single" w:color="000000" w:sz="2" w:space="0"/>
            </w:tcBorders>
          </w:tcPr>
          <w:p w14:paraId="3C163509">
            <w:pPr>
              <w:pStyle w:val="13"/>
              <w:spacing w:before="142"/>
              <w:ind w:left="30"/>
              <w:jc w:val="center"/>
              <w:rPr>
                <w:sz w:val="21"/>
              </w:rPr>
            </w:pPr>
            <w:r>
              <w:rPr>
                <w:spacing w:val="-4"/>
                <w:sz w:val="21"/>
              </w:rPr>
              <w:t>评审标准</w:t>
            </w:r>
          </w:p>
        </w:tc>
      </w:tr>
      <w:tr w14:paraId="4C72C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08" w:type="dxa"/>
            <w:vMerge w:val="restart"/>
            <w:tcBorders>
              <w:top w:val="single" w:color="000000" w:sz="2" w:space="0"/>
              <w:bottom w:val="single" w:color="000000" w:sz="2" w:space="0"/>
              <w:right w:val="single" w:color="000000" w:sz="2" w:space="0"/>
            </w:tcBorders>
          </w:tcPr>
          <w:p w14:paraId="7635BA9A">
            <w:pPr>
              <w:pStyle w:val="13"/>
              <w:rPr>
                <w:rFonts w:ascii="Microsoft JhengHei"/>
                <w:b/>
                <w:sz w:val="21"/>
              </w:rPr>
            </w:pPr>
          </w:p>
          <w:p w14:paraId="4DBD5281">
            <w:pPr>
              <w:pStyle w:val="13"/>
              <w:rPr>
                <w:rFonts w:ascii="Microsoft JhengHei"/>
                <w:b/>
                <w:sz w:val="21"/>
              </w:rPr>
            </w:pPr>
          </w:p>
          <w:p w14:paraId="58D62AD1">
            <w:pPr>
              <w:pStyle w:val="13"/>
              <w:spacing w:before="130"/>
              <w:rPr>
                <w:rFonts w:ascii="Microsoft JhengHei"/>
                <w:b/>
                <w:sz w:val="21"/>
              </w:rPr>
            </w:pPr>
          </w:p>
          <w:p w14:paraId="77B3B38D">
            <w:pPr>
              <w:pStyle w:val="13"/>
              <w:spacing w:before="1"/>
              <w:ind w:left="143"/>
              <w:rPr>
                <w:rFonts w:ascii="Times New Roman"/>
                <w:sz w:val="21"/>
              </w:rPr>
            </w:pPr>
            <w:r>
              <w:rPr>
                <w:rFonts w:hint="default" w:ascii="Times New Roman" w:hAnsi="Times New Roman" w:cs="Times New Roman"/>
                <w:spacing w:val="-2"/>
                <w:sz w:val="21"/>
              </w:rPr>
              <w:t>2</w:t>
            </w:r>
            <w:r>
              <w:rPr>
                <w:rFonts w:ascii="Times New Roman"/>
                <w:spacing w:val="-2"/>
                <w:sz w:val="21"/>
              </w:rPr>
              <w:t>.</w:t>
            </w:r>
            <w:r>
              <w:rPr>
                <w:rFonts w:hint="default" w:ascii="Times New Roman" w:hAnsi="Times New Roman" w:cs="Times New Roman"/>
                <w:spacing w:val="-2"/>
                <w:sz w:val="21"/>
              </w:rPr>
              <w:t>1</w:t>
            </w:r>
            <w:r>
              <w:rPr>
                <w:rFonts w:ascii="Times New Roman"/>
                <w:spacing w:val="-2"/>
                <w:sz w:val="21"/>
              </w:rPr>
              <w:t>.</w:t>
            </w:r>
            <w:r>
              <w:rPr>
                <w:rFonts w:hint="default" w:ascii="Times New Roman" w:hAnsi="Times New Roman" w:cs="Times New Roman"/>
                <w:spacing w:val="-2"/>
                <w:sz w:val="21"/>
              </w:rPr>
              <w:t>3</w:t>
            </w:r>
          </w:p>
        </w:tc>
        <w:tc>
          <w:tcPr>
            <w:tcW w:w="1135" w:type="dxa"/>
            <w:vMerge w:val="restart"/>
            <w:tcBorders>
              <w:top w:val="single" w:color="000000" w:sz="2" w:space="0"/>
              <w:left w:val="single" w:color="000000" w:sz="2" w:space="0"/>
              <w:bottom w:val="single" w:color="000000" w:sz="2" w:space="0"/>
              <w:right w:val="single" w:color="000000" w:sz="2" w:space="0"/>
            </w:tcBorders>
          </w:tcPr>
          <w:p w14:paraId="5C42692A">
            <w:pPr>
              <w:pStyle w:val="13"/>
              <w:spacing w:before="8"/>
              <w:rPr>
                <w:rFonts w:ascii="Microsoft JhengHei"/>
                <w:b/>
                <w:sz w:val="21"/>
              </w:rPr>
            </w:pPr>
          </w:p>
          <w:p w14:paraId="152388E6">
            <w:pPr>
              <w:pStyle w:val="13"/>
              <w:spacing w:line="391" w:lineRule="auto"/>
              <w:ind w:left="153" w:right="132"/>
              <w:jc w:val="center"/>
              <w:rPr>
                <w:sz w:val="21"/>
              </w:rPr>
            </w:pPr>
            <w:r>
              <w:rPr>
                <w:spacing w:val="-4"/>
                <w:sz w:val="21"/>
              </w:rPr>
              <w:t>第二个信封（报价文件）响应性评审</w:t>
            </w:r>
            <w:r>
              <w:rPr>
                <w:spacing w:val="-6"/>
                <w:sz w:val="21"/>
              </w:rPr>
              <w:t>标准</w:t>
            </w:r>
          </w:p>
        </w:tc>
        <w:tc>
          <w:tcPr>
            <w:tcW w:w="1985" w:type="dxa"/>
            <w:tcBorders>
              <w:top w:val="single" w:color="000000" w:sz="2" w:space="0"/>
              <w:left w:val="single" w:color="000000" w:sz="2" w:space="0"/>
              <w:bottom w:val="single" w:color="000000" w:sz="2" w:space="0"/>
              <w:right w:val="single" w:color="000000" w:sz="2" w:space="0"/>
            </w:tcBorders>
          </w:tcPr>
          <w:p w14:paraId="1D2D8840">
            <w:pPr>
              <w:pStyle w:val="13"/>
              <w:spacing w:before="157"/>
              <w:ind w:left="21" w:right="2"/>
              <w:jc w:val="center"/>
              <w:rPr>
                <w:sz w:val="21"/>
              </w:rPr>
            </w:pPr>
            <w:r>
              <w:rPr>
                <w:spacing w:val="-4"/>
                <w:sz w:val="21"/>
              </w:rPr>
              <w:t>投标内容</w:t>
            </w:r>
          </w:p>
        </w:tc>
        <w:tc>
          <w:tcPr>
            <w:tcW w:w="5353" w:type="dxa"/>
            <w:tcBorders>
              <w:top w:val="single" w:color="000000" w:sz="2" w:space="0"/>
              <w:left w:val="single" w:color="000000" w:sz="2" w:space="0"/>
              <w:bottom w:val="single" w:color="000000" w:sz="2" w:space="0"/>
            </w:tcBorders>
          </w:tcPr>
          <w:p w14:paraId="603AC594">
            <w:pPr>
              <w:pStyle w:val="13"/>
              <w:spacing w:before="157"/>
              <w:ind w:left="115"/>
              <w:rPr>
                <w:sz w:val="21"/>
              </w:rPr>
            </w:pPr>
            <w:r>
              <w:rPr>
                <w:spacing w:val="-6"/>
                <w:sz w:val="21"/>
              </w:rPr>
              <w:t xml:space="preserve">符合第二章“投标人须知”第 </w:t>
            </w:r>
            <w:r>
              <w:rPr>
                <w:rFonts w:hint="default" w:ascii="Times New Roman" w:hAnsi="Times New Roman" w:eastAsia="Times New Roman" w:cs="Times New Roman"/>
                <w:spacing w:val="-2"/>
                <w:sz w:val="21"/>
              </w:rPr>
              <w:t>1</w:t>
            </w:r>
            <w:r>
              <w:rPr>
                <w:rFonts w:ascii="Times New Roman" w:hAnsi="Times New Roman" w:eastAsia="Times New Roman"/>
                <w:spacing w:val="-2"/>
                <w:sz w:val="21"/>
              </w:rPr>
              <w:t>.</w:t>
            </w:r>
            <w:r>
              <w:rPr>
                <w:rFonts w:hint="default" w:ascii="Times New Roman" w:hAnsi="Times New Roman" w:eastAsia="Times New Roman" w:cs="Times New Roman"/>
                <w:spacing w:val="-2"/>
                <w:sz w:val="21"/>
              </w:rPr>
              <w:t>3</w:t>
            </w:r>
            <w:r>
              <w:rPr>
                <w:rFonts w:ascii="Times New Roman" w:hAnsi="Times New Roman" w:eastAsia="Times New Roman"/>
                <w:spacing w:val="-2"/>
                <w:sz w:val="21"/>
              </w:rPr>
              <w:t>.</w:t>
            </w:r>
            <w:r>
              <w:rPr>
                <w:rFonts w:hint="default" w:ascii="Times New Roman" w:hAnsi="Times New Roman" w:eastAsia="Times New Roman" w:cs="Times New Roman"/>
                <w:spacing w:val="-2"/>
                <w:sz w:val="21"/>
              </w:rPr>
              <w:t>1</w:t>
            </w:r>
            <w:r>
              <w:rPr>
                <w:rFonts w:ascii="Times New Roman" w:hAnsi="Times New Roman" w:eastAsia="Times New Roman"/>
                <w:spacing w:val="7"/>
                <w:sz w:val="21"/>
              </w:rPr>
              <w:t xml:space="preserve"> </w:t>
            </w:r>
            <w:r>
              <w:rPr>
                <w:spacing w:val="-4"/>
                <w:sz w:val="21"/>
              </w:rPr>
              <w:t>项规定。</w:t>
            </w:r>
          </w:p>
        </w:tc>
      </w:tr>
      <w:tr w14:paraId="3CF45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8" w:hRule="atLeast"/>
        </w:trPr>
        <w:tc>
          <w:tcPr>
            <w:tcW w:w="708" w:type="dxa"/>
            <w:vMerge w:val="continue"/>
            <w:tcBorders>
              <w:top w:val="nil"/>
              <w:bottom w:val="single" w:color="000000" w:sz="2" w:space="0"/>
              <w:right w:val="single" w:color="000000" w:sz="2" w:space="0"/>
            </w:tcBorders>
          </w:tcPr>
          <w:p w14:paraId="46C9D9A0">
            <w:pPr>
              <w:rPr>
                <w:sz w:val="2"/>
                <w:szCs w:val="2"/>
              </w:rPr>
            </w:pPr>
          </w:p>
        </w:tc>
        <w:tc>
          <w:tcPr>
            <w:tcW w:w="1135" w:type="dxa"/>
            <w:vMerge w:val="continue"/>
            <w:tcBorders>
              <w:top w:val="nil"/>
              <w:left w:val="single" w:color="000000" w:sz="2" w:space="0"/>
              <w:bottom w:val="single" w:color="000000" w:sz="2" w:space="0"/>
              <w:right w:val="single" w:color="000000" w:sz="2" w:space="0"/>
            </w:tcBorders>
          </w:tcPr>
          <w:p w14:paraId="05A51021">
            <w:pPr>
              <w:rPr>
                <w:sz w:val="2"/>
                <w:szCs w:val="2"/>
              </w:rPr>
            </w:pPr>
          </w:p>
        </w:tc>
        <w:tc>
          <w:tcPr>
            <w:tcW w:w="1985" w:type="dxa"/>
            <w:tcBorders>
              <w:top w:val="single" w:color="000000" w:sz="2" w:space="0"/>
              <w:left w:val="single" w:color="000000" w:sz="2" w:space="0"/>
              <w:bottom w:val="single" w:color="000000" w:sz="2" w:space="0"/>
              <w:right w:val="single" w:color="000000" w:sz="2" w:space="0"/>
            </w:tcBorders>
          </w:tcPr>
          <w:p w14:paraId="45FFE8DA">
            <w:pPr>
              <w:pStyle w:val="13"/>
              <w:rPr>
                <w:rFonts w:ascii="Microsoft JhengHei"/>
                <w:b/>
                <w:sz w:val="21"/>
              </w:rPr>
            </w:pPr>
          </w:p>
          <w:p w14:paraId="55E3BAE1">
            <w:pPr>
              <w:pStyle w:val="13"/>
              <w:spacing w:before="30"/>
              <w:rPr>
                <w:rFonts w:ascii="Microsoft JhengHei"/>
                <w:b/>
                <w:sz w:val="21"/>
              </w:rPr>
            </w:pPr>
          </w:p>
          <w:p w14:paraId="43E63D19">
            <w:pPr>
              <w:pStyle w:val="13"/>
              <w:ind w:left="21" w:right="2"/>
              <w:jc w:val="center"/>
              <w:rPr>
                <w:sz w:val="21"/>
              </w:rPr>
            </w:pPr>
            <w:r>
              <w:rPr>
                <w:spacing w:val="-4"/>
                <w:sz w:val="21"/>
              </w:rPr>
              <w:t>投标报价</w:t>
            </w:r>
          </w:p>
        </w:tc>
        <w:tc>
          <w:tcPr>
            <w:tcW w:w="5353" w:type="dxa"/>
            <w:tcBorders>
              <w:top w:val="single" w:color="000000" w:sz="2" w:space="0"/>
              <w:left w:val="single" w:color="000000" w:sz="2" w:space="0"/>
              <w:bottom w:val="single" w:color="000000" w:sz="2" w:space="0"/>
            </w:tcBorders>
          </w:tcPr>
          <w:p w14:paraId="5C68FC61">
            <w:pPr>
              <w:pStyle w:val="13"/>
              <w:spacing w:before="142" w:line="391" w:lineRule="auto"/>
              <w:ind w:left="115" w:right="83"/>
              <w:jc w:val="both"/>
              <w:rPr>
                <w:sz w:val="21"/>
              </w:rPr>
            </w:pPr>
            <w:r>
              <w:rPr>
                <w:spacing w:val="-6"/>
                <w:sz w:val="21"/>
              </w:rPr>
              <w:t xml:space="preserve">符合第二章“投标人须知”第 </w:t>
            </w:r>
            <w:r>
              <w:rPr>
                <w:rFonts w:hint="default" w:ascii="Times New Roman" w:hAnsi="Times New Roman" w:eastAsia="Times New Roman" w:cs="Times New Roman"/>
                <w:spacing w:val="-4"/>
                <w:sz w:val="21"/>
              </w:rPr>
              <w:t>3</w:t>
            </w:r>
            <w:r>
              <w:rPr>
                <w:rFonts w:ascii="Times New Roman" w:hAnsi="Times New Roman" w:eastAsia="Times New Roman"/>
                <w:spacing w:val="-4"/>
                <w:sz w:val="21"/>
              </w:rPr>
              <w:t>.</w:t>
            </w:r>
            <w:r>
              <w:rPr>
                <w:rFonts w:hint="default" w:ascii="Times New Roman" w:hAnsi="Times New Roman" w:eastAsia="Times New Roman" w:cs="Times New Roman"/>
                <w:spacing w:val="-4"/>
                <w:sz w:val="21"/>
              </w:rPr>
              <w:t>2</w:t>
            </w:r>
            <w:r>
              <w:rPr>
                <w:rFonts w:ascii="Times New Roman" w:hAnsi="Times New Roman" w:eastAsia="Times New Roman"/>
                <w:spacing w:val="-9"/>
                <w:sz w:val="21"/>
              </w:rPr>
              <w:t xml:space="preserve"> </w:t>
            </w:r>
            <w:r>
              <w:rPr>
                <w:spacing w:val="-4"/>
                <w:sz w:val="21"/>
              </w:rPr>
              <w:t>款规定。投标报价未超</w:t>
            </w:r>
            <w:r>
              <w:rPr>
                <w:spacing w:val="-2"/>
                <w:sz w:val="21"/>
              </w:rPr>
              <w:t>过招标文件设定的最高投标限价。投标报价的大写金额</w:t>
            </w:r>
            <w:r>
              <w:rPr>
                <w:spacing w:val="-1"/>
                <w:sz w:val="21"/>
              </w:rPr>
              <w:t>能够确定具体数值。同一投标人未提交两个以上不同的</w:t>
            </w:r>
          </w:p>
          <w:p w14:paraId="29D481D7">
            <w:pPr>
              <w:pStyle w:val="13"/>
              <w:spacing w:before="5"/>
              <w:ind w:left="115"/>
              <w:rPr>
                <w:sz w:val="21"/>
              </w:rPr>
            </w:pPr>
            <w:r>
              <w:rPr>
                <w:spacing w:val="-4"/>
                <w:sz w:val="21"/>
              </w:rPr>
              <w:t>投标报价。</w:t>
            </w:r>
          </w:p>
        </w:tc>
      </w:tr>
      <w:tr w14:paraId="4C7F9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708" w:type="dxa"/>
            <w:vMerge w:val="continue"/>
            <w:tcBorders>
              <w:top w:val="nil"/>
              <w:bottom w:val="single" w:color="000000" w:sz="2" w:space="0"/>
              <w:right w:val="single" w:color="000000" w:sz="2" w:space="0"/>
            </w:tcBorders>
          </w:tcPr>
          <w:p w14:paraId="6FD350D1">
            <w:pPr>
              <w:rPr>
                <w:sz w:val="2"/>
                <w:szCs w:val="2"/>
              </w:rPr>
            </w:pPr>
          </w:p>
        </w:tc>
        <w:tc>
          <w:tcPr>
            <w:tcW w:w="1135" w:type="dxa"/>
            <w:vMerge w:val="continue"/>
            <w:tcBorders>
              <w:top w:val="nil"/>
              <w:left w:val="single" w:color="000000" w:sz="2" w:space="0"/>
              <w:bottom w:val="single" w:color="000000" w:sz="2" w:space="0"/>
              <w:right w:val="single" w:color="000000" w:sz="2" w:space="0"/>
            </w:tcBorders>
          </w:tcPr>
          <w:p w14:paraId="733F6F19">
            <w:pPr>
              <w:rPr>
                <w:sz w:val="2"/>
                <w:szCs w:val="2"/>
              </w:rPr>
            </w:pPr>
          </w:p>
        </w:tc>
        <w:tc>
          <w:tcPr>
            <w:tcW w:w="1985" w:type="dxa"/>
            <w:tcBorders>
              <w:top w:val="single" w:color="000000" w:sz="2" w:space="0"/>
              <w:left w:val="single" w:color="000000" w:sz="2" w:space="0"/>
              <w:bottom w:val="single" w:color="000000" w:sz="2" w:space="0"/>
              <w:right w:val="single" w:color="000000" w:sz="2" w:space="0"/>
            </w:tcBorders>
          </w:tcPr>
          <w:p w14:paraId="35088D62">
            <w:pPr>
              <w:pStyle w:val="13"/>
              <w:spacing w:before="157"/>
              <w:ind w:left="21"/>
              <w:jc w:val="center"/>
              <w:rPr>
                <w:sz w:val="21"/>
              </w:rPr>
            </w:pPr>
            <w:r>
              <w:rPr>
                <w:spacing w:val="-4"/>
                <w:sz w:val="21"/>
              </w:rPr>
              <w:t>调价函</w:t>
            </w:r>
          </w:p>
        </w:tc>
        <w:tc>
          <w:tcPr>
            <w:tcW w:w="5353" w:type="dxa"/>
            <w:tcBorders>
              <w:top w:val="single" w:color="000000" w:sz="2" w:space="0"/>
              <w:left w:val="single" w:color="000000" w:sz="2" w:space="0"/>
              <w:bottom w:val="single" w:color="000000" w:sz="2" w:space="0"/>
            </w:tcBorders>
          </w:tcPr>
          <w:p w14:paraId="7F81A30C">
            <w:pPr>
              <w:pStyle w:val="13"/>
              <w:spacing w:before="157"/>
              <w:ind w:left="115"/>
              <w:rPr>
                <w:sz w:val="21"/>
              </w:rPr>
            </w:pPr>
            <w:r>
              <w:rPr>
                <w:spacing w:val="-3"/>
                <w:sz w:val="21"/>
              </w:rPr>
              <w:t>投标人未提交调价函。</w:t>
            </w:r>
          </w:p>
        </w:tc>
      </w:tr>
      <w:tr w14:paraId="2E365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9181" w:type="dxa"/>
            <w:gridSpan w:val="4"/>
            <w:tcBorders>
              <w:top w:val="single" w:color="000000" w:sz="2" w:space="0"/>
            </w:tcBorders>
          </w:tcPr>
          <w:p w14:paraId="5BE5B5C9">
            <w:pPr>
              <w:pStyle w:val="13"/>
              <w:spacing w:before="157"/>
              <w:ind w:left="527"/>
              <w:rPr>
                <w:sz w:val="21"/>
              </w:rPr>
            </w:pPr>
            <w:r>
              <w:rPr>
                <w:spacing w:val="-3"/>
                <w:sz w:val="21"/>
              </w:rPr>
              <w:t>注：投标文件未满足以上任一条件的，其投标视为无效，评标委员会将否决其投标。</w:t>
            </w:r>
          </w:p>
        </w:tc>
      </w:tr>
    </w:tbl>
    <w:p w14:paraId="44428A36">
      <w:pPr>
        <w:pStyle w:val="6"/>
        <w:spacing w:before="74"/>
        <w:rPr>
          <w:rFonts w:ascii="Microsoft JhengHei"/>
          <w:b/>
          <w:sz w:val="20"/>
        </w:rPr>
      </w:pPr>
    </w:p>
    <w:tbl>
      <w:tblPr>
        <w:tblStyle w:val="11"/>
        <w:tblW w:w="4912" w:type="pct"/>
        <w:tblInd w:w="2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220"/>
        <w:gridCol w:w="692"/>
        <w:gridCol w:w="1691"/>
        <w:gridCol w:w="6003"/>
      </w:tblGrid>
      <w:tr w14:paraId="4050B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blHeader/>
        </w:trPr>
        <w:tc>
          <w:tcPr>
            <w:tcW w:w="635" w:type="pct"/>
            <w:tcBorders>
              <w:top w:val="single" w:color="auto" w:sz="4" w:space="0"/>
              <w:left w:val="single" w:color="auto" w:sz="4" w:space="0"/>
              <w:bottom w:val="single" w:color="auto" w:sz="4" w:space="0"/>
              <w:right w:val="single" w:color="auto" w:sz="4" w:space="0"/>
            </w:tcBorders>
            <w:vAlign w:val="center"/>
          </w:tcPr>
          <w:p w14:paraId="4CCCB780">
            <w:pPr>
              <w:pStyle w:val="13"/>
              <w:spacing w:before="82"/>
              <w:ind w:left="107" w:right="95"/>
              <w:jc w:val="center"/>
              <w:rPr>
                <w:sz w:val="21"/>
                <w:szCs w:val="21"/>
              </w:rPr>
            </w:pPr>
            <w:r>
              <w:rPr>
                <w:spacing w:val="-4"/>
                <w:sz w:val="21"/>
                <w:szCs w:val="21"/>
              </w:rPr>
              <w:t>条款号</w:t>
            </w:r>
          </w:p>
        </w:tc>
        <w:tc>
          <w:tcPr>
            <w:tcW w:w="1240" w:type="pct"/>
            <w:gridSpan w:val="2"/>
            <w:tcBorders>
              <w:top w:val="single" w:color="auto" w:sz="4" w:space="0"/>
              <w:left w:val="single" w:color="auto" w:sz="4" w:space="0"/>
              <w:bottom w:val="single" w:color="auto" w:sz="4" w:space="0"/>
              <w:right w:val="single" w:color="auto" w:sz="4" w:space="0"/>
            </w:tcBorders>
            <w:vAlign w:val="center"/>
          </w:tcPr>
          <w:p w14:paraId="64F255D1">
            <w:pPr>
              <w:pStyle w:val="13"/>
              <w:spacing w:before="82"/>
              <w:ind w:left="828"/>
              <w:rPr>
                <w:sz w:val="21"/>
                <w:szCs w:val="21"/>
              </w:rPr>
            </w:pPr>
            <w:r>
              <w:rPr>
                <w:spacing w:val="-4"/>
                <w:sz w:val="21"/>
                <w:szCs w:val="21"/>
              </w:rPr>
              <w:t>条款内容</w:t>
            </w:r>
          </w:p>
        </w:tc>
        <w:tc>
          <w:tcPr>
            <w:tcW w:w="3124" w:type="pct"/>
            <w:tcBorders>
              <w:top w:val="single" w:color="auto" w:sz="4" w:space="0"/>
              <w:left w:val="single" w:color="auto" w:sz="4" w:space="0"/>
              <w:bottom w:val="single" w:color="auto" w:sz="4" w:space="0"/>
              <w:right w:val="single" w:color="auto" w:sz="4" w:space="0"/>
            </w:tcBorders>
            <w:vAlign w:val="center"/>
          </w:tcPr>
          <w:p w14:paraId="562D1730">
            <w:pPr>
              <w:pStyle w:val="13"/>
              <w:spacing w:before="82"/>
              <w:ind w:left="27"/>
              <w:jc w:val="center"/>
              <w:rPr>
                <w:sz w:val="21"/>
                <w:szCs w:val="21"/>
              </w:rPr>
            </w:pPr>
            <w:r>
              <w:rPr>
                <w:spacing w:val="-4"/>
                <w:sz w:val="21"/>
                <w:szCs w:val="21"/>
              </w:rPr>
              <w:t>编列内容</w:t>
            </w:r>
          </w:p>
        </w:tc>
      </w:tr>
      <w:tr w14:paraId="13C5B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0" w:hRule="atLeast"/>
        </w:trPr>
        <w:tc>
          <w:tcPr>
            <w:tcW w:w="635" w:type="pct"/>
            <w:tcBorders>
              <w:top w:val="single" w:color="auto" w:sz="4" w:space="0"/>
              <w:left w:val="single" w:color="auto" w:sz="4" w:space="0"/>
              <w:bottom w:val="single" w:color="auto" w:sz="4" w:space="0"/>
              <w:right w:val="single" w:color="auto" w:sz="4" w:space="0"/>
            </w:tcBorders>
            <w:vAlign w:val="top"/>
          </w:tcPr>
          <w:p w14:paraId="2A0E56C3">
            <w:pPr>
              <w:pStyle w:val="13"/>
              <w:spacing w:before="205"/>
              <w:rPr>
                <w:rFonts w:ascii="Microsoft JhengHei"/>
                <w:b/>
                <w:sz w:val="21"/>
                <w:szCs w:val="21"/>
              </w:rPr>
            </w:pPr>
          </w:p>
          <w:p w14:paraId="20798930">
            <w:pPr>
              <w:pStyle w:val="13"/>
              <w:spacing w:before="1"/>
              <w:ind w:left="107" w:right="95"/>
              <w:jc w:val="center"/>
              <w:rPr>
                <w:rFonts w:ascii="Times New Roman"/>
                <w:sz w:val="21"/>
                <w:szCs w:val="21"/>
              </w:rPr>
            </w:pPr>
            <w:r>
              <w:rPr>
                <w:rFonts w:hint="default" w:ascii="Times New Roman" w:hAnsi="Times New Roman" w:cs="Times New Roman"/>
                <w:spacing w:val="-2"/>
                <w:sz w:val="21"/>
                <w:szCs w:val="21"/>
              </w:rPr>
              <w:t>2</w:t>
            </w:r>
            <w:r>
              <w:rPr>
                <w:rFonts w:ascii="Times New Roman"/>
                <w:spacing w:val="-2"/>
                <w:sz w:val="21"/>
                <w:szCs w:val="21"/>
              </w:rPr>
              <w:t>.</w:t>
            </w:r>
            <w:r>
              <w:rPr>
                <w:rFonts w:hint="default" w:ascii="Times New Roman" w:hAnsi="Times New Roman" w:cs="Times New Roman"/>
                <w:spacing w:val="-2"/>
                <w:sz w:val="21"/>
                <w:szCs w:val="21"/>
              </w:rPr>
              <w:t>2</w:t>
            </w:r>
            <w:r>
              <w:rPr>
                <w:rFonts w:ascii="Times New Roman"/>
                <w:spacing w:val="-2"/>
                <w:sz w:val="21"/>
                <w:szCs w:val="21"/>
              </w:rPr>
              <w:t>.</w:t>
            </w:r>
            <w:r>
              <w:rPr>
                <w:rFonts w:hint="default" w:ascii="Times New Roman" w:hAnsi="Times New Roman" w:cs="Times New Roman"/>
                <w:spacing w:val="-2"/>
                <w:sz w:val="21"/>
                <w:szCs w:val="21"/>
              </w:rPr>
              <w:t>1</w:t>
            </w:r>
          </w:p>
        </w:tc>
        <w:tc>
          <w:tcPr>
            <w:tcW w:w="1240" w:type="pct"/>
            <w:gridSpan w:val="2"/>
            <w:tcBorders>
              <w:top w:val="single" w:color="auto" w:sz="4" w:space="0"/>
              <w:left w:val="single" w:color="auto" w:sz="4" w:space="0"/>
              <w:bottom w:val="single" w:color="auto" w:sz="4" w:space="0"/>
              <w:right w:val="single" w:color="auto" w:sz="4" w:space="0"/>
            </w:tcBorders>
            <w:vAlign w:val="top"/>
          </w:tcPr>
          <w:p w14:paraId="4E90AD9A">
            <w:pPr>
              <w:pStyle w:val="13"/>
              <w:jc w:val="center"/>
              <w:rPr>
                <w:spacing w:val="-4"/>
                <w:sz w:val="21"/>
                <w:szCs w:val="21"/>
              </w:rPr>
            </w:pPr>
          </w:p>
          <w:p w14:paraId="692220D5">
            <w:pPr>
              <w:pStyle w:val="13"/>
              <w:jc w:val="center"/>
              <w:rPr>
                <w:sz w:val="21"/>
                <w:szCs w:val="21"/>
              </w:rPr>
            </w:pPr>
            <w:r>
              <w:rPr>
                <w:spacing w:val="-4"/>
                <w:sz w:val="21"/>
                <w:szCs w:val="21"/>
              </w:rPr>
              <w:t>分值构成</w:t>
            </w:r>
          </w:p>
          <w:p w14:paraId="2648F320">
            <w:pPr>
              <w:pStyle w:val="13"/>
              <w:spacing w:before="172"/>
              <w:ind w:left="22" w:right="2"/>
              <w:jc w:val="center"/>
              <w:rPr>
                <w:sz w:val="21"/>
                <w:szCs w:val="21"/>
              </w:rPr>
            </w:pPr>
            <w:r>
              <w:rPr>
                <w:sz w:val="21"/>
                <w:szCs w:val="21"/>
              </w:rPr>
              <w:t>（</w:t>
            </w:r>
            <w:r>
              <w:rPr>
                <w:spacing w:val="-19"/>
                <w:sz w:val="21"/>
                <w:szCs w:val="21"/>
              </w:rPr>
              <w:t xml:space="preserve">总分 </w:t>
            </w:r>
            <w:r>
              <w:rPr>
                <w:rFonts w:hint="default" w:ascii="Times New Roman" w:hAnsi="Times New Roman" w:eastAsia="Times New Roman" w:cs="Times New Roman"/>
                <w:sz w:val="21"/>
                <w:szCs w:val="21"/>
              </w:rPr>
              <w:t>100</w:t>
            </w:r>
            <w:r>
              <w:rPr>
                <w:rFonts w:ascii="Times New Roman" w:eastAsia="Times New Roman"/>
                <w:spacing w:val="-6"/>
                <w:sz w:val="21"/>
                <w:szCs w:val="21"/>
              </w:rPr>
              <w:t xml:space="preserve"> </w:t>
            </w:r>
            <w:r>
              <w:rPr>
                <w:sz w:val="21"/>
                <w:szCs w:val="21"/>
              </w:rPr>
              <w:t>分</w:t>
            </w:r>
            <w:r>
              <w:rPr>
                <w:spacing w:val="-10"/>
                <w:sz w:val="21"/>
                <w:szCs w:val="21"/>
              </w:rPr>
              <w:t>）</w:t>
            </w:r>
          </w:p>
        </w:tc>
        <w:tc>
          <w:tcPr>
            <w:tcW w:w="3124" w:type="pct"/>
            <w:tcBorders>
              <w:top w:val="single" w:color="auto" w:sz="4" w:space="0"/>
              <w:left w:val="single" w:color="auto" w:sz="4" w:space="0"/>
              <w:bottom w:val="single" w:color="auto" w:sz="4" w:space="0"/>
              <w:right w:val="single" w:color="auto" w:sz="4" w:space="0"/>
            </w:tcBorders>
            <w:vAlign w:val="top"/>
          </w:tcPr>
          <w:p w14:paraId="0CB16DAD">
            <w:pPr>
              <w:pStyle w:val="13"/>
              <w:keepNext w:val="0"/>
              <w:keepLines w:val="0"/>
              <w:pageBreakBefore w:val="0"/>
              <w:widowControl w:val="0"/>
              <w:kinsoku/>
              <w:wordWrap/>
              <w:overflowPunct/>
              <w:topLinePunct w:val="0"/>
              <w:autoSpaceDE w:val="0"/>
              <w:autoSpaceDN w:val="0"/>
              <w:bidi w:val="0"/>
              <w:adjustRightInd/>
              <w:snapToGrid/>
              <w:spacing w:before="120" w:line="240" w:lineRule="auto"/>
              <w:ind w:left="0" w:firstLine="412" w:firstLineChars="200"/>
              <w:jc w:val="both"/>
              <w:textAlignment w:val="auto"/>
              <w:rPr>
                <w:sz w:val="21"/>
                <w:szCs w:val="21"/>
              </w:rPr>
            </w:pPr>
            <w:r>
              <w:rPr>
                <w:spacing w:val="-2"/>
                <w:sz w:val="21"/>
                <w:szCs w:val="21"/>
              </w:rPr>
              <w:t>第一个信封（商务文件部分）：</w:t>
            </w:r>
            <w:r>
              <w:rPr>
                <w:rFonts w:hint="default" w:ascii="Times New Roman" w:hAnsi="Times New Roman" w:cs="Times New Roman"/>
                <w:spacing w:val="-2"/>
                <w:sz w:val="21"/>
                <w:szCs w:val="21"/>
                <w:lang w:val="en-US" w:eastAsia="zh-CN"/>
              </w:rPr>
              <w:t>10</w:t>
            </w:r>
            <w:r>
              <w:rPr>
                <w:spacing w:val="-10"/>
                <w:sz w:val="21"/>
                <w:szCs w:val="21"/>
              </w:rPr>
              <w:t>分</w:t>
            </w:r>
          </w:p>
          <w:p w14:paraId="1C522560">
            <w:pPr>
              <w:pStyle w:val="13"/>
              <w:keepNext w:val="0"/>
              <w:keepLines w:val="0"/>
              <w:pageBreakBefore w:val="0"/>
              <w:widowControl w:val="0"/>
              <w:kinsoku/>
              <w:wordWrap/>
              <w:overflowPunct/>
              <w:topLinePunct w:val="0"/>
              <w:autoSpaceDE w:val="0"/>
              <w:autoSpaceDN w:val="0"/>
              <w:bidi w:val="0"/>
              <w:adjustRightInd/>
              <w:snapToGrid/>
              <w:spacing w:before="120" w:line="240" w:lineRule="auto"/>
              <w:ind w:left="0" w:firstLine="412" w:firstLineChars="200"/>
              <w:jc w:val="both"/>
              <w:textAlignment w:val="auto"/>
              <w:rPr>
                <w:sz w:val="21"/>
                <w:szCs w:val="21"/>
              </w:rPr>
            </w:pPr>
            <w:r>
              <w:rPr>
                <w:spacing w:val="-2"/>
                <w:sz w:val="21"/>
                <w:szCs w:val="21"/>
              </w:rPr>
              <w:t>第一个信封（技术文件部分）：</w:t>
            </w:r>
            <w:r>
              <w:rPr>
                <w:rFonts w:hint="default" w:ascii="Times New Roman" w:hAnsi="Times New Roman" w:cs="Times New Roman"/>
                <w:spacing w:val="-2"/>
                <w:sz w:val="21"/>
                <w:szCs w:val="21"/>
                <w:lang w:val="en-US" w:eastAsia="zh-CN"/>
              </w:rPr>
              <w:t>40</w:t>
            </w:r>
            <w:r>
              <w:rPr>
                <w:spacing w:val="-10"/>
                <w:sz w:val="21"/>
                <w:szCs w:val="21"/>
              </w:rPr>
              <w:t>分</w:t>
            </w:r>
          </w:p>
          <w:p w14:paraId="234CAC79">
            <w:pPr>
              <w:pStyle w:val="13"/>
              <w:keepNext w:val="0"/>
              <w:keepLines w:val="0"/>
              <w:pageBreakBefore w:val="0"/>
              <w:widowControl w:val="0"/>
              <w:kinsoku/>
              <w:wordWrap/>
              <w:overflowPunct/>
              <w:topLinePunct w:val="0"/>
              <w:autoSpaceDE w:val="0"/>
              <w:autoSpaceDN w:val="0"/>
              <w:bidi w:val="0"/>
              <w:adjustRightInd/>
              <w:snapToGrid/>
              <w:spacing w:before="120" w:line="240" w:lineRule="auto"/>
              <w:ind w:left="0" w:firstLine="412" w:firstLineChars="200"/>
              <w:jc w:val="both"/>
              <w:textAlignment w:val="auto"/>
              <w:rPr>
                <w:sz w:val="21"/>
                <w:szCs w:val="21"/>
              </w:rPr>
            </w:pPr>
            <w:r>
              <w:rPr>
                <w:spacing w:val="-2"/>
                <w:sz w:val="21"/>
                <w:szCs w:val="21"/>
              </w:rPr>
              <w:t>第二个信封（报价文件部分）：</w:t>
            </w:r>
            <w:r>
              <w:rPr>
                <w:rFonts w:hint="default" w:ascii="Times New Roman" w:hAnsi="Times New Roman" w:cs="Times New Roman"/>
                <w:spacing w:val="-2"/>
                <w:sz w:val="21"/>
                <w:szCs w:val="21"/>
                <w:lang w:val="en-US" w:eastAsia="zh-CN"/>
              </w:rPr>
              <w:t>50</w:t>
            </w:r>
            <w:r>
              <w:rPr>
                <w:spacing w:val="-10"/>
                <w:sz w:val="21"/>
                <w:szCs w:val="21"/>
              </w:rPr>
              <w:t>分</w:t>
            </w:r>
          </w:p>
        </w:tc>
      </w:tr>
      <w:tr w14:paraId="0C499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35" w:type="pct"/>
            <w:tcBorders>
              <w:top w:val="single" w:color="auto" w:sz="4" w:space="0"/>
              <w:left w:val="single" w:color="auto" w:sz="4" w:space="0"/>
              <w:bottom w:val="single" w:color="auto" w:sz="4" w:space="0"/>
              <w:right w:val="single" w:color="auto" w:sz="4" w:space="0"/>
            </w:tcBorders>
            <w:vAlign w:val="top"/>
          </w:tcPr>
          <w:p w14:paraId="76CBEB80">
            <w:pPr>
              <w:pStyle w:val="13"/>
              <w:rPr>
                <w:rFonts w:ascii="Microsoft JhengHei"/>
                <w:b/>
                <w:sz w:val="21"/>
                <w:szCs w:val="21"/>
              </w:rPr>
            </w:pPr>
          </w:p>
          <w:p w14:paraId="1CEDD353">
            <w:pPr>
              <w:pStyle w:val="13"/>
              <w:rPr>
                <w:rFonts w:ascii="Microsoft JhengHei"/>
                <w:b/>
                <w:sz w:val="21"/>
                <w:szCs w:val="21"/>
              </w:rPr>
            </w:pPr>
          </w:p>
          <w:p w14:paraId="7E8DFD75">
            <w:pPr>
              <w:pStyle w:val="13"/>
              <w:rPr>
                <w:rFonts w:ascii="Microsoft JhengHei"/>
                <w:b/>
                <w:sz w:val="21"/>
                <w:szCs w:val="21"/>
              </w:rPr>
            </w:pPr>
          </w:p>
          <w:p w14:paraId="632DDC60">
            <w:pPr>
              <w:pStyle w:val="13"/>
              <w:rPr>
                <w:rFonts w:ascii="Microsoft JhengHei"/>
                <w:b/>
                <w:sz w:val="21"/>
                <w:szCs w:val="21"/>
              </w:rPr>
            </w:pPr>
          </w:p>
          <w:p w14:paraId="46249D62">
            <w:pPr>
              <w:pStyle w:val="13"/>
              <w:rPr>
                <w:rFonts w:ascii="Microsoft JhengHei"/>
                <w:b/>
                <w:sz w:val="21"/>
                <w:szCs w:val="21"/>
              </w:rPr>
            </w:pPr>
          </w:p>
          <w:p w14:paraId="70B8F45A">
            <w:pPr>
              <w:pStyle w:val="13"/>
              <w:spacing w:before="41"/>
              <w:rPr>
                <w:rFonts w:ascii="Microsoft JhengHei"/>
                <w:b/>
                <w:sz w:val="21"/>
                <w:szCs w:val="21"/>
              </w:rPr>
            </w:pPr>
          </w:p>
          <w:p w14:paraId="509A843E">
            <w:pPr>
              <w:pStyle w:val="13"/>
              <w:spacing w:before="41"/>
              <w:rPr>
                <w:rFonts w:ascii="Microsoft JhengHei"/>
                <w:b/>
                <w:sz w:val="21"/>
                <w:szCs w:val="21"/>
              </w:rPr>
            </w:pPr>
          </w:p>
          <w:p w14:paraId="727A533B">
            <w:pPr>
              <w:pStyle w:val="13"/>
              <w:ind w:left="12" w:right="107"/>
              <w:jc w:val="center"/>
              <w:rPr>
                <w:rFonts w:ascii="Times New Roman"/>
                <w:sz w:val="21"/>
                <w:szCs w:val="21"/>
              </w:rPr>
            </w:pPr>
            <w:r>
              <w:rPr>
                <w:rFonts w:hint="default" w:ascii="Times New Roman" w:hAnsi="Times New Roman" w:cs="Times New Roman"/>
                <w:spacing w:val="-2"/>
                <w:sz w:val="21"/>
                <w:szCs w:val="21"/>
              </w:rPr>
              <w:t>2</w:t>
            </w:r>
            <w:r>
              <w:rPr>
                <w:rFonts w:ascii="Times New Roman"/>
                <w:spacing w:val="-2"/>
                <w:sz w:val="21"/>
                <w:szCs w:val="21"/>
              </w:rPr>
              <w:t>.</w:t>
            </w:r>
            <w:r>
              <w:rPr>
                <w:rFonts w:hint="default" w:ascii="Times New Roman" w:hAnsi="Times New Roman" w:cs="Times New Roman"/>
                <w:spacing w:val="-2"/>
                <w:sz w:val="21"/>
                <w:szCs w:val="21"/>
              </w:rPr>
              <w:t>2</w:t>
            </w:r>
            <w:r>
              <w:rPr>
                <w:rFonts w:ascii="Times New Roman"/>
                <w:spacing w:val="-2"/>
                <w:sz w:val="21"/>
                <w:szCs w:val="21"/>
              </w:rPr>
              <w:t>.</w:t>
            </w:r>
            <w:r>
              <w:rPr>
                <w:rFonts w:hint="default" w:ascii="Times New Roman" w:hAnsi="Times New Roman" w:cs="Times New Roman"/>
                <w:spacing w:val="-2"/>
                <w:sz w:val="21"/>
                <w:szCs w:val="21"/>
              </w:rPr>
              <w:t>2</w:t>
            </w:r>
          </w:p>
        </w:tc>
        <w:tc>
          <w:tcPr>
            <w:tcW w:w="1240" w:type="pct"/>
            <w:gridSpan w:val="2"/>
            <w:tcBorders>
              <w:top w:val="single" w:color="auto" w:sz="4" w:space="0"/>
              <w:left w:val="single" w:color="auto" w:sz="4" w:space="0"/>
              <w:bottom w:val="single" w:color="auto" w:sz="4" w:space="0"/>
              <w:right w:val="single" w:color="auto" w:sz="4" w:space="0"/>
            </w:tcBorders>
            <w:vAlign w:val="top"/>
          </w:tcPr>
          <w:p w14:paraId="036CBF8C">
            <w:pPr>
              <w:pStyle w:val="13"/>
              <w:rPr>
                <w:rFonts w:ascii="Microsoft JhengHei"/>
                <w:b/>
                <w:sz w:val="21"/>
                <w:szCs w:val="21"/>
              </w:rPr>
            </w:pPr>
          </w:p>
          <w:p w14:paraId="5C794A68">
            <w:pPr>
              <w:pStyle w:val="13"/>
              <w:rPr>
                <w:rFonts w:ascii="Microsoft JhengHei"/>
                <w:b/>
                <w:sz w:val="21"/>
                <w:szCs w:val="21"/>
              </w:rPr>
            </w:pPr>
          </w:p>
          <w:p w14:paraId="0329910F">
            <w:pPr>
              <w:pStyle w:val="13"/>
              <w:rPr>
                <w:rFonts w:ascii="Microsoft JhengHei"/>
                <w:b/>
                <w:sz w:val="21"/>
                <w:szCs w:val="21"/>
              </w:rPr>
            </w:pPr>
          </w:p>
          <w:p w14:paraId="7D3CBE15">
            <w:pPr>
              <w:pStyle w:val="13"/>
              <w:rPr>
                <w:rFonts w:ascii="Microsoft JhengHei"/>
                <w:b/>
                <w:sz w:val="21"/>
                <w:szCs w:val="21"/>
              </w:rPr>
            </w:pPr>
          </w:p>
          <w:p w14:paraId="148578CB">
            <w:pPr>
              <w:pStyle w:val="13"/>
              <w:rPr>
                <w:rFonts w:ascii="Microsoft JhengHei"/>
                <w:b/>
                <w:sz w:val="21"/>
                <w:szCs w:val="21"/>
              </w:rPr>
            </w:pPr>
          </w:p>
          <w:p w14:paraId="75F8CA4A">
            <w:pPr>
              <w:pStyle w:val="13"/>
              <w:spacing w:before="27"/>
              <w:rPr>
                <w:rFonts w:ascii="Microsoft JhengHei"/>
                <w:b/>
                <w:sz w:val="21"/>
                <w:szCs w:val="21"/>
              </w:rPr>
            </w:pPr>
          </w:p>
          <w:p w14:paraId="0648597D">
            <w:pPr>
              <w:pStyle w:val="13"/>
              <w:spacing w:before="27"/>
              <w:rPr>
                <w:rFonts w:ascii="Microsoft JhengHei"/>
                <w:b/>
                <w:sz w:val="21"/>
                <w:szCs w:val="21"/>
              </w:rPr>
            </w:pPr>
          </w:p>
          <w:p w14:paraId="72868E20">
            <w:pPr>
              <w:pStyle w:val="13"/>
              <w:keepNext w:val="0"/>
              <w:keepLines w:val="0"/>
              <w:pageBreakBefore w:val="0"/>
              <w:widowControl w:val="0"/>
              <w:kinsoku/>
              <w:wordWrap/>
              <w:overflowPunct/>
              <w:topLinePunct w:val="0"/>
              <w:autoSpaceDE w:val="0"/>
              <w:autoSpaceDN w:val="0"/>
              <w:bidi w:val="0"/>
              <w:adjustRightInd/>
              <w:snapToGrid/>
              <w:ind w:left="220" w:leftChars="100"/>
              <w:textAlignment w:val="auto"/>
              <w:rPr>
                <w:sz w:val="21"/>
                <w:szCs w:val="21"/>
              </w:rPr>
            </w:pPr>
            <w:r>
              <w:rPr>
                <w:spacing w:val="-3"/>
                <w:sz w:val="21"/>
                <w:szCs w:val="21"/>
              </w:rPr>
              <w:t>评标基准价计算方法</w:t>
            </w:r>
          </w:p>
        </w:tc>
        <w:tc>
          <w:tcPr>
            <w:tcW w:w="3124" w:type="pct"/>
            <w:tcBorders>
              <w:top w:val="single" w:color="auto" w:sz="4" w:space="0"/>
              <w:left w:val="single" w:color="auto" w:sz="4" w:space="0"/>
              <w:bottom w:val="single" w:color="auto" w:sz="4" w:space="0"/>
              <w:right w:val="single" w:color="auto" w:sz="4" w:space="0"/>
            </w:tcBorders>
            <w:vAlign w:val="top"/>
          </w:tcPr>
          <w:p w14:paraId="2C8AC299">
            <w:pPr>
              <w:pStyle w:val="13"/>
              <w:keepNext w:val="0"/>
              <w:keepLines w:val="0"/>
              <w:pageBreakBefore w:val="0"/>
              <w:widowControl w:val="0"/>
              <w:numPr>
                <w:ilvl w:val="0"/>
                <w:numId w:val="1"/>
              </w:numPr>
              <w:kinsoku/>
              <w:wordWrap/>
              <w:overflowPunct/>
              <w:topLinePunct w:val="0"/>
              <w:autoSpaceDE w:val="0"/>
              <w:autoSpaceDN w:val="0"/>
              <w:bidi w:val="0"/>
              <w:adjustRightInd/>
              <w:snapToGrid/>
              <w:spacing w:before="100" w:line="360" w:lineRule="auto"/>
              <w:ind w:left="0" w:firstLine="404" w:firstLineChars="200"/>
              <w:jc w:val="both"/>
              <w:textAlignment w:val="auto"/>
              <w:rPr>
                <w:spacing w:val="-4"/>
                <w:sz w:val="21"/>
                <w:szCs w:val="21"/>
              </w:rPr>
            </w:pPr>
            <w:r>
              <w:rPr>
                <w:spacing w:val="-4"/>
                <w:sz w:val="21"/>
                <w:szCs w:val="21"/>
              </w:rPr>
              <w:t>评标价的确定：</w:t>
            </w:r>
          </w:p>
          <w:p w14:paraId="78707C1B">
            <w:pPr>
              <w:pStyle w:val="13"/>
              <w:keepNext w:val="0"/>
              <w:keepLines w:val="0"/>
              <w:pageBreakBefore w:val="0"/>
              <w:widowControl w:val="0"/>
              <w:numPr>
                <w:ilvl w:val="0"/>
                <w:numId w:val="0"/>
              </w:numPr>
              <w:tabs>
                <w:tab w:val="left" w:pos="436"/>
              </w:tabs>
              <w:kinsoku/>
              <w:wordWrap/>
              <w:overflowPunct/>
              <w:topLinePunct w:val="0"/>
              <w:autoSpaceDE w:val="0"/>
              <w:autoSpaceDN w:val="0"/>
              <w:bidi w:val="0"/>
              <w:adjustRightInd/>
              <w:snapToGrid/>
              <w:spacing w:before="0" w:after="0" w:line="360" w:lineRule="auto"/>
              <w:ind w:left="209" w:leftChars="95" w:right="199" w:rightChars="0" w:firstLine="412" w:firstLineChars="200"/>
              <w:jc w:val="both"/>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通过初审的投标人为有效投标人，其投标报价经算术修正之后的价格为有效投标报价；</w:t>
            </w:r>
          </w:p>
          <w:p w14:paraId="3C96C70A">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0" w:firstLine="412" w:firstLineChars="200"/>
              <w:jc w:val="both"/>
              <w:textAlignment w:val="auto"/>
              <w:rPr>
                <w:rFonts w:hint="eastAsia" w:eastAsia="宋体"/>
                <w:sz w:val="21"/>
                <w:szCs w:val="21"/>
                <w:lang w:eastAsia="zh-CN"/>
              </w:rPr>
            </w:pPr>
            <w:r>
              <w:rPr>
                <w:spacing w:val="-2"/>
                <w:sz w:val="21"/>
                <w:szCs w:val="21"/>
              </w:rPr>
              <w:t>评标价</w:t>
            </w:r>
            <w:r>
              <w:rPr>
                <w:rFonts w:ascii="Times New Roman" w:eastAsia="Times New Roman"/>
                <w:spacing w:val="-2"/>
                <w:sz w:val="21"/>
                <w:szCs w:val="21"/>
              </w:rPr>
              <w:t>=</w:t>
            </w:r>
            <w:r>
              <w:rPr>
                <w:spacing w:val="-3"/>
                <w:sz w:val="21"/>
                <w:szCs w:val="21"/>
              </w:rPr>
              <w:t>有效投标函中投标报价大写金额</w:t>
            </w:r>
            <w:r>
              <w:rPr>
                <w:rFonts w:hint="eastAsia"/>
                <w:spacing w:val="-3"/>
                <w:sz w:val="21"/>
                <w:szCs w:val="21"/>
                <w:lang w:eastAsia="zh-CN"/>
              </w:rPr>
              <w:t>。</w:t>
            </w:r>
          </w:p>
          <w:p w14:paraId="4BA83B9B">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0" w:firstLine="412" w:firstLineChars="200"/>
              <w:jc w:val="both"/>
              <w:textAlignment w:val="auto"/>
              <w:rPr>
                <w:sz w:val="21"/>
                <w:szCs w:val="21"/>
              </w:rPr>
            </w:pPr>
            <w:r>
              <w:rPr>
                <w:rFonts w:hint="default" w:ascii="Times New Roman" w:hAnsi="Times New Roman" w:eastAsia="Times New Roman" w:cs="Times New Roman"/>
                <w:spacing w:val="-2"/>
                <w:sz w:val="21"/>
                <w:szCs w:val="21"/>
              </w:rPr>
              <w:t>2</w:t>
            </w:r>
            <w:r>
              <w:rPr>
                <w:spacing w:val="-2"/>
                <w:sz w:val="21"/>
                <w:szCs w:val="21"/>
              </w:rPr>
              <w:t>、投标价平均值（</w:t>
            </w:r>
            <w:r>
              <w:rPr>
                <w:rFonts w:ascii="Times New Roman" w:eastAsia="Times New Roman"/>
                <w:spacing w:val="-2"/>
                <w:sz w:val="21"/>
                <w:szCs w:val="21"/>
              </w:rPr>
              <w:t>B</w:t>
            </w:r>
            <w:r>
              <w:rPr>
                <w:spacing w:val="-2"/>
                <w:sz w:val="21"/>
                <w:szCs w:val="21"/>
              </w:rPr>
              <w:t>）</w:t>
            </w:r>
            <w:r>
              <w:rPr>
                <w:spacing w:val="-4"/>
                <w:sz w:val="21"/>
                <w:szCs w:val="21"/>
              </w:rPr>
              <w:t>的计算：</w:t>
            </w:r>
          </w:p>
          <w:p w14:paraId="2CECC8D0">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110" w:leftChars="50" w:right="83" w:firstLine="412" w:firstLineChars="200"/>
              <w:jc w:val="both"/>
              <w:textAlignment w:val="auto"/>
              <w:rPr>
                <w:sz w:val="21"/>
                <w:szCs w:val="21"/>
              </w:rPr>
            </w:pPr>
            <w:r>
              <w:rPr>
                <w:spacing w:val="-2"/>
                <w:sz w:val="21"/>
                <w:szCs w:val="21"/>
              </w:rPr>
              <w:t>开标过程中，若招标人发现投标文件出现以下任一情形并经确认后，其投标报价将不再参加评标基准价的计算：</w:t>
            </w:r>
          </w:p>
          <w:p w14:paraId="41C94EA8">
            <w:pPr>
              <w:pStyle w:val="13"/>
              <w:keepNext w:val="0"/>
              <w:keepLines w:val="0"/>
              <w:pageBreakBefore w:val="0"/>
              <w:widowControl w:val="0"/>
              <w:numPr>
                <w:ilvl w:val="0"/>
                <w:numId w:val="2"/>
              </w:numPr>
              <w:tabs>
                <w:tab w:val="left" w:pos="1063"/>
              </w:tabs>
              <w:kinsoku/>
              <w:wordWrap/>
              <w:overflowPunct/>
              <w:topLinePunct w:val="0"/>
              <w:autoSpaceDE w:val="0"/>
              <w:autoSpaceDN w:val="0"/>
              <w:bidi w:val="0"/>
              <w:adjustRightInd/>
              <w:snapToGrid/>
              <w:spacing w:before="0" w:after="0" w:line="360" w:lineRule="auto"/>
              <w:ind w:left="110" w:leftChars="50" w:right="0" w:firstLine="408" w:firstLineChars="200"/>
              <w:jc w:val="both"/>
              <w:textAlignment w:val="auto"/>
              <w:rPr>
                <w:sz w:val="21"/>
                <w:szCs w:val="21"/>
              </w:rPr>
            </w:pPr>
            <w:r>
              <w:rPr>
                <w:spacing w:val="-3"/>
                <w:sz w:val="21"/>
                <w:szCs w:val="21"/>
              </w:rPr>
              <w:t>未在投标函上填写投标报价大写金额或小写金额；</w:t>
            </w:r>
          </w:p>
          <w:p w14:paraId="03D8A7BB">
            <w:pPr>
              <w:pStyle w:val="13"/>
              <w:keepNext w:val="0"/>
              <w:keepLines w:val="0"/>
              <w:pageBreakBefore w:val="0"/>
              <w:widowControl w:val="0"/>
              <w:numPr>
                <w:ilvl w:val="0"/>
                <w:numId w:val="2"/>
              </w:numPr>
              <w:tabs>
                <w:tab w:val="left" w:pos="1027"/>
              </w:tabs>
              <w:kinsoku/>
              <w:wordWrap/>
              <w:overflowPunct/>
              <w:topLinePunct w:val="0"/>
              <w:autoSpaceDE w:val="0"/>
              <w:autoSpaceDN w:val="0"/>
              <w:bidi w:val="0"/>
              <w:adjustRightInd/>
              <w:snapToGrid/>
              <w:spacing w:before="0" w:after="0" w:line="360" w:lineRule="auto"/>
              <w:ind w:left="110" w:leftChars="50" w:right="83" w:firstLine="412" w:firstLineChars="200"/>
              <w:jc w:val="both"/>
              <w:textAlignment w:val="auto"/>
              <w:rPr>
                <w:sz w:val="21"/>
                <w:szCs w:val="21"/>
              </w:rPr>
            </w:pPr>
            <w:r>
              <w:rPr>
                <w:spacing w:val="-2"/>
                <w:sz w:val="21"/>
                <w:szCs w:val="21"/>
              </w:rPr>
              <w:t>投标函上填写的投标报价大写金额表述错误无法确定具体数值；</w:t>
            </w:r>
          </w:p>
          <w:p w14:paraId="6F329653">
            <w:pPr>
              <w:pStyle w:val="13"/>
              <w:keepNext w:val="0"/>
              <w:keepLines w:val="0"/>
              <w:pageBreakBefore w:val="0"/>
              <w:widowControl w:val="0"/>
              <w:numPr>
                <w:ilvl w:val="0"/>
                <w:numId w:val="2"/>
              </w:numPr>
              <w:tabs>
                <w:tab w:val="left" w:pos="1063"/>
              </w:tabs>
              <w:kinsoku/>
              <w:wordWrap/>
              <w:overflowPunct/>
              <w:topLinePunct w:val="0"/>
              <w:autoSpaceDE w:val="0"/>
              <w:autoSpaceDN w:val="0"/>
              <w:bidi w:val="0"/>
              <w:adjustRightInd/>
              <w:snapToGrid/>
              <w:spacing w:before="0" w:after="0" w:line="360" w:lineRule="auto"/>
              <w:ind w:left="110" w:leftChars="50" w:right="0" w:firstLine="408" w:firstLineChars="200"/>
              <w:jc w:val="both"/>
              <w:textAlignment w:val="auto"/>
              <w:rPr>
                <w:sz w:val="21"/>
                <w:szCs w:val="21"/>
              </w:rPr>
            </w:pPr>
            <w:r>
              <w:rPr>
                <w:spacing w:val="-3"/>
                <w:sz w:val="21"/>
                <w:szCs w:val="21"/>
              </w:rPr>
              <w:t>投标报价超出招标人公布的最高投标限价；</w:t>
            </w:r>
          </w:p>
          <w:p w14:paraId="44FE4F69">
            <w:pPr>
              <w:pStyle w:val="13"/>
              <w:keepNext w:val="0"/>
              <w:keepLines w:val="0"/>
              <w:pageBreakBefore w:val="0"/>
              <w:widowControl w:val="0"/>
              <w:numPr>
                <w:ilvl w:val="0"/>
                <w:numId w:val="0"/>
              </w:numPr>
              <w:tabs>
                <w:tab w:val="left" w:pos="436"/>
              </w:tabs>
              <w:kinsoku/>
              <w:wordWrap/>
              <w:overflowPunct/>
              <w:topLinePunct w:val="0"/>
              <w:autoSpaceDE w:val="0"/>
              <w:autoSpaceDN w:val="0"/>
              <w:bidi w:val="0"/>
              <w:adjustRightInd/>
              <w:snapToGrid/>
              <w:spacing w:before="0" w:after="0" w:line="360" w:lineRule="auto"/>
              <w:ind w:left="110" w:leftChars="50" w:right="199" w:rightChars="0" w:firstLine="412" w:firstLineChars="200"/>
              <w:jc w:val="both"/>
              <w:textAlignment w:val="auto"/>
              <w:rPr>
                <w:rFonts w:hint="eastAsia" w:eastAsia="宋体"/>
                <w:spacing w:val="-4"/>
                <w:sz w:val="21"/>
                <w:szCs w:val="21"/>
                <w:lang w:eastAsia="zh-CN"/>
              </w:rPr>
            </w:pPr>
            <w:r>
              <w:rPr>
                <w:rFonts w:hint="eastAsia" w:ascii="宋体" w:hAnsi="宋体" w:eastAsia="宋体" w:cs="宋体"/>
                <w:spacing w:val="-2"/>
                <w:sz w:val="21"/>
                <w:szCs w:val="21"/>
              </w:rPr>
              <w:t>所有有效投标报价去掉一个最高值和一个最低值后的算术平均值，如果有效投标报价少于</w:t>
            </w:r>
            <w:r>
              <w:rPr>
                <w:rFonts w:hint="default" w:ascii="Times New Roman" w:hAnsi="Times New Roman" w:eastAsia="宋体" w:cs="Times New Roman"/>
                <w:spacing w:val="-2"/>
                <w:sz w:val="21"/>
                <w:szCs w:val="21"/>
              </w:rPr>
              <w:t>5</w:t>
            </w:r>
            <w:r>
              <w:rPr>
                <w:rFonts w:hint="eastAsia" w:ascii="宋体" w:hAnsi="宋体" w:eastAsia="宋体" w:cs="宋体"/>
                <w:spacing w:val="-2"/>
                <w:sz w:val="21"/>
                <w:szCs w:val="21"/>
              </w:rPr>
              <w:t>家（不含等于五家）时，则计算时不去掉最高值和最低值</w:t>
            </w:r>
            <w:r>
              <w:rPr>
                <w:rFonts w:hint="eastAsia" w:cs="宋体"/>
                <w:spacing w:val="-2"/>
                <w:sz w:val="21"/>
                <w:szCs w:val="21"/>
                <w:lang w:eastAsia="zh-CN"/>
              </w:rPr>
              <w:t>。</w:t>
            </w:r>
          </w:p>
          <w:p w14:paraId="1AE0C0C1">
            <w:pPr>
              <w:pStyle w:val="13"/>
              <w:keepNext w:val="0"/>
              <w:keepLines w:val="0"/>
              <w:pageBreakBefore w:val="0"/>
              <w:widowControl w:val="0"/>
              <w:kinsoku/>
              <w:wordWrap/>
              <w:overflowPunct/>
              <w:topLinePunct w:val="0"/>
              <w:autoSpaceDE w:val="0"/>
              <w:autoSpaceDN w:val="0"/>
              <w:bidi w:val="0"/>
              <w:adjustRightInd/>
              <w:snapToGrid/>
              <w:spacing w:before="120" w:line="440" w:lineRule="atLeast"/>
              <w:ind w:left="0" w:right="83" w:firstLine="420" w:firstLineChars="200"/>
              <w:jc w:val="both"/>
              <w:textAlignment w:val="auto"/>
              <w:rPr>
                <w:sz w:val="21"/>
                <w:szCs w:val="21"/>
              </w:rPr>
            </w:pPr>
          </w:p>
        </w:tc>
      </w:tr>
      <w:tr w14:paraId="4419E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1" w:hRule="atLeast"/>
        </w:trPr>
        <w:tc>
          <w:tcPr>
            <w:tcW w:w="635" w:type="pct"/>
            <w:tcBorders>
              <w:top w:val="single" w:color="auto" w:sz="4" w:space="0"/>
              <w:left w:val="single" w:color="auto" w:sz="4" w:space="0"/>
              <w:bottom w:val="single" w:color="auto" w:sz="4" w:space="0"/>
              <w:right w:val="single" w:color="auto" w:sz="4" w:space="0"/>
            </w:tcBorders>
            <w:vAlign w:val="top"/>
          </w:tcPr>
          <w:p w14:paraId="71671ED3">
            <w:pPr>
              <w:pStyle w:val="13"/>
              <w:rPr>
                <w:rFonts w:ascii="Times New Roman"/>
                <w:sz w:val="21"/>
                <w:szCs w:val="21"/>
              </w:rPr>
            </w:pPr>
          </w:p>
        </w:tc>
        <w:tc>
          <w:tcPr>
            <w:tcW w:w="1240" w:type="pct"/>
            <w:gridSpan w:val="2"/>
            <w:tcBorders>
              <w:top w:val="single" w:color="auto" w:sz="4" w:space="0"/>
              <w:left w:val="single" w:color="auto" w:sz="4" w:space="0"/>
              <w:bottom w:val="single" w:color="auto" w:sz="4" w:space="0"/>
              <w:right w:val="single" w:color="auto" w:sz="4" w:space="0"/>
            </w:tcBorders>
            <w:vAlign w:val="top"/>
          </w:tcPr>
          <w:p w14:paraId="4B8146D4">
            <w:pPr>
              <w:pStyle w:val="13"/>
              <w:rPr>
                <w:rFonts w:ascii="Times New Roman"/>
                <w:sz w:val="21"/>
                <w:szCs w:val="21"/>
              </w:rPr>
            </w:pPr>
          </w:p>
        </w:tc>
        <w:tc>
          <w:tcPr>
            <w:tcW w:w="3124" w:type="pct"/>
            <w:tcBorders>
              <w:top w:val="single" w:color="auto" w:sz="4" w:space="0"/>
              <w:left w:val="single" w:color="auto" w:sz="4" w:space="0"/>
              <w:bottom w:val="single" w:color="auto" w:sz="4" w:space="0"/>
              <w:right w:val="single" w:color="auto" w:sz="4" w:space="0"/>
            </w:tcBorders>
            <w:vAlign w:val="top"/>
          </w:tcPr>
          <w:p w14:paraId="70276853">
            <w:pPr>
              <w:pStyle w:val="13"/>
              <w:keepNext w:val="0"/>
              <w:keepLines w:val="0"/>
              <w:pageBreakBefore w:val="0"/>
              <w:widowControl w:val="0"/>
              <w:kinsoku/>
              <w:wordWrap/>
              <w:overflowPunct/>
              <w:topLinePunct w:val="0"/>
              <w:autoSpaceDE w:val="0"/>
              <w:autoSpaceDN w:val="0"/>
              <w:bidi w:val="0"/>
              <w:adjustRightInd/>
              <w:snapToGrid/>
              <w:spacing w:before="100" w:line="392" w:lineRule="auto"/>
              <w:ind w:left="0" w:right="110" w:rightChars="50" w:firstLine="618" w:firstLineChars="300"/>
              <w:jc w:val="both"/>
              <w:textAlignment w:val="auto"/>
              <w:rPr>
                <w:spacing w:val="-2"/>
                <w:sz w:val="21"/>
                <w:szCs w:val="21"/>
              </w:rPr>
            </w:pPr>
            <w:r>
              <w:rPr>
                <w:rFonts w:hint="default" w:ascii="Times New Roman" w:hAnsi="Times New Roman" w:cs="Times New Roman"/>
                <w:spacing w:val="-2"/>
                <w:sz w:val="21"/>
                <w:szCs w:val="21"/>
                <w:lang w:val="en-US" w:eastAsia="zh-CN"/>
              </w:rPr>
              <w:t>3</w:t>
            </w:r>
            <w:r>
              <w:rPr>
                <w:rFonts w:hint="eastAsia"/>
                <w:spacing w:val="-2"/>
                <w:sz w:val="21"/>
                <w:szCs w:val="21"/>
                <w:lang w:val="en-US" w:eastAsia="zh-CN"/>
              </w:rPr>
              <w:t>、</w:t>
            </w:r>
            <w:r>
              <w:rPr>
                <w:spacing w:val="-2"/>
                <w:sz w:val="21"/>
                <w:szCs w:val="21"/>
              </w:rPr>
              <w:t>评标基准价（</w:t>
            </w:r>
            <w:r>
              <w:rPr>
                <w:rFonts w:ascii="Times New Roman" w:eastAsia="Times New Roman"/>
                <w:spacing w:val="-2"/>
                <w:sz w:val="21"/>
                <w:szCs w:val="21"/>
              </w:rPr>
              <w:t>D</w:t>
            </w:r>
            <w:r>
              <w:rPr>
                <w:spacing w:val="-2"/>
                <w:sz w:val="21"/>
                <w:szCs w:val="21"/>
              </w:rPr>
              <w:t>）的确定：</w:t>
            </w:r>
          </w:p>
          <w:p w14:paraId="6863BA07">
            <w:pPr>
              <w:pStyle w:val="13"/>
              <w:keepNext w:val="0"/>
              <w:keepLines w:val="0"/>
              <w:pageBreakBefore w:val="0"/>
              <w:widowControl w:val="0"/>
              <w:kinsoku/>
              <w:wordWrap/>
              <w:overflowPunct/>
              <w:topLinePunct w:val="0"/>
              <w:autoSpaceDE w:val="0"/>
              <w:autoSpaceDN w:val="0"/>
              <w:bidi w:val="0"/>
              <w:adjustRightInd/>
              <w:snapToGrid/>
              <w:spacing w:line="392" w:lineRule="auto"/>
              <w:ind w:left="0" w:right="110" w:rightChars="50" w:firstLine="564" w:firstLineChars="300"/>
              <w:jc w:val="both"/>
              <w:textAlignment w:val="auto"/>
              <w:rPr>
                <w:sz w:val="21"/>
                <w:szCs w:val="21"/>
              </w:rPr>
            </w:pPr>
            <w:r>
              <w:rPr>
                <w:spacing w:val="-11"/>
                <w:sz w:val="21"/>
                <w:szCs w:val="21"/>
              </w:rPr>
              <w:t xml:space="preserve">评标基准价 </w:t>
            </w:r>
            <w:r>
              <w:rPr>
                <w:rFonts w:ascii="Times New Roman" w:eastAsia="Times New Roman"/>
                <w:spacing w:val="-2"/>
                <w:sz w:val="21"/>
                <w:szCs w:val="21"/>
              </w:rPr>
              <w:t>D=</w:t>
            </w:r>
            <w:r>
              <w:rPr>
                <w:spacing w:val="-9"/>
                <w:sz w:val="21"/>
                <w:szCs w:val="21"/>
              </w:rPr>
              <w:t xml:space="preserve">投标报价平均值 </w:t>
            </w:r>
            <w:r>
              <w:rPr>
                <w:rFonts w:ascii="Times New Roman" w:eastAsia="Times New Roman"/>
                <w:spacing w:val="-2"/>
                <w:sz w:val="21"/>
                <w:szCs w:val="21"/>
              </w:rPr>
              <w:t>B</w:t>
            </w:r>
            <w:r>
              <w:rPr>
                <w:spacing w:val="-2"/>
                <w:sz w:val="21"/>
                <w:szCs w:val="21"/>
              </w:rPr>
              <w:t>。</w:t>
            </w:r>
          </w:p>
          <w:p w14:paraId="62E9A7C9">
            <w:pPr>
              <w:pStyle w:val="13"/>
              <w:spacing w:before="3" w:line="391" w:lineRule="auto"/>
              <w:ind w:left="119" w:right="89" w:firstLine="420"/>
              <w:jc w:val="both"/>
              <w:rPr>
                <w:sz w:val="21"/>
                <w:szCs w:val="21"/>
              </w:rPr>
            </w:pPr>
            <w:r>
              <w:rPr>
                <w:spacing w:val="-2"/>
                <w:sz w:val="21"/>
                <w:szCs w:val="21"/>
              </w:rPr>
              <w:t>在评标过程中，评标委员会应对招标人计算的评标基准价进行复核，存在计算错误的应予以修正并在评标报告中作</w:t>
            </w:r>
            <w:r>
              <w:rPr>
                <w:spacing w:val="-1"/>
                <w:sz w:val="21"/>
                <w:szCs w:val="21"/>
              </w:rPr>
              <w:t>出说明。除此之外，评标基准价在整个评标期间保持不变，</w:t>
            </w:r>
            <w:r>
              <w:rPr>
                <w:spacing w:val="-3"/>
                <w:sz w:val="21"/>
                <w:szCs w:val="21"/>
              </w:rPr>
              <w:t>不随任何因素发生变化。</w:t>
            </w:r>
          </w:p>
        </w:tc>
      </w:tr>
      <w:tr w14:paraId="48BF5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35" w:type="pct"/>
            <w:tcBorders>
              <w:top w:val="single" w:color="auto" w:sz="4" w:space="0"/>
              <w:left w:val="single" w:color="auto" w:sz="4" w:space="0"/>
              <w:bottom w:val="single" w:color="auto" w:sz="4" w:space="0"/>
              <w:right w:val="single" w:color="auto" w:sz="4" w:space="0"/>
            </w:tcBorders>
            <w:vAlign w:val="top"/>
          </w:tcPr>
          <w:p w14:paraId="0DD9C12C">
            <w:pPr>
              <w:pStyle w:val="13"/>
              <w:spacing w:before="377"/>
              <w:ind w:left="12" w:right="107"/>
              <w:jc w:val="center"/>
              <w:rPr>
                <w:rFonts w:ascii="Times New Roman"/>
                <w:sz w:val="21"/>
                <w:szCs w:val="21"/>
              </w:rPr>
            </w:pPr>
            <w:r>
              <w:rPr>
                <w:rFonts w:hint="default" w:ascii="Times New Roman" w:hAnsi="Times New Roman" w:cs="Times New Roman"/>
                <w:spacing w:val="-2"/>
                <w:sz w:val="21"/>
                <w:szCs w:val="21"/>
              </w:rPr>
              <w:t>2</w:t>
            </w:r>
            <w:r>
              <w:rPr>
                <w:rFonts w:ascii="Times New Roman"/>
                <w:spacing w:val="-2"/>
                <w:sz w:val="21"/>
                <w:szCs w:val="21"/>
              </w:rPr>
              <w:t>.</w:t>
            </w:r>
            <w:r>
              <w:rPr>
                <w:rFonts w:hint="default" w:ascii="Times New Roman" w:hAnsi="Times New Roman" w:cs="Times New Roman"/>
                <w:spacing w:val="-2"/>
                <w:sz w:val="21"/>
                <w:szCs w:val="21"/>
              </w:rPr>
              <w:t>2</w:t>
            </w:r>
            <w:r>
              <w:rPr>
                <w:rFonts w:ascii="Times New Roman"/>
                <w:spacing w:val="-2"/>
                <w:sz w:val="21"/>
                <w:szCs w:val="21"/>
              </w:rPr>
              <w:t>.</w:t>
            </w:r>
            <w:r>
              <w:rPr>
                <w:rFonts w:hint="default" w:ascii="Times New Roman" w:hAnsi="Times New Roman" w:cs="Times New Roman"/>
                <w:spacing w:val="-2"/>
                <w:sz w:val="21"/>
                <w:szCs w:val="21"/>
              </w:rPr>
              <w:t>3</w:t>
            </w:r>
          </w:p>
        </w:tc>
        <w:tc>
          <w:tcPr>
            <w:tcW w:w="1240" w:type="pct"/>
            <w:gridSpan w:val="2"/>
            <w:tcBorders>
              <w:top w:val="single" w:color="auto" w:sz="4" w:space="0"/>
              <w:left w:val="single" w:color="auto" w:sz="4" w:space="0"/>
              <w:bottom w:val="single" w:color="auto" w:sz="4" w:space="0"/>
              <w:right w:val="single" w:color="auto" w:sz="4" w:space="0"/>
            </w:tcBorders>
            <w:vAlign w:val="top"/>
          </w:tcPr>
          <w:p w14:paraId="5BAF56F2">
            <w:pPr>
              <w:pStyle w:val="13"/>
              <w:spacing w:before="142"/>
              <w:ind w:right="166"/>
              <w:jc w:val="center"/>
              <w:rPr>
                <w:sz w:val="21"/>
                <w:szCs w:val="21"/>
              </w:rPr>
            </w:pPr>
            <w:r>
              <w:rPr>
                <w:spacing w:val="-4"/>
                <w:sz w:val="21"/>
                <w:szCs w:val="21"/>
              </w:rPr>
              <w:t>投标报价</w:t>
            </w:r>
          </w:p>
          <w:p w14:paraId="739BF948">
            <w:pPr>
              <w:pStyle w:val="13"/>
              <w:spacing w:before="171"/>
              <w:ind w:right="166"/>
              <w:jc w:val="center"/>
              <w:rPr>
                <w:sz w:val="21"/>
                <w:szCs w:val="21"/>
              </w:rPr>
            </w:pPr>
            <w:r>
              <w:rPr>
                <w:spacing w:val="-4"/>
                <w:sz w:val="21"/>
                <w:szCs w:val="21"/>
              </w:rPr>
              <w:t>的偏差率计算公式</w:t>
            </w:r>
          </w:p>
        </w:tc>
        <w:tc>
          <w:tcPr>
            <w:tcW w:w="3124" w:type="pct"/>
            <w:tcBorders>
              <w:top w:val="single" w:color="auto" w:sz="4" w:space="0"/>
              <w:left w:val="single" w:color="auto" w:sz="4" w:space="0"/>
              <w:bottom w:val="single" w:color="auto" w:sz="4" w:space="0"/>
              <w:right w:val="single" w:color="auto" w:sz="4" w:space="0"/>
            </w:tcBorders>
            <w:vAlign w:val="top"/>
          </w:tcPr>
          <w:p w14:paraId="51823BD7">
            <w:pPr>
              <w:pStyle w:val="13"/>
              <w:spacing w:before="363"/>
              <w:ind w:left="30" w:right="52" w:firstLine="206" w:firstLineChars="100"/>
              <w:jc w:val="both"/>
              <w:rPr>
                <w:sz w:val="21"/>
                <w:szCs w:val="21"/>
              </w:rPr>
            </w:pPr>
            <w:r>
              <w:rPr>
                <w:spacing w:val="-2"/>
                <w:sz w:val="21"/>
                <w:szCs w:val="21"/>
              </w:rPr>
              <w:t>偏差率</w:t>
            </w:r>
            <w:r>
              <w:rPr>
                <w:rFonts w:ascii="Times New Roman" w:hAnsi="Times New Roman" w:eastAsia="Times New Roman"/>
                <w:spacing w:val="-2"/>
                <w:sz w:val="21"/>
                <w:szCs w:val="21"/>
              </w:rPr>
              <w:t>=</w:t>
            </w:r>
            <w:r>
              <w:rPr>
                <w:rFonts w:hint="default" w:ascii="Times New Roman" w:hAnsi="Times New Roman" w:eastAsia="Times New Roman" w:cs="Times New Roman"/>
                <w:spacing w:val="-2"/>
                <w:sz w:val="21"/>
                <w:szCs w:val="21"/>
              </w:rPr>
              <w:t>100</w:t>
            </w:r>
            <w:r>
              <w:rPr>
                <w:rFonts w:ascii="Times New Roman" w:hAnsi="Times New Roman" w:eastAsia="Times New Roman"/>
                <w:spacing w:val="-2"/>
                <w:sz w:val="21"/>
                <w:szCs w:val="21"/>
              </w:rPr>
              <w:t>%×</w:t>
            </w:r>
            <w:r>
              <w:rPr>
                <w:spacing w:val="-2"/>
                <w:sz w:val="21"/>
                <w:szCs w:val="21"/>
              </w:rPr>
              <w:t>（投标人评标价</w:t>
            </w:r>
            <w:r>
              <w:rPr>
                <w:rFonts w:ascii="Times New Roman" w:hAnsi="Times New Roman" w:eastAsia="Times New Roman"/>
                <w:spacing w:val="-2"/>
                <w:sz w:val="21"/>
                <w:szCs w:val="21"/>
              </w:rPr>
              <w:t>-</w:t>
            </w:r>
            <w:r>
              <w:rPr>
                <w:spacing w:val="-2"/>
                <w:sz w:val="21"/>
                <w:szCs w:val="21"/>
              </w:rPr>
              <w:t>评标基准价）</w:t>
            </w:r>
            <w:r>
              <w:rPr>
                <w:rFonts w:ascii="Times New Roman" w:hAnsi="Times New Roman" w:eastAsia="Times New Roman"/>
                <w:spacing w:val="-2"/>
                <w:sz w:val="21"/>
                <w:szCs w:val="21"/>
              </w:rPr>
              <w:t>/</w:t>
            </w:r>
            <w:r>
              <w:rPr>
                <w:spacing w:val="-4"/>
                <w:sz w:val="21"/>
                <w:szCs w:val="21"/>
              </w:rPr>
              <w:t>评标基准价。</w:t>
            </w:r>
          </w:p>
        </w:tc>
      </w:tr>
      <w:tr w14:paraId="6B8B8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6" w:hRule="atLeast"/>
        </w:trPr>
        <w:tc>
          <w:tcPr>
            <w:tcW w:w="635" w:type="pct"/>
            <w:vMerge w:val="restart"/>
            <w:tcBorders>
              <w:top w:val="single" w:color="auto" w:sz="4" w:space="0"/>
              <w:left w:val="single" w:color="auto" w:sz="4" w:space="0"/>
              <w:bottom w:val="single" w:color="auto" w:sz="4" w:space="0"/>
              <w:right w:val="single" w:color="auto" w:sz="4" w:space="0"/>
            </w:tcBorders>
            <w:vAlign w:val="top"/>
          </w:tcPr>
          <w:p w14:paraId="68B7B816">
            <w:pPr>
              <w:pStyle w:val="13"/>
              <w:rPr>
                <w:rFonts w:ascii="Microsoft JhengHei"/>
                <w:b/>
                <w:sz w:val="21"/>
                <w:szCs w:val="21"/>
              </w:rPr>
            </w:pPr>
          </w:p>
          <w:p w14:paraId="38BA06DF">
            <w:pPr>
              <w:pStyle w:val="13"/>
              <w:rPr>
                <w:rFonts w:ascii="Microsoft JhengHei"/>
                <w:b/>
                <w:sz w:val="21"/>
                <w:szCs w:val="21"/>
              </w:rPr>
            </w:pPr>
          </w:p>
          <w:p w14:paraId="5B2F45D2">
            <w:pPr>
              <w:pStyle w:val="13"/>
              <w:spacing w:before="317"/>
              <w:rPr>
                <w:rFonts w:ascii="Microsoft JhengHei"/>
                <w:b/>
                <w:sz w:val="21"/>
                <w:szCs w:val="21"/>
              </w:rPr>
            </w:pPr>
          </w:p>
          <w:p w14:paraId="26B1E5AC">
            <w:pPr>
              <w:pStyle w:val="13"/>
              <w:ind w:left="261"/>
              <w:rPr>
                <w:rFonts w:ascii="Times New Roman"/>
                <w:sz w:val="21"/>
                <w:szCs w:val="21"/>
              </w:rPr>
            </w:pPr>
            <w:r>
              <w:rPr>
                <w:rFonts w:hint="default" w:ascii="Times New Roman" w:hAnsi="Times New Roman" w:cs="Times New Roman"/>
                <w:spacing w:val="-2"/>
                <w:sz w:val="21"/>
                <w:szCs w:val="21"/>
              </w:rPr>
              <w:t>2</w:t>
            </w:r>
            <w:r>
              <w:rPr>
                <w:rFonts w:ascii="Times New Roman"/>
                <w:spacing w:val="-2"/>
                <w:sz w:val="21"/>
                <w:szCs w:val="21"/>
              </w:rPr>
              <w:t>.</w:t>
            </w:r>
            <w:r>
              <w:rPr>
                <w:rFonts w:hint="default" w:ascii="Times New Roman" w:hAnsi="Times New Roman" w:cs="Times New Roman"/>
                <w:spacing w:val="-2"/>
                <w:sz w:val="21"/>
                <w:szCs w:val="21"/>
              </w:rPr>
              <w:t>2</w:t>
            </w:r>
            <w:r>
              <w:rPr>
                <w:rFonts w:ascii="Times New Roman"/>
                <w:spacing w:val="-2"/>
                <w:sz w:val="21"/>
                <w:szCs w:val="21"/>
              </w:rPr>
              <w:t>.</w:t>
            </w:r>
            <w:r>
              <w:rPr>
                <w:rFonts w:hint="default" w:ascii="Times New Roman" w:hAnsi="Times New Roman" w:cs="Times New Roman"/>
                <w:spacing w:val="-2"/>
                <w:sz w:val="21"/>
                <w:szCs w:val="21"/>
              </w:rPr>
              <w:t>4</w:t>
            </w:r>
          </w:p>
          <w:p w14:paraId="00484F26">
            <w:pPr>
              <w:pStyle w:val="13"/>
              <w:spacing w:before="184"/>
              <w:ind w:left="208"/>
              <w:rPr>
                <w:sz w:val="21"/>
                <w:szCs w:val="21"/>
              </w:rPr>
            </w:pPr>
            <w:r>
              <w:rPr>
                <w:spacing w:val="-5"/>
                <w:sz w:val="21"/>
                <w:szCs w:val="21"/>
              </w:rPr>
              <w:t>（</w:t>
            </w:r>
            <w:r>
              <w:rPr>
                <w:rFonts w:hint="default" w:ascii="Times New Roman" w:hAnsi="Times New Roman" w:eastAsia="Times New Roman" w:cs="Times New Roman"/>
                <w:spacing w:val="-5"/>
                <w:sz w:val="21"/>
                <w:szCs w:val="21"/>
              </w:rPr>
              <w:t>1</w:t>
            </w:r>
            <w:r>
              <w:rPr>
                <w:spacing w:val="-5"/>
                <w:sz w:val="21"/>
                <w:szCs w:val="21"/>
              </w:rPr>
              <w:t>）</w:t>
            </w:r>
          </w:p>
        </w:tc>
        <w:tc>
          <w:tcPr>
            <w:tcW w:w="360" w:type="pct"/>
            <w:vMerge w:val="restart"/>
            <w:tcBorders>
              <w:top w:val="single" w:color="auto" w:sz="4" w:space="0"/>
              <w:left w:val="single" w:color="auto" w:sz="4" w:space="0"/>
              <w:bottom w:val="single" w:color="auto" w:sz="4" w:space="0"/>
              <w:right w:val="single" w:color="auto" w:sz="4" w:space="0"/>
            </w:tcBorders>
            <w:vAlign w:val="top"/>
          </w:tcPr>
          <w:p w14:paraId="5F43E3D1">
            <w:pPr>
              <w:pStyle w:val="13"/>
              <w:rPr>
                <w:rFonts w:ascii="Microsoft JhengHei"/>
                <w:b/>
                <w:sz w:val="21"/>
                <w:szCs w:val="21"/>
              </w:rPr>
            </w:pPr>
          </w:p>
          <w:p w14:paraId="095C8C96">
            <w:pPr>
              <w:pStyle w:val="13"/>
              <w:spacing w:before="192"/>
              <w:rPr>
                <w:rFonts w:ascii="Microsoft JhengHei"/>
                <w:b/>
                <w:sz w:val="21"/>
                <w:szCs w:val="21"/>
              </w:rPr>
            </w:pPr>
          </w:p>
          <w:p w14:paraId="5D04E855">
            <w:pPr>
              <w:pStyle w:val="13"/>
              <w:spacing w:before="192"/>
              <w:rPr>
                <w:rFonts w:ascii="Microsoft JhengHei"/>
                <w:b/>
                <w:sz w:val="21"/>
                <w:szCs w:val="21"/>
              </w:rPr>
            </w:pPr>
          </w:p>
          <w:p w14:paraId="755185E6">
            <w:pPr>
              <w:pStyle w:val="13"/>
              <w:spacing w:line="242" w:lineRule="auto"/>
              <w:ind w:left="173" w:right="150"/>
              <w:jc w:val="both"/>
              <w:rPr>
                <w:sz w:val="21"/>
                <w:szCs w:val="21"/>
              </w:rPr>
            </w:pPr>
            <w:r>
              <w:rPr>
                <w:spacing w:val="-6"/>
                <w:sz w:val="21"/>
                <w:szCs w:val="21"/>
              </w:rPr>
              <w:t>商务文件</w:t>
            </w:r>
            <w:r>
              <w:rPr>
                <w:spacing w:val="-5"/>
                <w:sz w:val="21"/>
                <w:szCs w:val="21"/>
              </w:rPr>
              <w:t>部分</w:t>
            </w:r>
          </w:p>
        </w:tc>
        <w:tc>
          <w:tcPr>
            <w:tcW w:w="879" w:type="pct"/>
            <w:tcBorders>
              <w:top w:val="single" w:color="auto" w:sz="4" w:space="0"/>
              <w:left w:val="single" w:color="auto" w:sz="4" w:space="0"/>
              <w:bottom w:val="single" w:color="auto" w:sz="4" w:space="0"/>
              <w:right w:val="single" w:color="auto" w:sz="4" w:space="0"/>
            </w:tcBorders>
            <w:vAlign w:val="top"/>
          </w:tcPr>
          <w:p w14:paraId="3DDAEC19">
            <w:pPr>
              <w:pStyle w:val="13"/>
              <w:spacing w:before="106"/>
              <w:rPr>
                <w:rFonts w:ascii="Microsoft JhengHei"/>
                <w:b/>
                <w:sz w:val="21"/>
                <w:szCs w:val="21"/>
              </w:rPr>
            </w:pPr>
          </w:p>
          <w:p w14:paraId="41558805">
            <w:pPr>
              <w:pStyle w:val="13"/>
              <w:spacing w:before="106"/>
              <w:rPr>
                <w:rFonts w:ascii="Microsoft JhengHei"/>
                <w:b/>
                <w:sz w:val="21"/>
                <w:szCs w:val="21"/>
              </w:rPr>
            </w:pPr>
          </w:p>
          <w:p w14:paraId="320D7B08">
            <w:pPr>
              <w:pStyle w:val="13"/>
              <w:spacing w:before="2"/>
              <w:ind w:left="135" w:right="111"/>
              <w:jc w:val="center"/>
              <w:rPr>
                <w:sz w:val="21"/>
                <w:szCs w:val="21"/>
              </w:rPr>
            </w:pPr>
            <w:r>
              <w:rPr>
                <w:rFonts w:hint="eastAsia"/>
                <w:spacing w:val="-4"/>
                <w:sz w:val="21"/>
                <w:szCs w:val="21"/>
              </w:rPr>
              <w:t>业绩</w:t>
            </w:r>
            <w:r>
              <w:rPr>
                <w:sz w:val="21"/>
                <w:szCs w:val="21"/>
              </w:rPr>
              <w:t>（</w:t>
            </w:r>
            <w:r>
              <w:rPr>
                <w:rFonts w:hint="default" w:ascii="Times New Roman" w:hAnsi="Times New Roman" w:cs="Times New Roman"/>
                <w:sz w:val="21"/>
                <w:szCs w:val="21"/>
                <w:lang w:val="en-US" w:eastAsia="zh-CN"/>
              </w:rPr>
              <w:t>6</w:t>
            </w:r>
            <w:r>
              <w:rPr>
                <w:sz w:val="21"/>
                <w:szCs w:val="21"/>
              </w:rPr>
              <w:t>分</w:t>
            </w:r>
            <w:r>
              <w:rPr>
                <w:spacing w:val="-10"/>
                <w:sz w:val="21"/>
                <w:szCs w:val="21"/>
              </w:rPr>
              <w:t>）</w:t>
            </w:r>
          </w:p>
        </w:tc>
        <w:tc>
          <w:tcPr>
            <w:tcW w:w="3124" w:type="pct"/>
            <w:tcBorders>
              <w:top w:val="single" w:color="auto" w:sz="4" w:space="0"/>
              <w:left w:val="single" w:color="auto" w:sz="4" w:space="0"/>
              <w:bottom w:val="single" w:color="auto" w:sz="4" w:space="0"/>
              <w:right w:val="single" w:color="auto" w:sz="4" w:space="0"/>
            </w:tcBorders>
            <w:vAlign w:val="top"/>
          </w:tcPr>
          <w:p w14:paraId="2C39E0AC">
            <w:pPr>
              <w:pStyle w:val="13"/>
              <w:spacing w:line="440" w:lineRule="atLeast"/>
              <w:ind w:left="116" w:right="151" w:firstLine="384" w:firstLineChars="200"/>
              <w:jc w:val="both"/>
              <w:rPr>
                <w:sz w:val="21"/>
                <w:szCs w:val="21"/>
              </w:rPr>
            </w:pPr>
            <w:r>
              <w:rPr>
                <w:rFonts w:hint="eastAsia"/>
                <w:spacing w:val="-9"/>
                <w:sz w:val="21"/>
                <w:szCs w:val="21"/>
              </w:rPr>
              <w:t>提供投标人</w:t>
            </w:r>
            <w:r>
              <w:rPr>
                <w:rFonts w:hint="default" w:ascii="Times New Roman" w:hAnsi="Times New Roman" w:cs="Times New Roman"/>
                <w:spacing w:val="-9"/>
                <w:sz w:val="21"/>
                <w:szCs w:val="21"/>
              </w:rPr>
              <w:t>2021</w:t>
            </w:r>
            <w:r>
              <w:rPr>
                <w:rFonts w:hint="eastAsia"/>
                <w:spacing w:val="-9"/>
                <w:sz w:val="21"/>
                <w:szCs w:val="21"/>
              </w:rPr>
              <w:t>年至投标截止日所投类似产品业绩，一年内设备供货合同累计金额</w:t>
            </w:r>
            <w:r>
              <w:rPr>
                <w:rFonts w:hint="eastAsia"/>
                <w:spacing w:val="-9"/>
                <w:sz w:val="21"/>
                <w:szCs w:val="21"/>
                <w:lang w:val="en-US" w:eastAsia="zh-CN"/>
              </w:rPr>
              <w:t xml:space="preserve"> </w:t>
            </w:r>
            <w:r>
              <w:rPr>
                <w:rFonts w:hint="default" w:ascii="Times New Roman" w:hAnsi="Times New Roman" w:cs="Times New Roman"/>
                <w:spacing w:val="-9"/>
                <w:sz w:val="21"/>
                <w:szCs w:val="21"/>
              </w:rPr>
              <w:t>1000</w:t>
            </w:r>
            <w:r>
              <w:rPr>
                <w:rFonts w:hint="eastAsia"/>
                <w:spacing w:val="-9"/>
                <w:sz w:val="21"/>
                <w:szCs w:val="21"/>
              </w:rPr>
              <w:t xml:space="preserve"> 万元，每有一年得</w:t>
            </w:r>
            <w:r>
              <w:rPr>
                <w:rFonts w:hint="default" w:ascii="Times New Roman" w:hAnsi="Times New Roman" w:cs="Times New Roman"/>
                <w:spacing w:val="-9"/>
                <w:sz w:val="21"/>
                <w:szCs w:val="21"/>
              </w:rPr>
              <w:t>2</w:t>
            </w:r>
            <w:r>
              <w:rPr>
                <w:rFonts w:hint="eastAsia"/>
                <w:spacing w:val="-9"/>
                <w:sz w:val="21"/>
                <w:szCs w:val="21"/>
              </w:rPr>
              <w:t>分，最多得</w:t>
            </w:r>
            <w:r>
              <w:rPr>
                <w:rFonts w:hint="default" w:ascii="Times New Roman" w:hAnsi="Times New Roman" w:cs="Times New Roman"/>
                <w:spacing w:val="-9"/>
                <w:sz w:val="21"/>
                <w:szCs w:val="21"/>
              </w:rPr>
              <w:t>6</w:t>
            </w:r>
            <w:r>
              <w:rPr>
                <w:rFonts w:hint="eastAsia"/>
                <w:spacing w:val="-9"/>
                <w:sz w:val="21"/>
                <w:szCs w:val="21"/>
              </w:rPr>
              <w:t>分。证明材料以合同（包含合同产品信息页、盖章签字页等关键信息内容）或中标通知书或项目验收证等材料为准</w:t>
            </w:r>
            <w:r>
              <w:rPr>
                <w:spacing w:val="-2"/>
                <w:sz w:val="21"/>
                <w:szCs w:val="21"/>
              </w:rPr>
              <w:t>。</w:t>
            </w:r>
          </w:p>
        </w:tc>
      </w:tr>
      <w:tr w14:paraId="139DE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2" w:hRule="atLeast"/>
        </w:trPr>
        <w:tc>
          <w:tcPr>
            <w:tcW w:w="635" w:type="pct"/>
            <w:vMerge w:val="continue"/>
            <w:tcBorders>
              <w:top w:val="single" w:color="auto" w:sz="4" w:space="0"/>
              <w:left w:val="single" w:color="auto" w:sz="4" w:space="0"/>
              <w:bottom w:val="single" w:color="auto" w:sz="4" w:space="0"/>
              <w:right w:val="single" w:color="auto" w:sz="4" w:space="0"/>
            </w:tcBorders>
            <w:vAlign w:val="top"/>
          </w:tcPr>
          <w:p w14:paraId="0E819045">
            <w:pPr>
              <w:rPr>
                <w:sz w:val="21"/>
                <w:szCs w:val="21"/>
              </w:rPr>
            </w:pPr>
          </w:p>
        </w:tc>
        <w:tc>
          <w:tcPr>
            <w:tcW w:w="360" w:type="pct"/>
            <w:vMerge w:val="continue"/>
            <w:tcBorders>
              <w:top w:val="single" w:color="auto" w:sz="4" w:space="0"/>
              <w:left w:val="single" w:color="auto" w:sz="4" w:space="0"/>
              <w:bottom w:val="single" w:color="auto" w:sz="4" w:space="0"/>
              <w:right w:val="single" w:color="auto" w:sz="4" w:space="0"/>
            </w:tcBorders>
            <w:vAlign w:val="top"/>
          </w:tcPr>
          <w:p w14:paraId="2CB7830B">
            <w:pPr>
              <w:rPr>
                <w:sz w:val="21"/>
                <w:szCs w:val="21"/>
              </w:rPr>
            </w:pPr>
          </w:p>
        </w:tc>
        <w:tc>
          <w:tcPr>
            <w:tcW w:w="879" w:type="pct"/>
            <w:tcBorders>
              <w:top w:val="single" w:color="auto" w:sz="4" w:space="0"/>
              <w:left w:val="single" w:color="auto" w:sz="4" w:space="0"/>
              <w:bottom w:val="single" w:color="auto" w:sz="4" w:space="0"/>
              <w:right w:val="single" w:color="auto" w:sz="4" w:space="0"/>
            </w:tcBorders>
            <w:vAlign w:val="top"/>
          </w:tcPr>
          <w:p w14:paraId="2BCE137F">
            <w:pPr>
              <w:pStyle w:val="13"/>
              <w:spacing w:before="137"/>
              <w:rPr>
                <w:rFonts w:hint="eastAsia"/>
                <w:spacing w:val="-4"/>
                <w:sz w:val="21"/>
                <w:szCs w:val="21"/>
              </w:rPr>
            </w:pPr>
          </w:p>
          <w:p w14:paraId="7E036B95">
            <w:pPr>
              <w:pStyle w:val="13"/>
              <w:spacing w:before="137"/>
              <w:ind w:left="452"/>
              <w:rPr>
                <w:rFonts w:hint="eastAsia"/>
                <w:spacing w:val="-4"/>
                <w:sz w:val="21"/>
                <w:szCs w:val="21"/>
              </w:rPr>
            </w:pPr>
            <w:r>
              <w:rPr>
                <w:rFonts w:hint="eastAsia"/>
                <w:spacing w:val="-4"/>
                <w:sz w:val="21"/>
                <w:szCs w:val="21"/>
              </w:rPr>
              <w:t>行业贡献</w:t>
            </w:r>
          </w:p>
          <w:p w14:paraId="647606FA">
            <w:pPr>
              <w:pStyle w:val="13"/>
              <w:spacing w:before="142"/>
              <w:ind w:left="476"/>
              <w:rPr>
                <w:sz w:val="21"/>
                <w:szCs w:val="21"/>
              </w:rPr>
            </w:pPr>
            <w:r>
              <w:rPr>
                <w:sz w:val="21"/>
                <w:szCs w:val="21"/>
              </w:rPr>
              <w:t>（</w:t>
            </w:r>
            <w:r>
              <w:rPr>
                <w:rFonts w:hint="default" w:ascii="Times New Roman" w:hAnsi="Times New Roman" w:cs="Times New Roman"/>
                <w:sz w:val="21"/>
                <w:szCs w:val="21"/>
                <w:lang w:val="en-US" w:eastAsia="zh-CN"/>
              </w:rPr>
              <w:t>4</w:t>
            </w:r>
            <w:r>
              <w:rPr>
                <w:rFonts w:hint="eastAsia" w:ascii="Calibri"/>
                <w:sz w:val="21"/>
                <w:szCs w:val="21"/>
                <w:lang w:val="en-US" w:eastAsia="zh-CN"/>
              </w:rPr>
              <w:t xml:space="preserve">  </w:t>
            </w:r>
            <w:r>
              <w:rPr>
                <w:sz w:val="21"/>
                <w:szCs w:val="21"/>
              </w:rPr>
              <w:t>分</w:t>
            </w:r>
            <w:r>
              <w:rPr>
                <w:spacing w:val="-12"/>
                <w:sz w:val="21"/>
                <w:szCs w:val="21"/>
              </w:rPr>
              <w:t>）</w:t>
            </w:r>
          </w:p>
        </w:tc>
        <w:tc>
          <w:tcPr>
            <w:tcW w:w="3124" w:type="pct"/>
            <w:tcBorders>
              <w:top w:val="single" w:color="auto" w:sz="4" w:space="0"/>
              <w:left w:val="single" w:color="auto" w:sz="4" w:space="0"/>
              <w:bottom w:val="single" w:color="auto" w:sz="4" w:space="0"/>
              <w:right w:val="single" w:color="auto" w:sz="4" w:space="0"/>
            </w:tcBorders>
            <w:vAlign w:val="top"/>
          </w:tcPr>
          <w:p w14:paraId="77B4A57D">
            <w:pPr>
              <w:pStyle w:val="13"/>
              <w:keepNext w:val="0"/>
              <w:keepLines w:val="0"/>
              <w:pageBreakBefore w:val="0"/>
              <w:widowControl w:val="0"/>
              <w:kinsoku/>
              <w:wordWrap/>
              <w:overflowPunct/>
              <w:topLinePunct w:val="0"/>
              <w:autoSpaceDE w:val="0"/>
              <w:autoSpaceDN w:val="0"/>
              <w:bidi w:val="0"/>
              <w:adjustRightInd/>
              <w:snapToGrid/>
              <w:spacing w:before="137" w:line="360" w:lineRule="auto"/>
              <w:ind w:left="240" w:leftChars="109" w:right="110" w:rightChars="50" w:firstLine="192" w:firstLineChars="100"/>
              <w:jc w:val="both"/>
              <w:textAlignment w:val="auto"/>
              <w:rPr>
                <w:sz w:val="21"/>
                <w:szCs w:val="21"/>
              </w:rPr>
            </w:pPr>
            <w:r>
              <w:rPr>
                <w:rFonts w:hint="default" w:ascii="Times New Roman" w:hAnsi="Times New Roman" w:cs="Times New Roman"/>
                <w:spacing w:val="-9"/>
                <w:sz w:val="21"/>
                <w:szCs w:val="21"/>
              </w:rPr>
              <w:t>2019</w:t>
            </w:r>
            <w:r>
              <w:rPr>
                <w:rFonts w:hint="eastAsia"/>
                <w:spacing w:val="-9"/>
                <w:sz w:val="21"/>
                <w:szCs w:val="21"/>
              </w:rPr>
              <w:t>年</w:t>
            </w:r>
            <w:r>
              <w:rPr>
                <w:rFonts w:hint="default" w:ascii="Times New Roman" w:hAnsi="Times New Roman" w:cs="Times New Roman"/>
                <w:spacing w:val="-9"/>
                <w:sz w:val="21"/>
                <w:szCs w:val="21"/>
              </w:rPr>
              <w:t>1</w:t>
            </w:r>
            <w:r>
              <w:rPr>
                <w:rFonts w:hint="eastAsia"/>
                <w:spacing w:val="-9"/>
                <w:sz w:val="21"/>
                <w:szCs w:val="21"/>
              </w:rPr>
              <w:t>月</w:t>
            </w:r>
            <w:r>
              <w:rPr>
                <w:rFonts w:hint="default" w:ascii="Times New Roman" w:hAnsi="Times New Roman" w:cs="Times New Roman"/>
                <w:spacing w:val="-9"/>
                <w:sz w:val="21"/>
                <w:szCs w:val="21"/>
              </w:rPr>
              <w:t>1</w:t>
            </w:r>
            <w:r>
              <w:rPr>
                <w:rFonts w:hint="eastAsia"/>
                <w:spacing w:val="-9"/>
                <w:sz w:val="21"/>
                <w:szCs w:val="21"/>
              </w:rPr>
              <w:t>日至投标截止日期间在国家需要时，无偿提供设备支援应急救援活动。每提供一个省部级及以上调令得</w:t>
            </w:r>
            <w:r>
              <w:rPr>
                <w:rFonts w:hint="default" w:ascii="Times New Roman" w:hAnsi="Times New Roman" w:cs="Times New Roman"/>
                <w:spacing w:val="-9"/>
                <w:sz w:val="21"/>
                <w:szCs w:val="21"/>
              </w:rPr>
              <w:t>1</w:t>
            </w:r>
            <w:r>
              <w:rPr>
                <w:rFonts w:hint="eastAsia"/>
                <w:spacing w:val="-9"/>
                <w:sz w:val="21"/>
                <w:szCs w:val="21"/>
              </w:rPr>
              <w:t>分，不提供得</w:t>
            </w:r>
            <w:r>
              <w:rPr>
                <w:rFonts w:hint="default" w:ascii="Times New Roman" w:hAnsi="Times New Roman" w:cs="Times New Roman"/>
                <w:spacing w:val="-9"/>
                <w:sz w:val="21"/>
                <w:szCs w:val="21"/>
              </w:rPr>
              <w:t>0</w:t>
            </w:r>
            <w:r>
              <w:rPr>
                <w:rFonts w:hint="eastAsia"/>
                <w:spacing w:val="-9"/>
                <w:sz w:val="21"/>
                <w:szCs w:val="21"/>
              </w:rPr>
              <w:t>分，最多得</w:t>
            </w:r>
            <w:r>
              <w:rPr>
                <w:rFonts w:hint="default" w:ascii="Times New Roman" w:hAnsi="Times New Roman" w:cs="Times New Roman"/>
                <w:spacing w:val="-9"/>
                <w:sz w:val="21"/>
                <w:szCs w:val="21"/>
              </w:rPr>
              <w:t>4</w:t>
            </w:r>
            <w:r>
              <w:rPr>
                <w:rFonts w:hint="eastAsia"/>
                <w:spacing w:val="-9"/>
                <w:sz w:val="21"/>
                <w:szCs w:val="21"/>
              </w:rPr>
              <w:t>分。证明材料加盖公章</w:t>
            </w:r>
            <w:r>
              <w:rPr>
                <w:rFonts w:hint="eastAsia"/>
                <w:sz w:val="21"/>
                <w:szCs w:val="21"/>
              </w:rPr>
              <w:t>。</w:t>
            </w:r>
          </w:p>
        </w:tc>
      </w:tr>
      <w:tr w14:paraId="199CF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2" w:hRule="atLeast"/>
        </w:trPr>
        <w:tc>
          <w:tcPr>
            <w:tcW w:w="635" w:type="pct"/>
            <w:vMerge w:val="restart"/>
            <w:tcBorders>
              <w:top w:val="single" w:color="auto" w:sz="4" w:space="0"/>
              <w:left w:val="single" w:color="auto" w:sz="4" w:space="0"/>
              <w:bottom w:val="single" w:color="auto" w:sz="4" w:space="0"/>
              <w:right w:val="single" w:color="auto" w:sz="4" w:space="0"/>
            </w:tcBorders>
            <w:vAlign w:val="top"/>
          </w:tcPr>
          <w:p w14:paraId="57F02BF3">
            <w:pPr>
              <w:pStyle w:val="13"/>
              <w:rPr>
                <w:rFonts w:ascii="Microsoft JhengHei"/>
                <w:b/>
                <w:sz w:val="21"/>
                <w:szCs w:val="21"/>
              </w:rPr>
            </w:pPr>
          </w:p>
          <w:p w14:paraId="3CA2D46E">
            <w:pPr>
              <w:pStyle w:val="13"/>
              <w:rPr>
                <w:rFonts w:ascii="Microsoft JhengHei"/>
                <w:b/>
                <w:sz w:val="21"/>
                <w:szCs w:val="21"/>
              </w:rPr>
            </w:pPr>
          </w:p>
          <w:p w14:paraId="3DD08BFD">
            <w:pPr>
              <w:pStyle w:val="13"/>
              <w:rPr>
                <w:rFonts w:ascii="Microsoft JhengHei"/>
                <w:b/>
                <w:sz w:val="21"/>
                <w:szCs w:val="21"/>
              </w:rPr>
            </w:pPr>
          </w:p>
          <w:p w14:paraId="7D175706">
            <w:pPr>
              <w:pStyle w:val="13"/>
              <w:rPr>
                <w:rFonts w:ascii="Microsoft JhengHei"/>
                <w:b/>
                <w:sz w:val="21"/>
                <w:szCs w:val="21"/>
              </w:rPr>
            </w:pPr>
          </w:p>
          <w:p w14:paraId="78A40C5E">
            <w:pPr>
              <w:pStyle w:val="13"/>
              <w:spacing w:before="91"/>
              <w:rPr>
                <w:rFonts w:ascii="Microsoft JhengHei"/>
                <w:b/>
                <w:sz w:val="21"/>
                <w:szCs w:val="21"/>
              </w:rPr>
            </w:pPr>
          </w:p>
          <w:p w14:paraId="736E2315">
            <w:pPr>
              <w:pStyle w:val="13"/>
              <w:spacing w:before="91"/>
              <w:rPr>
                <w:rFonts w:ascii="Microsoft JhengHei"/>
                <w:b/>
                <w:sz w:val="21"/>
                <w:szCs w:val="21"/>
              </w:rPr>
            </w:pPr>
          </w:p>
          <w:p w14:paraId="2BA3DFE2">
            <w:pPr>
              <w:pStyle w:val="13"/>
              <w:spacing w:before="91"/>
              <w:rPr>
                <w:rFonts w:ascii="Microsoft JhengHei"/>
                <w:b/>
                <w:sz w:val="21"/>
                <w:szCs w:val="21"/>
              </w:rPr>
            </w:pPr>
          </w:p>
          <w:p w14:paraId="1ABD80C0">
            <w:pPr>
              <w:pStyle w:val="13"/>
              <w:spacing w:before="91"/>
              <w:rPr>
                <w:rFonts w:ascii="Microsoft JhengHei"/>
                <w:b/>
                <w:sz w:val="21"/>
                <w:szCs w:val="21"/>
              </w:rPr>
            </w:pPr>
          </w:p>
          <w:p w14:paraId="341C24D2">
            <w:pPr>
              <w:pStyle w:val="13"/>
              <w:spacing w:before="91"/>
              <w:rPr>
                <w:rFonts w:ascii="Microsoft JhengHei"/>
                <w:b/>
                <w:sz w:val="21"/>
                <w:szCs w:val="21"/>
              </w:rPr>
            </w:pPr>
          </w:p>
          <w:p w14:paraId="0FCB39E2">
            <w:pPr>
              <w:pStyle w:val="13"/>
              <w:spacing w:before="91"/>
              <w:rPr>
                <w:rFonts w:ascii="Microsoft JhengHei"/>
                <w:b/>
                <w:sz w:val="21"/>
                <w:szCs w:val="21"/>
              </w:rPr>
            </w:pPr>
          </w:p>
          <w:p w14:paraId="47D1802D">
            <w:pPr>
              <w:pStyle w:val="13"/>
              <w:spacing w:before="91"/>
              <w:rPr>
                <w:rFonts w:ascii="Microsoft JhengHei"/>
                <w:b/>
                <w:sz w:val="21"/>
                <w:szCs w:val="21"/>
              </w:rPr>
            </w:pPr>
          </w:p>
          <w:p w14:paraId="70F55C0D">
            <w:pPr>
              <w:pStyle w:val="13"/>
              <w:spacing w:before="91"/>
              <w:rPr>
                <w:rFonts w:ascii="Microsoft JhengHei"/>
                <w:b/>
                <w:sz w:val="21"/>
                <w:szCs w:val="21"/>
              </w:rPr>
            </w:pPr>
          </w:p>
          <w:p w14:paraId="0E2CFCE1">
            <w:pPr>
              <w:pStyle w:val="13"/>
              <w:spacing w:before="91"/>
              <w:rPr>
                <w:rFonts w:ascii="Microsoft JhengHei"/>
                <w:b/>
                <w:sz w:val="21"/>
                <w:szCs w:val="21"/>
              </w:rPr>
            </w:pPr>
          </w:p>
          <w:p w14:paraId="0486EB12">
            <w:pPr>
              <w:pStyle w:val="13"/>
              <w:spacing w:before="91"/>
              <w:rPr>
                <w:rFonts w:ascii="Microsoft JhengHei"/>
                <w:b/>
                <w:sz w:val="21"/>
                <w:szCs w:val="21"/>
              </w:rPr>
            </w:pPr>
          </w:p>
          <w:p w14:paraId="26598AFC">
            <w:pPr>
              <w:pStyle w:val="13"/>
              <w:spacing w:before="91"/>
              <w:rPr>
                <w:rFonts w:ascii="Microsoft JhengHei"/>
                <w:b/>
                <w:sz w:val="21"/>
                <w:szCs w:val="21"/>
              </w:rPr>
            </w:pPr>
          </w:p>
          <w:p w14:paraId="54A2F00F">
            <w:pPr>
              <w:pStyle w:val="13"/>
              <w:spacing w:before="91"/>
              <w:rPr>
                <w:rFonts w:ascii="Microsoft JhengHei"/>
                <w:b/>
                <w:sz w:val="21"/>
                <w:szCs w:val="21"/>
              </w:rPr>
            </w:pPr>
          </w:p>
          <w:p w14:paraId="510D7E71">
            <w:pPr>
              <w:pStyle w:val="13"/>
              <w:spacing w:before="91"/>
              <w:rPr>
                <w:rFonts w:ascii="Microsoft JhengHei"/>
                <w:b/>
                <w:sz w:val="21"/>
                <w:szCs w:val="21"/>
              </w:rPr>
            </w:pPr>
          </w:p>
          <w:p w14:paraId="00353B75">
            <w:pPr>
              <w:pStyle w:val="13"/>
              <w:spacing w:before="91"/>
              <w:rPr>
                <w:rFonts w:ascii="Microsoft JhengHei"/>
                <w:b/>
                <w:sz w:val="21"/>
                <w:szCs w:val="21"/>
              </w:rPr>
            </w:pPr>
          </w:p>
          <w:p w14:paraId="064FADD9">
            <w:pPr>
              <w:pStyle w:val="13"/>
              <w:ind w:left="261"/>
              <w:rPr>
                <w:rFonts w:ascii="Times New Roman"/>
                <w:sz w:val="21"/>
                <w:szCs w:val="21"/>
              </w:rPr>
            </w:pPr>
            <w:r>
              <w:rPr>
                <w:rFonts w:hint="default" w:ascii="Times New Roman" w:hAnsi="Times New Roman" w:cs="Times New Roman"/>
                <w:spacing w:val="-2"/>
                <w:sz w:val="21"/>
                <w:szCs w:val="21"/>
              </w:rPr>
              <w:t>2</w:t>
            </w:r>
            <w:r>
              <w:rPr>
                <w:rFonts w:ascii="Times New Roman"/>
                <w:spacing w:val="-2"/>
                <w:sz w:val="21"/>
                <w:szCs w:val="21"/>
              </w:rPr>
              <w:t>.</w:t>
            </w:r>
            <w:r>
              <w:rPr>
                <w:rFonts w:hint="default" w:ascii="Times New Roman" w:hAnsi="Times New Roman" w:cs="Times New Roman"/>
                <w:spacing w:val="-2"/>
                <w:sz w:val="21"/>
                <w:szCs w:val="21"/>
              </w:rPr>
              <w:t>2</w:t>
            </w:r>
            <w:r>
              <w:rPr>
                <w:rFonts w:ascii="Times New Roman"/>
                <w:spacing w:val="-2"/>
                <w:sz w:val="21"/>
                <w:szCs w:val="21"/>
              </w:rPr>
              <w:t>.</w:t>
            </w:r>
            <w:r>
              <w:rPr>
                <w:rFonts w:hint="default" w:ascii="Times New Roman" w:hAnsi="Times New Roman" w:cs="Times New Roman"/>
                <w:spacing w:val="-2"/>
                <w:sz w:val="21"/>
                <w:szCs w:val="21"/>
              </w:rPr>
              <w:t>4</w:t>
            </w:r>
          </w:p>
          <w:p w14:paraId="799CD9EC">
            <w:pPr>
              <w:pStyle w:val="13"/>
              <w:spacing w:before="184"/>
              <w:ind w:left="208"/>
              <w:rPr>
                <w:spacing w:val="-5"/>
                <w:sz w:val="21"/>
                <w:szCs w:val="21"/>
              </w:rPr>
            </w:pPr>
            <w:r>
              <w:rPr>
                <w:spacing w:val="-5"/>
                <w:sz w:val="21"/>
                <w:szCs w:val="21"/>
              </w:rPr>
              <w:t>（</w:t>
            </w:r>
            <w:r>
              <w:rPr>
                <w:rFonts w:hint="default" w:ascii="Times New Roman" w:hAnsi="Times New Roman" w:eastAsia="Times New Roman" w:cs="Times New Roman"/>
                <w:spacing w:val="-5"/>
                <w:sz w:val="21"/>
                <w:szCs w:val="21"/>
              </w:rPr>
              <w:t>2</w:t>
            </w:r>
            <w:r>
              <w:rPr>
                <w:spacing w:val="-5"/>
                <w:sz w:val="21"/>
                <w:szCs w:val="21"/>
              </w:rPr>
              <w:t>）</w:t>
            </w:r>
          </w:p>
          <w:p w14:paraId="13307CE7">
            <w:pPr>
              <w:pStyle w:val="13"/>
              <w:ind w:left="261"/>
              <w:rPr>
                <w:rFonts w:ascii="Times New Roman"/>
                <w:spacing w:val="-2"/>
                <w:sz w:val="21"/>
                <w:szCs w:val="21"/>
              </w:rPr>
            </w:pPr>
          </w:p>
          <w:p w14:paraId="6AEE2872">
            <w:pPr>
              <w:pStyle w:val="13"/>
              <w:ind w:left="261"/>
              <w:rPr>
                <w:rFonts w:ascii="Times New Roman"/>
                <w:spacing w:val="-2"/>
                <w:sz w:val="21"/>
                <w:szCs w:val="21"/>
              </w:rPr>
            </w:pPr>
          </w:p>
          <w:p w14:paraId="2F724F56">
            <w:pPr>
              <w:pStyle w:val="13"/>
              <w:ind w:left="261"/>
              <w:rPr>
                <w:rFonts w:ascii="Times New Roman"/>
                <w:spacing w:val="-2"/>
                <w:sz w:val="21"/>
                <w:szCs w:val="21"/>
              </w:rPr>
            </w:pPr>
          </w:p>
          <w:p w14:paraId="03DAA48A">
            <w:pPr>
              <w:pStyle w:val="13"/>
              <w:ind w:left="261"/>
              <w:rPr>
                <w:rFonts w:ascii="Times New Roman"/>
                <w:spacing w:val="-2"/>
                <w:sz w:val="21"/>
                <w:szCs w:val="21"/>
              </w:rPr>
            </w:pPr>
          </w:p>
          <w:p w14:paraId="44E00DC2">
            <w:pPr>
              <w:pStyle w:val="13"/>
              <w:ind w:left="261"/>
              <w:rPr>
                <w:rFonts w:ascii="Times New Roman"/>
                <w:spacing w:val="-2"/>
                <w:sz w:val="21"/>
                <w:szCs w:val="21"/>
              </w:rPr>
            </w:pPr>
          </w:p>
          <w:p w14:paraId="508F80FF">
            <w:pPr>
              <w:pStyle w:val="13"/>
              <w:ind w:left="261"/>
              <w:rPr>
                <w:rFonts w:ascii="Times New Roman"/>
                <w:spacing w:val="-2"/>
                <w:sz w:val="21"/>
                <w:szCs w:val="21"/>
              </w:rPr>
            </w:pPr>
          </w:p>
          <w:p w14:paraId="4D745181">
            <w:pPr>
              <w:pStyle w:val="13"/>
              <w:ind w:left="261"/>
              <w:rPr>
                <w:rFonts w:ascii="Times New Roman"/>
                <w:spacing w:val="-2"/>
                <w:sz w:val="21"/>
                <w:szCs w:val="21"/>
              </w:rPr>
            </w:pPr>
          </w:p>
          <w:p w14:paraId="45FF9CD4">
            <w:pPr>
              <w:pStyle w:val="13"/>
              <w:ind w:left="261"/>
              <w:rPr>
                <w:rFonts w:ascii="Times New Roman"/>
                <w:spacing w:val="-2"/>
                <w:sz w:val="21"/>
                <w:szCs w:val="21"/>
              </w:rPr>
            </w:pPr>
          </w:p>
          <w:p w14:paraId="5A5FB7B8">
            <w:pPr>
              <w:pStyle w:val="13"/>
              <w:ind w:left="261"/>
              <w:rPr>
                <w:rFonts w:ascii="Times New Roman"/>
                <w:spacing w:val="-2"/>
                <w:sz w:val="21"/>
                <w:szCs w:val="21"/>
              </w:rPr>
            </w:pPr>
          </w:p>
          <w:p w14:paraId="6861D530">
            <w:pPr>
              <w:ind w:firstLine="210" w:firstLineChars="100"/>
              <w:rPr>
                <w:sz w:val="21"/>
                <w:szCs w:val="21"/>
              </w:rPr>
            </w:pPr>
          </w:p>
        </w:tc>
        <w:tc>
          <w:tcPr>
            <w:tcW w:w="360" w:type="pct"/>
            <w:vMerge w:val="restart"/>
            <w:tcBorders>
              <w:top w:val="single" w:color="auto" w:sz="4" w:space="0"/>
              <w:left w:val="single" w:color="auto" w:sz="4" w:space="0"/>
              <w:bottom w:val="single" w:color="auto" w:sz="4" w:space="0"/>
              <w:right w:val="single" w:color="auto" w:sz="4" w:space="0"/>
            </w:tcBorders>
            <w:vAlign w:val="top"/>
          </w:tcPr>
          <w:p w14:paraId="7C871C78">
            <w:pPr>
              <w:pStyle w:val="13"/>
              <w:rPr>
                <w:rFonts w:ascii="Microsoft JhengHei"/>
                <w:b/>
                <w:sz w:val="21"/>
                <w:szCs w:val="21"/>
              </w:rPr>
            </w:pPr>
          </w:p>
          <w:p w14:paraId="50D22AC6">
            <w:pPr>
              <w:pStyle w:val="13"/>
              <w:spacing w:before="353"/>
              <w:rPr>
                <w:rFonts w:ascii="Microsoft JhengHei"/>
                <w:b/>
                <w:sz w:val="21"/>
                <w:szCs w:val="21"/>
              </w:rPr>
            </w:pPr>
          </w:p>
          <w:p w14:paraId="56CE33E9">
            <w:pPr>
              <w:pStyle w:val="13"/>
              <w:spacing w:before="353"/>
              <w:rPr>
                <w:rFonts w:ascii="Microsoft JhengHei"/>
                <w:b/>
                <w:sz w:val="21"/>
                <w:szCs w:val="21"/>
              </w:rPr>
            </w:pPr>
          </w:p>
          <w:p w14:paraId="72E8B57E">
            <w:pPr>
              <w:pStyle w:val="13"/>
              <w:spacing w:before="353"/>
              <w:rPr>
                <w:rFonts w:ascii="Microsoft JhengHei"/>
                <w:b/>
                <w:sz w:val="21"/>
                <w:szCs w:val="21"/>
              </w:rPr>
            </w:pPr>
          </w:p>
          <w:p w14:paraId="2CE2808F">
            <w:pPr>
              <w:pStyle w:val="13"/>
              <w:spacing w:before="353"/>
              <w:rPr>
                <w:rFonts w:ascii="Microsoft JhengHei"/>
                <w:b/>
                <w:sz w:val="21"/>
                <w:szCs w:val="21"/>
              </w:rPr>
            </w:pPr>
          </w:p>
          <w:p w14:paraId="523CE1BD">
            <w:pPr>
              <w:pStyle w:val="13"/>
              <w:spacing w:before="353"/>
              <w:rPr>
                <w:rFonts w:ascii="Microsoft JhengHei"/>
                <w:b/>
                <w:sz w:val="21"/>
                <w:szCs w:val="21"/>
              </w:rPr>
            </w:pPr>
          </w:p>
          <w:p w14:paraId="6C08FB69">
            <w:pPr>
              <w:pStyle w:val="13"/>
              <w:spacing w:before="353"/>
              <w:rPr>
                <w:rFonts w:ascii="Microsoft JhengHei"/>
                <w:b/>
                <w:sz w:val="21"/>
                <w:szCs w:val="21"/>
              </w:rPr>
            </w:pPr>
          </w:p>
          <w:p w14:paraId="43292669">
            <w:pPr>
              <w:pStyle w:val="13"/>
              <w:spacing w:before="353"/>
              <w:rPr>
                <w:rFonts w:ascii="Microsoft JhengHei"/>
                <w:b/>
                <w:sz w:val="21"/>
                <w:szCs w:val="21"/>
              </w:rPr>
            </w:pPr>
          </w:p>
          <w:p w14:paraId="651224FF">
            <w:pPr>
              <w:pStyle w:val="13"/>
              <w:spacing w:before="353"/>
              <w:rPr>
                <w:rFonts w:ascii="Microsoft JhengHei"/>
                <w:b/>
                <w:sz w:val="21"/>
                <w:szCs w:val="21"/>
              </w:rPr>
            </w:pPr>
          </w:p>
          <w:p w14:paraId="667E449A">
            <w:pPr>
              <w:pStyle w:val="13"/>
              <w:spacing w:before="353"/>
              <w:rPr>
                <w:rFonts w:ascii="Microsoft JhengHei"/>
                <w:b/>
                <w:sz w:val="21"/>
                <w:szCs w:val="21"/>
              </w:rPr>
            </w:pPr>
          </w:p>
          <w:p w14:paraId="54724AB9">
            <w:pPr>
              <w:pStyle w:val="13"/>
              <w:spacing w:before="353"/>
              <w:rPr>
                <w:rFonts w:ascii="Microsoft JhengHei"/>
                <w:b/>
                <w:sz w:val="21"/>
                <w:szCs w:val="21"/>
              </w:rPr>
            </w:pPr>
          </w:p>
          <w:p w14:paraId="06BE4743">
            <w:pPr>
              <w:pStyle w:val="13"/>
              <w:spacing w:line="242" w:lineRule="auto"/>
              <w:ind w:left="173" w:right="150"/>
              <w:jc w:val="both"/>
              <w:rPr>
                <w:spacing w:val="-6"/>
                <w:sz w:val="21"/>
                <w:szCs w:val="21"/>
              </w:rPr>
            </w:pPr>
            <w:r>
              <w:rPr>
                <w:spacing w:val="-6"/>
                <w:sz w:val="21"/>
                <w:szCs w:val="21"/>
              </w:rPr>
              <w:t>技术文件</w:t>
            </w:r>
            <w:r>
              <w:rPr>
                <w:spacing w:val="-5"/>
                <w:sz w:val="21"/>
                <w:szCs w:val="21"/>
              </w:rPr>
              <w:t>部分</w:t>
            </w:r>
          </w:p>
          <w:p w14:paraId="649FF416">
            <w:pPr>
              <w:rPr>
                <w:rFonts w:hint="eastAsia" w:ascii="Times New Roman" w:hAnsi="Times New Roman"/>
                <w:sz w:val="21"/>
                <w:szCs w:val="21"/>
              </w:rPr>
            </w:pPr>
          </w:p>
          <w:p w14:paraId="6B585647">
            <w:pPr>
              <w:rPr>
                <w:rFonts w:hint="eastAsia" w:ascii="Times New Roman" w:hAnsi="Times New Roman"/>
                <w:sz w:val="21"/>
                <w:szCs w:val="21"/>
              </w:rPr>
            </w:pPr>
          </w:p>
          <w:p w14:paraId="2AF43631">
            <w:pPr>
              <w:rPr>
                <w:rFonts w:hint="eastAsia" w:ascii="Times New Roman" w:hAnsi="Times New Roman"/>
                <w:sz w:val="21"/>
                <w:szCs w:val="21"/>
              </w:rPr>
            </w:pPr>
          </w:p>
          <w:p w14:paraId="0BB376FF">
            <w:pPr>
              <w:rPr>
                <w:rFonts w:hint="eastAsia" w:ascii="Times New Roman" w:hAnsi="Times New Roman"/>
                <w:sz w:val="21"/>
                <w:szCs w:val="21"/>
              </w:rPr>
            </w:pPr>
          </w:p>
          <w:p w14:paraId="52AA08C5">
            <w:pPr>
              <w:rPr>
                <w:rFonts w:hint="eastAsia" w:ascii="Times New Roman" w:hAnsi="Times New Roman"/>
                <w:sz w:val="21"/>
                <w:szCs w:val="21"/>
              </w:rPr>
            </w:pPr>
          </w:p>
          <w:p w14:paraId="6B4A76B3">
            <w:pPr>
              <w:rPr>
                <w:rFonts w:hint="eastAsia" w:ascii="Times New Roman" w:hAnsi="Times New Roman"/>
                <w:sz w:val="21"/>
                <w:szCs w:val="21"/>
              </w:rPr>
            </w:pPr>
          </w:p>
          <w:p w14:paraId="30CE2D45">
            <w:pPr>
              <w:rPr>
                <w:rFonts w:hint="eastAsia" w:ascii="Times New Roman" w:hAnsi="Times New Roman"/>
                <w:sz w:val="21"/>
                <w:szCs w:val="21"/>
              </w:rPr>
            </w:pPr>
          </w:p>
          <w:p w14:paraId="6BB639ED">
            <w:pPr>
              <w:rPr>
                <w:rFonts w:hint="eastAsia" w:ascii="Times New Roman" w:hAnsi="Times New Roman"/>
                <w:sz w:val="21"/>
                <w:szCs w:val="21"/>
              </w:rPr>
            </w:pPr>
          </w:p>
          <w:p w14:paraId="5878E247">
            <w:pPr>
              <w:jc w:val="center"/>
              <w:rPr>
                <w:sz w:val="21"/>
                <w:szCs w:val="21"/>
              </w:rPr>
            </w:pPr>
          </w:p>
        </w:tc>
        <w:tc>
          <w:tcPr>
            <w:tcW w:w="879" w:type="pct"/>
            <w:tcBorders>
              <w:top w:val="single" w:color="auto" w:sz="4" w:space="0"/>
              <w:left w:val="single" w:color="auto" w:sz="4" w:space="0"/>
              <w:bottom w:val="single" w:color="auto" w:sz="4" w:space="0"/>
              <w:right w:val="single" w:color="auto" w:sz="4" w:space="0"/>
            </w:tcBorders>
            <w:vAlign w:val="top"/>
          </w:tcPr>
          <w:p w14:paraId="4FCBC447">
            <w:pPr>
              <w:pStyle w:val="13"/>
              <w:spacing w:before="49"/>
              <w:rPr>
                <w:rFonts w:ascii="Microsoft JhengHei"/>
                <w:b/>
                <w:sz w:val="21"/>
                <w:szCs w:val="21"/>
              </w:rPr>
            </w:pPr>
          </w:p>
          <w:p w14:paraId="041D21A4">
            <w:pPr>
              <w:pStyle w:val="13"/>
              <w:spacing w:line="360" w:lineRule="auto"/>
              <w:ind w:left="372" w:right="111" w:hanging="238"/>
              <w:rPr>
                <w:sz w:val="21"/>
                <w:szCs w:val="21"/>
              </w:rPr>
            </w:pPr>
            <w:r>
              <w:rPr>
                <w:rFonts w:hint="eastAsia"/>
                <w:spacing w:val="-2"/>
                <w:sz w:val="21"/>
                <w:szCs w:val="21"/>
              </w:rPr>
              <w:t>技术参数响应程度</w:t>
            </w:r>
            <w:r>
              <w:rPr>
                <w:sz w:val="21"/>
                <w:szCs w:val="21"/>
              </w:rPr>
              <w:t>（</w:t>
            </w:r>
            <w:r>
              <w:rPr>
                <w:rFonts w:hint="default" w:ascii="Times New Roman" w:hAnsi="Times New Roman" w:cs="Times New Roman"/>
                <w:sz w:val="21"/>
                <w:szCs w:val="21"/>
                <w:lang w:val="en-US" w:eastAsia="zh-CN"/>
              </w:rPr>
              <w:t>5</w:t>
            </w:r>
            <w:r>
              <w:rPr>
                <w:sz w:val="21"/>
                <w:szCs w:val="21"/>
              </w:rPr>
              <w:t>分）</w:t>
            </w:r>
          </w:p>
        </w:tc>
        <w:tc>
          <w:tcPr>
            <w:tcW w:w="3124" w:type="pct"/>
            <w:tcBorders>
              <w:top w:val="single" w:color="auto" w:sz="4" w:space="0"/>
              <w:left w:val="single" w:color="auto" w:sz="4" w:space="0"/>
              <w:bottom w:val="single" w:color="auto" w:sz="4" w:space="0"/>
              <w:right w:val="single" w:color="auto" w:sz="4" w:space="0"/>
            </w:tcBorders>
            <w:vAlign w:val="top"/>
          </w:tcPr>
          <w:p w14:paraId="7B9C0218">
            <w:pPr>
              <w:pStyle w:val="13"/>
              <w:keepNext w:val="0"/>
              <w:keepLines w:val="0"/>
              <w:pageBreakBefore w:val="0"/>
              <w:widowControl w:val="0"/>
              <w:kinsoku/>
              <w:wordWrap/>
              <w:overflowPunct/>
              <w:topLinePunct w:val="0"/>
              <w:autoSpaceDE w:val="0"/>
              <w:autoSpaceDN w:val="0"/>
              <w:bidi w:val="0"/>
              <w:adjustRightInd/>
              <w:snapToGrid/>
              <w:spacing w:before="100" w:line="360" w:lineRule="auto"/>
              <w:ind w:left="113" w:right="110" w:rightChars="50" w:firstLine="412" w:firstLineChars="200"/>
              <w:jc w:val="both"/>
              <w:textAlignment w:val="auto"/>
              <w:rPr>
                <w:sz w:val="21"/>
                <w:szCs w:val="21"/>
              </w:rPr>
            </w:pPr>
            <w:r>
              <w:rPr>
                <w:rFonts w:hint="eastAsia" w:ascii="Times New Roman" w:eastAsia="Times New Roman"/>
                <w:spacing w:val="-2"/>
                <w:sz w:val="21"/>
                <w:szCs w:val="21"/>
              </w:rPr>
              <w:t>所投设备所有技术指标（★及非★）均无偏差得基本分</w:t>
            </w:r>
            <w:r>
              <w:rPr>
                <w:rFonts w:hint="default" w:ascii="Times New Roman" w:hAnsi="Times New Roman" w:eastAsia="Times New Roman" w:cs="Times New Roman"/>
                <w:spacing w:val="-2"/>
                <w:sz w:val="21"/>
                <w:szCs w:val="21"/>
              </w:rPr>
              <w:t>3</w:t>
            </w:r>
            <w:r>
              <w:rPr>
                <w:rFonts w:hint="eastAsia" w:ascii="Times New Roman" w:eastAsia="Times New Roman"/>
                <w:spacing w:val="-2"/>
                <w:sz w:val="21"/>
                <w:szCs w:val="21"/>
              </w:rPr>
              <w:t xml:space="preserve">分，优于《技术性能指标》要求（正偏差）的，每有一项加 </w:t>
            </w:r>
            <w:r>
              <w:rPr>
                <w:rFonts w:hint="default" w:ascii="Times New Roman" w:hAnsi="Times New Roman" w:eastAsia="Times New Roman" w:cs="Times New Roman"/>
                <w:spacing w:val="-2"/>
                <w:sz w:val="21"/>
                <w:szCs w:val="21"/>
              </w:rPr>
              <w:t>0</w:t>
            </w:r>
            <w:r>
              <w:rPr>
                <w:rFonts w:hint="eastAsia" w:ascii="Times New Roman" w:eastAsia="Times New Roman"/>
                <w:spacing w:val="-2"/>
                <w:sz w:val="21"/>
                <w:szCs w:val="21"/>
              </w:rPr>
              <w:t>.</w:t>
            </w:r>
            <w:r>
              <w:rPr>
                <w:rFonts w:hint="default" w:ascii="Times New Roman" w:hAnsi="Times New Roman" w:eastAsia="Times New Roman" w:cs="Times New Roman"/>
                <w:spacing w:val="-2"/>
                <w:sz w:val="21"/>
                <w:szCs w:val="21"/>
              </w:rPr>
              <w:t>2</w:t>
            </w:r>
            <w:r>
              <w:rPr>
                <w:rFonts w:hint="eastAsia" w:ascii="Times New Roman" w:eastAsia="Times New Roman"/>
                <w:spacing w:val="-2"/>
                <w:sz w:val="21"/>
                <w:szCs w:val="21"/>
              </w:rPr>
              <w:t>分，最多</w:t>
            </w:r>
            <w:r>
              <w:rPr>
                <w:rFonts w:hint="eastAsia" w:ascii="Times New Roman" w:eastAsia="宋体"/>
                <w:spacing w:val="-2"/>
                <w:sz w:val="21"/>
                <w:szCs w:val="21"/>
                <w:lang w:val="en-US" w:eastAsia="zh-CN"/>
              </w:rPr>
              <w:t>加</w:t>
            </w:r>
            <w:r>
              <w:rPr>
                <w:rFonts w:hint="eastAsia" w:ascii="Times New Roman" w:hAnsi="Times New Roman" w:eastAsia="宋体" w:cs="Times New Roman"/>
                <w:spacing w:val="-2"/>
                <w:sz w:val="21"/>
                <w:szCs w:val="21"/>
                <w:lang w:val="en-US" w:eastAsia="zh-CN"/>
              </w:rPr>
              <w:t>2</w:t>
            </w:r>
            <w:r>
              <w:rPr>
                <w:rFonts w:hint="eastAsia" w:ascii="Times New Roman" w:eastAsia="Times New Roman"/>
                <w:spacing w:val="-2"/>
                <w:sz w:val="21"/>
                <w:szCs w:val="21"/>
              </w:rPr>
              <w:t>分。需提供第三方出具的检测报告复印件或应用证明文件（装订在投标文件中）</w:t>
            </w:r>
            <w:r>
              <w:rPr>
                <w:spacing w:val="-3"/>
                <w:sz w:val="21"/>
                <w:szCs w:val="21"/>
              </w:rPr>
              <w:t>。</w:t>
            </w:r>
          </w:p>
        </w:tc>
      </w:tr>
      <w:tr w14:paraId="22158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4" w:hRule="atLeast"/>
        </w:trPr>
        <w:tc>
          <w:tcPr>
            <w:tcW w:w="635" w:type="pct"/>
            <w:vMerge w:val="continue"/>
            <w:tcBorders>
              <w:top w:val="single" w:color="auto" w:sz="4" w:space="0"/>
              <w:left w:val="single" w:color="auto" w:sz="4" w:space="0"/>
              <w:bottom w:val="single" w:color="auto" w:sz="4" w:space="0"/>
              <w:right w:val="single" w:color="auto" w:sz="4" w:space="0"/>
            </w:tcBorders>
            <w:vAlign w:val="top"/>
          </w:tcPr>
          <w:p w14:paraId="568BB843">
            <w:pPr>
              <w:rPr>
                <w:sz w:val="21"/>
                <w:szCs w:val="21"/>
              </w:rPr>
            </w:pPr>
          </w:p>
        </w:tc>
        <w:tc>
          <w:tcPr>
            <w:tcW w:w="360" w:type="pct"/>
            <w:vMerge w:val="continue"/>
            <w:tcBorders>
              <w:top w:val="single" w:color="auto" w:sz="4" w:space="0"/>
              <w:left w:val="single" w:color="auto" w:sz="4" w:space="0"/>
              <w:bottom w:val="single" w:color="auto" w:sz="4" w:space="0"/>
              <w:right w:val="single" w:color="auto" w:sz="4" w:space="0"/>
            </w:tcBorders>
            <w:vAlign w:val="top"/>
          </w:tcPr>
          <w:p w14:paraId="2ECB23F5">
            <w:pPr>
              <w:rPr>
                <w:sz w:val="21"/>
                <w:szCs w:val="21"/>
              </w:rPr>
            </w:pPr>
          </w:p>
        </w:tc>
        <w:tc>
          <w:tcPr>
            <w:tcW w:w="879" w:type="pct"/>
            <w:vMerge w:val="restart"/>
            <w:tcBorders>
              <w:top w:val="single" w:color="auto" w:sz="4" w:space="0"/>
              <w:left w:val="single" w:color="auto" w:sz="4" w:space="0"/>
              <w:bottom w:val="single" w:color="auto" w:sz="4" w:space="0"/>
              <w:right w:val="single" w:color="auto" w:sz="4" w:space="0"/>
            </w:tcBorders>
            <w:vAlign w:val="top"/>
          </w:tcPr>
          <w:p w14:paraId="523F02EC">
            <w:pPr>
              <w:pStyle w:val="13"/>
              <w:rPr>
                <w:rFonts w:ascii="Microsoft JhengHei"/>
                <w:b/>
                <w:sz w:val="21"/>
                <w:szCs w:val="21"/>
              </w:rPr>
            </w:pPr>
          </w:p>
          <w:p w14:paraId="312E0CF8">
            <w:pPr>
              <w:pStyle w:val="13"/>
              <w:spacing w:before="267"/>
              <w:rPr>
                <w:rFonts w:ascii="Microsoft JhengHei"/>
                <w:b/>
                <w:sz w:val="21"/>
                <w:szCs w:val="21"/>
              </w:rPr>
            </w:pPr>
          </w:p>
          <w:p w14:paraId="2F172283">
            <w:pPr>
              <w:pStyle w:val="13"/>
              <w:spacing w:before="267"/>
              <w:rPr>
                <w:rFonts w:ascii="Microsoft JhengHei"/>
                <w:b/>
                <w:sz w:val="21"/>
                <w:szCs w:val="21"/>
              </w:rPr>
            </w:pPr>
          </w:p>
          <w:p w14:paraId="4492778F">
            <w:pPr>
              <w:pStyle w:val="13"/>
              <w:spacing w:before="267"/>
              <w:rPr>
                <w:rFonts w:ascii="Microsoft JhengHei"/>
                <w:b/>
                <w:sz w:val="21"/>
                <w:szCs w:val="21"/>
              </w:rPr>
            </w:pPr>
          </w:p>
          <w:p w14:paraId="71808B6C">
            <w:pPr>
              <w:pStyle w:val="13"/>
              <w:spacing w:before="138"/>
              <w:ind w:left="135" w:right="111"/>
              <w:jc w:val="center"/>
              <w:rPr>
                <w:rFonts w:hint="eastAsia"/>
                <w:spacing w:val="-2"/>
                <w:sz w:val="21"/>
                <w:szCs w:val="21"/>
                <w:lang w:val="en-US" w:eastAsia="zh-CN"/>
              </w:rPr>
            </w:pPr>
            <w:r>
              <w:rPr>
                <w:rFonts w:hint="eastAsia"/>
                <w:spacing w:val="-2"/>
                <w:sz w:val="21"/>
                <w:szCs w:val="21"/>
              </w:rPr>
              <w:t>综合</w:t>
            </w:r>
            <w:r>
              <w:rPr>
                <w:rFonts w:hint="eastAsia"/>
                <w:spacing w:val="-2"/>
                <w:sz w:val="21"/>
                <w:szCs w:val="21"/>
                <w:lang w:val="en-US" w:eastAsia="zh-CN"/>
              </w:rPr>
              <w:t>能力</w:t>
            </w:r>
          </w:p>
          <w:p w14:paraId="020755E8">
            <w:pPr>
              <w:pStyle w:val="13"/>
              <w:spacing w:before="138"/>
              <w:ind w:left="135" w:right="111"/>
              <w:jc w:val="center"/>
              <w:rPr>
                <w:sz w:val="21"/>
                <w:szCs w:val="21"/>
              </w:rPr>
            </w:pPr>
            <w:r>
              <w:rPr>
                <w:rFonts w:hint="eastAsia"/>
                <w:spacing w:val="-2"/>
                <w:sz w:val="21"/>
                <w:szCs w:val="21"/>
                <w:lang w:val="en-US" w:eastAsia="zh-CN"/>
              </w:rPr>
              <w:t>（</w:t>
            </w:r>
            <w:r>
              <w:rPr>
                <w:rFonts w:hint="default" w:ascii="Times New Roman" w:hAnsi="Times New Roman" w:cs="Times New Roman"/>
                <w:sz w:val="21"/>
                <w:szCs w:val="21"/>
                <w:lang w:val="en-US" w:eastAsia="zh-CN"/>
              </w:rPr>
              <w:t>15</w:t>
            </w:r>
            <w:r>
              <w:rPr>
                <w:rFonts w:hint="eastAsia" w:ascii="Times New Roman" w:hAnsi="Times New Roman" w:cs="Times New Roman"/>
                <w:sz w:val="21"/>
                <w:szCs w:val="21"/>
                <w:lang w:val="en-US" w:eastAsia="zh-CN"/>
              </w:rPr>
              <w:t xml:space="preserve">  </w:t>
            </w:r>
            <w:r>
              <w:rPr>
                <w:sz w:val="21"/>
                <w:szCs w:val="21"/>
              </w:rPr>
              <w:t>分</w:t>
            </w:r>
            <w:r>
              <w:rPr>
                <w:spacing w:val="-10"/>
                <w:sz w:val="21"/>
                <w:szCs w:val="21"/>
              </w:rPr>
              <w:t>）</w:t>
            </w:r>
          </w:p>
        </w:tc>
        <w:tc>
          <w:tcPr>
            <w:tcW w:w="3124" w:type="pct"/>
            <w:tcBorders>
              <w:top w:val="single" w:color="auto" w:sz="4" w:space="0"/>
              <w:left w:val="single" w:color="auto" w:sz="4" w:space="0"/>
              <w:bottom w:val="single" w:color="auto" w:sz="4" w:space="0"/>
              <w:right w:val="single" w:color="auto" w:sz="4" w:space="0"/>
            </w:tcBorders>
            <w:vAlign w:val="top"/>
          </w:tcPr>
          <w:p w14:paraId="25ED7614">
            <w:pPr>
              <w:pStyle w:val="13"/>
              <w:keepNext w:val="0"/>
              <w:keepLines w:val="0"/>
              <w:pageBreakBefore w:val="0"/>
              <w:widowControl w:val="0"/>
              <w:kinsoku/>
              <w:wordWrap/>
              <w:overflowPunct/>
              <w:topLinePunct w:val="0"/>
              <w:autoSpaceDE w:val="0"/>
              <w:autoSpaceDN w:val="0"/>
              <w:bidi w:val="0"/>
              <w:adjustRightInd/>
              <w:snapToGrid/>
              <w:spacing w:before="100" w:line="360" w:lineRule="auto"/>
              <w:ind w:left="113" w:right="110" w:rightChars="50" w:firstLine="412" w:firstLineChars="200"/>
              <w:jc w:val="both"/>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本项目为应急救援用装备，投标人提供应急演练或应急救援的基本方案得基础分</w:t>
            </w:r>
            <w:r>
              <w:rPr>
                <w:rFonts w:hint="default" w:ascii="Times New Roman" w:hAnsi="Times New Roman" w:eastAsia="宋体" w:cs="Times New Roman"/>
                <w:spacing w:val="-2"/>
                <w:sz w:val="21"/>
                <w:szCs w:val="21"/>
              </w:rPr>
              <w:t>3</w:t>
            </w:r>
            <w:r>
              <w:rPr>
                <w:rFonts w:hint="eastAsia" w:ascii="宋体" w:hAnsi="宋体" w:eastAsia="宋体" w:cs="宋体"/>
                <w:spacing w:val="-2"/>
                <w:sz w:val="21"/>
                <w:szCs w:val="21"/>
              </w:rPr>
              <w:t>分；</w:t>
            </w:r>
          </w:p>
          <w:p w14:paraId="017FBAF3">
            <w:pPr>
              <w:pStyle w:val="13"/>
              <w:keepNext w:val="0"/>
              <w:keepLines w:val="0"/>
              <w:pageBreakBefore w:val="0"/>
              <w:widowControl w:val="0"/>
              <w:kinsoku/>
              <w:wordWrap/>
              <w:overflowPunct/>
              <w:topLinePunct w:val="0"/>
              <w:autoSpaceDE w:val="0"/>
              <w:autoSpaceDN w:val="0"/>
              <w:bidi w:val="0"/>
              <w:adjustRightInd/>
              <w:snapToGrid/>
              <w:spacing w:line="360" w:lineRule="auto"/>
              <w:ind w:left="116" w:right="110" w:rightChars="50" w:firstLine="412" w:firstLineChars="200"/>
              <w:jc w:val="both"/>
              <w:textAlignment w:val="auto"/>
              <w:rPr>
                <w:rFonts w:hint="eastAsia" w:eastAsia="宋体"/>
                <w:spacing w:val="-2"/>
                <w:sz w:val="21"/>
                <w:szCs w:val="21"/>
                <w:lang w:eastAsia="zh-CN"/>
              </w:rPr>
            </w:pPr>
            <w:r>
              <w:rPr>
                <w:rFonts w:hint="eastAsia" w:ascii="宋体" w:hAnsi="宋体" w:eastAsia="宋体" w:cs="宋体"/>
                <w:spacing w:val="-2"/>
                <w:sz w:val="21"/>
                <w:szCs w:val="21"/>
              </w:rPr>
              <w:t>投标人提供装备应急演练或应急救援的应用案例及方案并提供演练图片以证明装备一定的成熟度，经过实践应用。方案完整、合理、可行、描述优秀科学并提供图片加</w:t>
            </w:r>
            <w:r>
              <w:rPr>
                <w:rFonts w:hint="eastAsia" w:cs="宋体"/>
                <w:spacing w:val="-2"/>
                <w:sz w:val="21"/>
                <w:szCs w:val="21"/>
                <w:lang w:val="en-US" w:eastAsia="zh-CN"/>
              </w:rPr>
              <w:t xml:space="preserve"> </w:t>
            </w:r>
            <w:r>
              <w:rPr>
                <w:rFonts w:hint="default" w:ascii="Times New Roman" w:hAnsi="Times New Roman" w:eastAsia="宋体" w:cs="Times New Roman"/>
                <w:spacing w:val="-2"/>
                <w:sz w:val="21"/>
                <w:szCs w:val="21"/>
              </w:rPr>
              <w:t>1</w:t>
            </w:r>
            <w:r>
              <w:rPr>
                <w:rFonts w:hint="eastAsia" w:ascii="宋体" w:hAnsi="宋体" w:eastAsia="宋体" w:cs="宋体"/>
                <w:spacing w:val="-2"/>
                <w:sz w:val="21"/>
                <w:szCs w:val="21"/>
              </w:rPr>
              <w:t>.</w:t>
            </w:r>
            <w:r>
              <w:rPr>
                <w:rFonts w:hint="default" w:ascii="Times New Roman" w:hAnsi="Times New Roman" w:eastAsia="宋体" w:cs="Times New Roman"/>
                <w:spacing w:val="-2"/>
                <w:sz w:val="21"/>
                <w:szCs w:val="21"/>
              </w:rPr>
              <w:t>4</w:t>
            </w:r>
            <w:r>
              <w:rPr>
                <w:rFonts w:hint="eastAsia" w:ascii="宋体" w:hAnsi="宋体" w:eastAsia="宋体" w:cs="宋体"/>
                <w:spacing w:val="-2"/>
                <w:sz w:val="21"/>
                <w:szCs w:val="21"/>
              </w:rPr>
              <w:t>-</w:t>
            </w:r>
            <w:r>
              <w:rPr>
                <w:rFonts w:hint="default" w:ascii="Times New Roman" w:hAnsi="Times New Roman" w:eastAsia="宋体" w:cs="Times New Roman"/>
                <w:spacing w:val="-2"/>
                <w:sz w:val="21"/>
                <w:szCs w:val="21"/>
              </w:rPr>
              <w:t>2</w:t>
            </w:r>
            <w:r>
              <w:rPr>
                <w:rFonts w:hint="eastAsia" w:ascii="宋体" w:hAnsi="宋体" w:eastAsia="宋体" w:cs="宋体"/>
                <w:spacing w:val="-2"/>
                <w:sz w:val="21"/>
                <w:szCs w:val="21"/>
              </w:rPr>
              <w:t xml:space="preserve"> 分</w:t>
            </w:r>
            <w:r>
              <w:rPr>
                <w:rFonts w:hint="eastAsia" w:cs="宋体"/>
                <w:spacing w:val="-2"/>
                <w:sz w:val="21"/>
                <w:szCs w:val="21"/>
                <w:lang w:eastAsia="zh-CN"/>
              </w:rPr>
              <w:t>；</w:t>
            </w:r>
            <w:r>
              <w:rPr>
                <w:rFonts w:hint="eastAsia" w:ascii="宋体" w:hAnsi="宋体" w:eastAsia="宋体" w:cs="宋体"/>
                <w:spacing w:val="-2"/>
                <w:sz w:val="21"/>
                <w:szCs w:val="21"/>
              </w:rPr>
              <w:t>方案合理可行描述清晰并提供图片加</w:t>
            </w:r>
            <w:r>
              <w:rPr>
                <w:rFonts w:hint="eastAsia" w:cs="宋体"/>
                <w:spacing w:val="-2"/>
                <w:sz w:val="21"/>
                <w:szCs w:val="21"/>
                <w:lang w:val="en-US" w:eastAsia="zh-CN"/>
              </w:rPr>
              <w:t xml:space="preserve"> </w:t>
            </w:r>
            <w:r>
              <w:rPr>
                <w:rFonts w:hint="default" w:ascii="Times New Roman" w:hAnsi="Times New Roman" w:eastAsia="宋体" w:cs="Times New Roman"/>
                <w:spacing w:val="-2"/>
                <w:sz w:val="21"/>
                <w:szCs w:val="21"/>
              </w:rPr>
              <w:t>0</w:t>
            </w:r>
            <w:r>
              <w:rPr>
                <w:rFonts w:hint="eastAsia" w:ascii="宋体" w:hAnsi="宋体" w:eastAsia="宋体" w:cs="宋体"/>
                <w:spacing w:val="-2"/>
                <w:sz w:val="21"/>
                <w:szCs w:val="21"/>
              </w:rPr>
              <w:t>.</w:t>
            </w:r>
            <w:r>
              <w:rPr>
                <w:rFonts w:hint="default" w:ascii="Times New Roman" w:hAnsi="Times New Roman" w:eastAsia="宋体" w:cs="Times New Roman"/>
                <w:spacing w:val="-2"/>
                <w:sz w:val="21"/>
                <w:szCs w:val="21"/>
              </w:rPr>
              <w:t>7</w:t>
            </w:r>
            <w:r>
              <w:rPr>
                <w:rFonts w:hint="eastAsia" w:ascii="宋体" w:hAnsi="宋体" w:eastAsia="宋体" w:cs="宋体"/>
                <w:spacing w:val="-2"/>
                <w:sz w:val="21"/>
                <w:szCs w:val="21"/>
              </w:rPr>
              <w:t>-</w:t>
            </w:r>
            <w:r>
              <w:rPr>
                <w:rFonts w:hint="default" w:ascii="Times New Roman" w:hAnsi="Times New Roman" w:eastAsia="宋体" w:cs="Times New Roman"/>
                <w:spacing w:val="-2"/>
                <w:sz w:val="21"/>
                <w:szCs w:val="21"/>
              </w:rPr>
              <w:t>1</w:t>
            </w:r>
            <w:r>
              <w:rPr>
                <w:rFonts w:hint="eastAsia" w:ascii="宋体" w:hAnsi="宋体" w:eastAsia="宋体" w:cs="宋体"/>
                <w:spacing w:val="-2"/>
                <w:sz w:val="21"/>
                <w:szCs w:val="21"/>
              </w:rPr>
              <w:t>.</w:t>
            </w:r>
            <w:r>
              <w:rPr>
                <w:rFonts w:hint="default" w:ascii="Times New Roman" w:hAnsi="Times New Roman" w:eastAsia="宋体" w:cs="Times New Roman"/>
                <w:spacing w:val="-2"/>
                <w:sz w:val="21"/>
                <w:szCs w:val="21"/>
              </w:rPr>
              <w:t>4</w:t>
            </w:r>
            <w:r>
              <w:rPr>
                <w:rFonts w:hint="eastAsia" w:ascii="Times New Roman" w:hAnsi="Times New Roman" w:cs="Times New Roman"/>
                <w:spacing w:val="-2"/>
                <w:sz w:val="21"/>
                <w:szCs w:val="21"/>
                <w:lang w:val="en-US" w:eastAsia="zh-CN"/>
              </w:rPr>
              <w:t xml:space="preserve"> </w:t>
            </w:r>
            <w:r>
              <w:rPr>
                <w:rFonts w:hint="eastAsia" w:ascii="宋体" w:hAnsi="宋体" w:eastAsia="宋体" w:cs="宋体"/>
                <w:spacing w:val="-2"/>
                <w:sz w:val="21"/>
                <w:szCs w:val="21"/>
              </w:rPr>
              <w:t>分</w:t>
            </w:r>
            <w:r>
              <w:rPr>
                <w:rFonts w:hint="eastAsia" w:cs="宋体"/>
                <w:spacing w:val="-2"/>
                <w:sz w:val="21"/>
                <w:szCs w:val="21"/>
                <w:lang w:eastAsia="zh-CN"/>
              </w:rPr>
              <w:t>；</w:t>
            </w:r>
            <w:r>
              <w:rPr>
                <w:rFonts w:hint="eastAsia" w:ascii="宋体" w:hAnsi="宋体" w:eastAsia="宋体" w:cs="宋体"/>
                <w:spacing w:val="-2"/>
                <w:sz w:val="21"/>
                <w:szCs w:val="21"/>
              </w:rPr>
              <w:t xml:space="preserve">方案一般并提供图片加 </w:t>
            </w:r>
            <w:r>
              <w:rPr>
                <w:rFonts w:hint="default" w:ascii="Times New Roman" w:hAnsi="Times New Roman" w:eastAsia="宋体" w:cs="Times New Roman"/>
                <w:spacing w:val="-2"/>
                <w:sz w:val="21"/>
                <w:szCs w:val="21"/>
              </w:rPr>
              <w:t>0</w:t>
            </w:r>
            <w:r>
              <w:rPr>
                <w:rFonts w:hint="eastAsia" w:ascii="宋体" w:hAnsi="宋体" w:eastAsia="宋体" w:cs="宋体"/>
                <w:spacing w:val="-2"/>
                <w:sz w:val="21"/>
                <w:szCs w:val="21"/>
              </w:rPr>
              <w:t>-</w:t>
            </w:r>
            <w:r>
              <w:rPr>
                <w:rFonts w:hint="default" w:ascii="Times New Roman" w:hAnsi="Times New Roman" w:eastAsia="宋体" w:cs="Times New Roman"/>
                <w:spacing w:val="-2"/>
                <w:sz w:val="21"/>
                <w:szCs w:val="21"/>
              </w:rPr>
              <w:t>0</w:t>
            </w:r>
            <w:r>
              <w:rPr>
                <w:rFonts w:hint="eastAsia" w:ascii="宋体" w:hAnsi="宋体" w:eastAsia="宋体" w:cs="宋体"/>
                <w:spacing w:val="-2"/>
                <w:sz w:val="21"/>
                <w:szCs w:val="21"/>
              </w:rPr>
              <w:t>.</w:t>
            </w:r>
            <w:r>
              <w:rPr>
                <w:rFonts w:hint="default" w:ascii="Times New Roman" w:hAnsi="Times New Roman" w:eastAsia="宋体" w:cs="Times New Roman"/>
                <w:spacing w:val="-2"/>
                <w:sz w:val="21"/>
                <w:szCs w:val="21"/>
              </w:rPr>
              <w:t>7</w:t>
            </w:r>
            <w:r>
              <w:rPr>
                <w:rFonts w:hint="eastAsia" w:ascii="宋体" w:hAnsi="宋体" w:eastAsia="宋体" w:cs="宋体"/>
                <w:spacing w:val="-2"/>
                <w:sz w:val="21"/>
                <w:szCs w:val="21"/>
              </w:rPr>
              <w:t xml:space="preserve"> 分</w:t>
            </w:r>
            <w:r>
              <w:rPr>
                <w:rFonts w:hint="eastAsia" w:ascii="宋体" w:hAnsi="宋体" w:eastAsia="宋体" w:cs="宋体"/>
                <w:spacing w:val="-2"/>
                <w:sz w:val="21"/>
                <w:szCs w:val="21"/>
                <w:lang w:eastAsia="zh-CN"/>
              </w:rPr>
              <w:t>。</w:t>
            </w:r>
          </w:p>
        </w:tc>
      </w:tr>
      <w:tr w14:paraId="0FEB1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635" w:type="pct"/>
            <w:vMerge w:val="continue"/>
            <w:tcBorders>
              <w:top w:val="single" w:color="auto" w:sz="4" w:space="0"/>
              <w:left w:val="single" w:color="auto" w:sz="4" w:space="0"/>
              <w:bottom w:val="single" w:color="auto" w:sz="4" w:space="0"/>
              <w:right w:val="single" w:color="auto" w:sz="4" w:space="0"/>
            </w:tcBorders>
            <w:vAlign w:val="top"/>
          </w:tcPr>
          <w:p w14:paraId="25B4FA3D">
            <w:pPr>
              <w:pStyle w:val="13"/>
              <w:spacing w:line="360" w:lineRule="auto"/>
              <w:ind w:left="116" w:firstLine="420" w:firstLineChars="200"/>
              <w:jc w:val="both"/>
              <w:rPr>
                <w:sz w:val="21"/>
                <w:szCs w:val="21"/>
              </w:rPr>
            </w:pPr>
          </w:p>
        </w:tc>
        <w:tc>
          <w:tcPr>
            <w:tcW w:w="360" w:type="pct"/>
            <w:vMerge w:val="continue"/>
            <w:tcBorders>
              <w:top w:val="single" w:color="auto" w:sz="4" w:space="0"/>
              <w:left w:val="single" w:color="auto" w:sz="4" w:space="0"/>
              <w:bottom w:val="single" w:color="auto" w:sz="4" w:space="0"/>
              <w:right w:val="single" w:color="auto" w:sz="4" w:space="0"/>
            </w:tcBorders>
            <w:vAlign w:val="top"/>
          </w:tcPr>
          <w:p w14:paraId="3E78458A">
            <w:pPr>
              <w:pStyle w:val="13"/>
              <w:spacing w:line="360" w:lineRule="auto"/>
              <w:ind w:left="116" w:firstLine="420" w:firstLineChars="200"/>
              <w:jc w:val="both"/>
              <w:rPr>
                <w:sz w:val="21"/>
                <w:szCs w:val="21"/>
              </w:rPr>
            </w:pPr>
          </w:p>
        </w:tc>
        <w:tc>
          <w:tcPr>
            <w:tcW w:w="879" w:type="pct"/>
            <w:vMerge w:val="continue"/>
            <w:tcBorders>
              <w:top w:val="single" w:color="auto" w:sz="4" w:space="0"/>
              <w:left w:val="single" w:color="auto" w:sz="4" w:space="0"/>
              <w:bottom w:val="single" w:color="auto" w:sz="4" w:space="0"/>
              <w:right w:val="single" w:color="auto" w:sz="4" w:space="0"/>
            </w:tcBorders>
            <w:vAlign w:val="top"/>
          </w:tcPr>
          <w:p w14:paraId="3890165E">
            <w:pPr>
              <w:pStyle w:val="13"/>
              <w:spacing w:line="360" w:lineRule="auto"/>
              <w:ind w:left="116" w:firstLine="412" w:firstLineChars="200"/>
              <w:jc w:val="both"/>
              <w:rPr>
                <w:rFonts w:hint="eastAsia"/>
                <w:spacing w:val="-2"/>
                <w:sz w:val="21"/>
                <w:szCs w:val="21"/>
              </w:rPr>
            </w:pPr>
          </w:p>
        </w:tc>
        <w:tc>
          <w:tcPr>
            <w:tcW w:w="3124" w:type="pct"/>
            <w:tcBorders>
              <w:top w:val="single" w:color="auto" w:sz="4" w:space="0"/>
              <w:left w:val="single" w:color="auto" w:sz="4" w:space="0"/>
              <w:bottom w:val="single" w:color="auto" w:sz="4" w:space="0"/>
              <w:right w:val="single" w:color="auto" w:sz="4" w:space="0"/>
            </w:tcBorders>
            <w:vAlign w:val="top"/>
          </w:tcPr>
          <w:p w14:paraId="36323853">
            <w:pPr>
              <w:pStyle w:val="13"/>
              <w:keepNext w:val="0"/>
              <w:keepLines w:val="0"/>
              <w:pageBreakBefore w:val="0"/>
              <w:widowControl w:val="0"/>
              <w:kinsoku/>
              <w:wordWrap/>
              <w:overflowPunct/>
              <w:topLinePunct w:val="0"/>
              <w:autoSpaceDE w:val="0"/>
              <w:autoSpaceDN w:val="0"/>
              <w:bidi w:val="0"/>
              <w:adjustRightInd/>
              <w:snapToGrid/>
              <w:spacing w:before="100" w:line="360" w:lineRule="auto"/>
              <w:ind w:left="113" w:right="110" w:rightChars="50" w:firstLine="416" w:firstLineChars="200"/>
              <w:jc w:val="both"/>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投标人提供装备完整工艺流程、工艺措施和生产制造基本方案得基础分</w:t>
            </w:r>
            <w:r>
              <w:rPr>
                <w:rFonts w:hint="eastAsia" w:cs="宋体"/>
                <w:spacing w:val="-1"/>
                <w:sz w:val="21"/>
                <w:szCs w:val="21"/>
                <w:lang w:val="en-US" w:eastAsia="zh-CN"/>
              </w:rPr>
              <w:t xml:space="preserve"> </w:t>
            </w:r>
            <w:r>
              <w:rPr>
                <w:rFonts w:hint="default" w:ascii="Times New Roman" w:hAnsi="Times New Roman" w:eastAsia="宋体" w:cs="Times New Roman"/>
                <w:spacing w:val="-1"/>
                <w:sz w:val="21"/>
                <w:szCs w:val="21"/>
              </w:rPr>
              <w:t>3</w:t>
            </w:r>
            <w:r>
              <w:rPr>
                <w:rFonts w:hint="eastAsia" w:ascii="Times New Roman" w:hAnsi="Times New Roman" w:cs="Times New Roman"/>
                <w:spacing w:val="-1"/>
                <w:sz w:val="21"/>
                <w:szCs w:val="21"/>
                <w:lang w:val="en-US" w:eastAsia="zh-CN"/>
              </w:rPr>
              <w:t xml:space="preserve"> </w:t>
            </w:r>
            <w:r>
              <w:rPr>
                <w:rFonts w:hint="eastAsia" w:ascii="宋体" w:hAnsi="宋体" w:eastAsia="宋体" w:cs="宋体"/>
                <w:spacing w:val="-1"/>
                <w:sz w:val="21"/>
                <w:szCs w:val="21"/>
              </w:rPr>
              <w:t>分；</w:t>
            </w:r>
          </w:p>
          <w:p w14:paraId="36A1128B">
            <w:pPr>
              <w:pStyle w:val="13"/>
              <w:keepNext w:val="0"/>
              <w:keepLines w:val="0"/>
              <w:pageBreakBefore w:val="0"/>
              <w:widowControl w:val="0"/>
              <w:kinsoku/>
              <w:wordWrap/>
              <w:overflowPunct/>
              <w:topLinePunct w:val="0"/>
              <w:autoSpaceDE w:val="0"/>
              <w:autoSpaceDN w:val="0"/>
              <w:bidi w:val="0"/>
              <w:adjustRightInd/>
              <w:snapToGrid/>
              <w:spacing w:before="100" w:line="360" w:lineRule="auto"/>
              <w:ind w:left="113" w:right="110" w:rightChars="50" w:firstLine="416" w:firstLineChars="200"/>
              <w:jc w:val="both"/>
              <w:textAlignment w:val="auto"/>
              <w:rPr>
                <w:rFonts w:hint="eastAsia"/>
                <w:spacing w:val="-2"/>
                <w:sz w:val="21"/>
                <w:szCs w:val="21"/>
              </w:rPr>
            </w:pPr>
            <w:r>
              <w:rPr>
                <w:rFonts w:hint="eastAsia" w:ascii="宋体" w:hAnsi="宋体" w:eastAsia="宋体" w:cs="宋体"/>
                <w:spacing w:val="-1"/>
                <w:sz w:val="21"/>
                <w:szCs w:val="21"/>
              </w:rPr>
              <w:t>投标人提供装备完整工艺流程、工艺措施和生产制造方案、提供记录以证明投标人具备该项目成熟的制造工艺。方案完整、合理、可行、描述优秀科学并提供记录加</w:t>
            </w:r>
            <w:r>
              <w:rPr>
                <w:rFonts w:hint="eastAsia" w:cs="宋体"/>
                <w:spacing w:val="-1"/>
                <w:sz w:val="21"/>
                <w:szCs w:val="21"/>
                <w:lang w:val="en-US" w:eastAsia="zh-CN"/>
              </w:rPr>
              <w:t xml:space="preserve"> </w:t>
            </w:r>
            <w:r>
              <w:rPr>
                <w:rFonts w:hint="default" w:ascii="Times New Roman" w:hAnsi="Times New Roman" w:eastAsia="宋体" w:cs="Times New Roman"/>
                <w:spacing w:val="-1"/>
                <w:sz w:val="21"/>
                <w:szCs w:val="21"/>
              </w:rPr>
              <w:t>1</w:t>
            </w:r>
            <w:r>
              <w:rPr>
                <w:rFonts w:hint="eastAsia" w:ascii="宋体" w:hAnsi="宋体" w:eastAsia="宋体" w:cs="宋体"/>
                <w:spacing w:val="-1"/>
                <w:sz w:val="21"/>
                <w:szCs w:val="21"/>
              </w:rPr>
              <w:t>.</w:t>
            </w:r>
            <w:r>
              <w:rPr>
                <w:rFonts w:hint="default" w:ascii="Times New Roman" w:hAnsi="Times New Roman" w:eastAsia="宋体" w:cs="Times New Roman"/>
                <w:spacing w:val="-1"/>
                <w:sz w:val="21"/>
                <w:szCs w:val="21"/>
              </w:rPr>
              <w:t>4</w:t>
            </w:r>
            <w:r>
              <w:rPr>
                <w:rFonts w:hint="eastAsia" w:ascii="宋体" w:hAnsi="宋体" w:eastAsia="宋体" w:cs="宋体"/>
                <w:spacing w:val="-1"/>
                <w:sz w:val="21"/>
                <w:szCs w:val="21"/>
              </w:rPr>
              <w:t>-</w:t>
            </w:r>
            <w:r>
              <w:rPr>
                <w:rFonts w:hint="default" w:ascii="Times New Roman" w:hAnsi="Times New Roman" w:eastAsia="宋体" w:cs="Times New Roman"/>
                <w:spacing w:val="-1"/>
                <w:sz w:val="21"/>
                <w:szCs w:val="21"/>
              </w:rPr>
              <w:t>2</w:t>
            </w:r>
            <w:r>
              <w:rPr>
                <w:rFonts w:hint="eastAsia" w:ascii="宋体" w:hAnsi="宋体" w:eastAsia="宋体" w:cs="宋体"/>
                <w:spacing w:val="-1"/>
                <w:sz w:val="21"/>
                <w:szCs w:val="21"/>
              </w:rPr>
              <w:t xml:space="preserve"> 分</w:t>
            </w:r>
            <w:r>
              <w:rPr>
                <w:rFonts w:hint="eastAsia" w:cs="宋体"/>
                <w:spacing w:val="-1"/>
                <w:sz w:val="21"/>
                <w:szCs w:val="21"/>
                <w:lang w:eastAsia="zh-CN"/>
              </w:rPr>
              <w:t>；</w:t>
            </w:r>
            <w:r>
              <w:rPr>
                <w:rFonts w:hint="eastAsia" w:ascii="宋体" w:hAnsi="宋体" w:eastAsia="宋体" w:cs="宋体"/>
                <w:spacing w:val="-1"/>
                <w:sz w:val="21"/>
                <w:szCs w:val="21"/>
              </w:rPr>
              <w:t>方案合理可行描述清晰并提供记录加</w:t>
            </w:r>
            <w:r>
              <w:rPr>
                <w:rFonts w:hint="eastAsia" w:cs="宋体"/>
                <w:spacing w:val="-1"/>
                <w:sz w:val="21"/>
                <w:szCs w:val="21"/>
                <w:lang w:val="en-US" w:eastAsia="zh-CN"/>
              </w:rPr>
              <w:t xml:space="preserve"> </w:t>
            </w:r>
            <w:r>
              <w:rPr>
                <w:rFonts w:hint="default" w:ascii="Times New Roman" w:hAnsi="Times New Roman" w:eastAsia="宋体" w:cs="Times New Roman"/>
                <w:spacing w:val="-1"/>
                <w:sz w:val="21"/>
                <w:szCs w:val="21"/>
              </w:rPr>
              <w:t>0</w:t>
            </w:r>
            <w:r>
              <w:rPr>
                <w:rFonts w:hint="eastAsia" w:ascii="宋体" w:hAnsi="宋体" w:eastAsia="宋体" w:cs="宋体"/>
                <w:spacing w:val="-1"/>
                <w:sz w:val="21"/>
                <w:szCs w:val="21"/>
              </w:rPr>
              <w:t>.</w:t>
            </w:r>
            <w:r>
              <w:rPr>
                <w:rFonts w:hint="default" w:ascii="Times New Roman" w:hAnsi="Times New Roman" w:eastAsia="宋体" w:cs="Times New Roman"/>
                <w:spacing w:val="-1"/>
                <w:sz w:val="21"/>
                <w:szCs w:val="21"/>
              </w:rPr>
              <w:t>7</w:t>
            </w:r>
            <w:r>
              <w:rPr>
                <w:rFonts w:hint="eastAsia" w:ascii="宋体" w:hAnsi="宋体" w:eastAsia="宋体" w:cs="宋体"/>
                <w:spacing w:val="-1"/>
                <w:sz w:val="21"/>
                <w:szCs w:val="21"/>
              </w:rPr>
              <w:t>-</w:t>
            </w:r>
            <w:r>
              <w:rPr>
                <w:rFonts w:hint="default" w:ascii="Times New Roman" w:hAnsi="Times New Roman" w:eastAsia="宋体" w:cs="Times New Roman"/>
                <w:spacing w:val="-1"/>
                <w:sz w:val="21"/>
                <w:szCs w:val="21"/>
              </w:rPr>
              <w:t>1</w:t>
            </w:r>
            <w:r>
              <w:rPr>
                <w:rFonts w:hint="eastAsia" w:ascii="宋体" w:hAnsi="宋体" w:eastAsia="宋体" w:cs="宋体"/>
                <w:spacing w:val="-1"/>
                <w:sz w:val="21"/>
                <w:szCs w:val="21"/>
              </w:rPr>
              <w:t>.</w:t>
            </w:r>
            <w:r>
              <w:rPr>
                <w:rFonts w:hint="default" w:ascii="Times New Roman" w:hAnsi="Times New Roman" w:eastAsia="宋体" w:cs="Times New Roman"/>
                <w:spacing w:val="-1"/>
                <w:sz w:val="21"/>
                <w:szCs w:val="21"/>
              </w:rPr>
              <w:t>4</w:t>
            </w:r>
            <w:r>
              <w:rPr>
                <w:rFonts w:hint="eastAsia" w:ascii="Times New Roman" w:hAnsi="Times New Roman" w:cs="Times New Roman"/>
                <w:spacing w:val="-1"/>
                <w:sz w:val="21"/>
                <w:szCs w:val="21"/>
                <w:lang w:val="en-US" w:eastAsia="zh-CN"/>
              </w:rPr>
              <w:t xml:space="preserve"> </w:t>
            </w:r>
            <w:r>
              <w:rPr>
                <w:rFonts w:hint="eastAsia" w:ascii="宋体" w:hAnsi="宋体" w:eastAsia="宋体" w:cs="宋体"/>
                <w:spacing w:val="-1"/>
                <w:sz w:val="21"/>
                <w:szCs w:val="21"/>
              </w:rPr>
              <w:t>分</w:t>
            </w:r>
            <w:r>
              <w:rPr>
                <w:rFonts w:hint="eastAsia" w:cs="宋体"/>
                <w:spacing w:val="-1"/>
                <w:sz w:val="21"/>
                <w:szCs w:val="21"/>
                <w:lang w:eastAsia="zh-CN"/>
              </w:rPr>
              <w:t>；</w:t>
            </w:r>
            <w:r>
              <w:rPr>
                <w:rFonts w:hint="eastAsia" w:ascii="宋体" w:hAnsi="宋体" w:eastAsia="宋体" w:cs="宋体"/>
                <w:spacing w:val="-1"/>
                <w:sz w:val="21"/>
                <w:szCs w:val="21"/>
              </w:rPr>
              <w:t xml:space="preserve">仅提供方案合理可行加 </w:t>
            </w:r>
            <w:r>
              <w:rPr>
                <w:rFonts w:hint="default" w:ascii="Times New Roman" w:hAnsi="Times New Roman" w:eastAsia="宋体" w:cs="Times New Roman"/>
                <w:spacing w:val="-1"/>
                <w:sz w:val="21"/>
                <w:szCs w:val="21"/>
              </w:rPr>
              <w:t>0</w:t>
            </w:r>
            <w:r>
              <w:rPr>
                <w:rFonts w:hint="eastAsia" w:ascii="宋体" w:hAnsi="宋体" w:eastAsia="宋体" w:cs="宋体"/>
                <w:spacing w:val="-1"/>
                <w:sz w:val="21"/>
                <w:szCs w:val="21"/>
              </w:rPr>
              <w:t>-</w:t>
            </w:r>
            <w:r>
              <w:rPr>
                <w:rFonts w:hint="default" w:ascii="Times New Roman" w:hAnsi="Times New Roman" w:eastAsia="宋体" w:cs="Times New Roman"/>
                <w:spacing w:val="-1"/>
                <w:sz w:val="21"/>
                <w:szCs w:val="21"/>
              </w:rPr>
              <w:t>0</w:t>
            </w:r>
            <w:r>
              <w:rPr>
                <w:rFonts w:hint="eastAsia" w:ascii="宋体" w:hAnsi="宋体" w:eastAsia="宋体" w:cs="宋体"/>
                <w:spacing w:val="-1"/>
                <w:sz w:val="21"/>
                <w:szCs w:val="21"/>
              </w:rPr>
              <w:t>.</w:t>
            </w:r>
            <w:r>
              <w:rPr>
                <w:rFonts w:hint="default" w:ascii="Times New Roman" w:hAnsi="Times New Roman" w:eastAsia="宋体" w:cs="Times New Roman"/>
                <w:spacing w:val="-1"/>
                <w:sz w:val="21"/>
                <w:szCs w:val="21"/>
              </w:rPr>
              <w:t>7</w:t>
            </w:r>
            <w:r>
              <w:rPr>
                <w:rFonts w:hint="eastAsia" w:ascii="宋体" w:hAnsi="宋体" w:eastAsia="宋体" w:cs="宋体"/>
                <w:spacing w:val="-1"/>
                <w:sz w:val="21"/>
                <w:szCs w:val="21"/>
              </w:rPr>
              <w:t xml:space="preserve"> 分。</w:t>
            </w:r>
          </w:p>
        </w:tc>
      </w:tr>
      <w:tr w14:paraId="5C3DD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1" w:hRule="atLeast"/>
        </w:trPr>
        <w:tc>
          <w:tcPr>
            <w:tcW w:w="635" w:type="pct"/>
            <w:vMerge w:val="continue"/>
            <w:tcBorders>
              <w:top w:val="single" w:color="auto" w:sz="4" w:space="0"/>
              <w:left w:val="single" w:color="auto" w:sz="4" w:space="0"/>
              <w:bottom w:val="single" w:color="auto" w:sz="4" w:space="0"/>
              <w:right w:val="single" w:color="auto" w:sz="4" w:space="0"/>
            </w:tcBorders>
            <w:vAlign w:val="top"/>
          </w:tcPr>
          <w:p w14:paraId="4E2E3009">
            <w:pPr>
              <w:pStyle w:val="13"/>
              <w:spacing w:line="360" w:lineRule="auto"/>
              <w:ind w:left="116" w:firstLine="412" w:firstLineChars="200"/>
              <w:jc w:val="both"/>
              <w:rPr>
                <w:rFonts w:hint="eastAsia"/>
                <w:spacing w:val="-2"/>
                <w:sz w:val="21"/>
                <w:szCs w:val="21"/>
              </w:rPr>
            </w:pPr>
          </w:p>
        </w:tc>
        <w:tc>
          <w:tcPr>
            <w:tcW w:w="360" w:type="pct"/>
            <w:vMerge w:val="continue"/>
            <w:tcBorders>
              <w:top w:val="single" w:color="auto" w:sz="4" w:space="0"/>
              <w:left w:val="single" w:color="auto" w:sz="4" w:space="0"/>
              <w:bottom w:val="single" w:color="auto" w:sz="4" w:space="0"/>
              <w:right w:val="single" w:color="auto" w:sz="4" w:space="0"/>
            </w:tcBorders>
            <w:vAlign w:val="top"/>
          </w:tcPr>
          <w:p w14:paraId="569AD8F9">
            <w:pPr>
              <w:pStyle w:val="13"/>
              <w:spacing w:line="360" w:lineRule="auto"/>
              <w:ind w:left="116" w:firstLine="412" w:firstLineChars="200"/>
              <w:jc w:val="both"/>
              <w:rPr>
                <w:rFonts w:hint="eastAsia"/>
                <w:spacing w:val="-2"/>
                <w:sz w:val="21"/>
                <w:szCs w:val="21"/>
              </w:rPr>
            </w:pPr>
          </w:p>
        </w:tc>
        <w:tc>
          <w:tcPr>
            <w:tcW w:w="879" w:type="pct"/>
            <w:vMerge w:val="continue"/>
            <w:tcBorders>
              <w:top w:val="single" w:color="auto" w:sz="4" w:space="0"/>
              <w:left w:val="single" w:color="auto" w:sz="4" w:space="0"/>
              <w:bottom w:val="single" w:color="auto" w:sz="4" w:space="0"/>
              <w:right w:val="single" w:color="auto" w:sz="4" w:space="0"/>
            </w:tcBorders>
            <w:vAlign w:val="top"/>
          </w:tcPr>
          <w:p w14:paraId="0555FB16">
            <w:pPr>
              <w:pStyle w:val="13"/>
              <w:spacing w:line="360" w:lineRule="auto"/>
              <w:ind w:left="116" w:firstLine="412" w:firstLineChars="200"/>
              <w:jc w:val="both"/>
              <w:rPr>
                <w:rFonts w:hint="eastAsia"/>
                <w:spacing w:val="-2"/>
                <w:sz w:val="21"/>
                <w:szCs w:val="21"/>
              </w:rPr>
            </w:pPr>
          </w:p>
        </w:tc>
        <w:tc>
          <w:tcPr>
            <w:tcW w:w="3124" w:type="pct"/>
            <w:tcBorders>
              <w:top w:val="single" w:color="auto" w:sz="4" w:space="0"/>
              <w:left w:val="single" w:color="auto" w:sz="4" w:space="0"/>
              <w:bottom w:val="single" w:color="auto" w:sz="4" w:space="0"/>
              <w:right w:val="single" w:color="auto" w:sz="4" w:space="0"/>
            </w:tcBorders>
            <w:vAlign w:val="top"/>
          </w:tcPr>
          <w:p w14:paraId="28E245B2">
            <w:pPr>
              <w:pStyle w:val="13"/>
              <w:keepNext w:val="0"/>
              <w:keepLines w:val="0"/>
              <w:pageBreakBefore w:val="0"/>
              <w:widowControl w:val="0"/>
              <w:kinsoku/>
              <w:wordWrap/>
              <w:overflowPunct/>
              <w:topLinePunct w:val="0"/>
              <w:autoSpaceDE w:val="0"/>
              <w:autoSpaceDN w:val="0"/>
              <w:bidi w:val="0"/>
              <w:adjustRightInd/>
              <w:snapToGrid/>
              <w:spacing w:before="100" w:line="360" w:lineRule="auto"/>
              <w:ind w:left="113" w:right="110" w:rightChars="50" w:firstLine="420" w:firstLineChars="200"/>
              <w:jc w:val="both"/>
              <w:textAlignment w:val="auto"/>
              <w:rPr>
                <w:rFonts w:hint="eastAsia" w:ascii="Times New Roman" w:hAnsi="宋体"/>
                <w:sz w:val="21"/>
                <w:szCs w:val="21"/>
              </w:rPr>
            </w:pPr>
            <w:r>
              <w:rPr>
                <w:rFonts w:hint="eastAsia" w:ascii="Times New Roman" w:hAnsi="宋体"/>
                <w:sz w:val="21"/>
                <w:szCs w:val="21"/>
              </w:rPr>
              <w:t>投标人提供拟为本项目投入设备和设施的保障能力的基本方案得基础分</w:t>
            </w:r>
            <w:r>
              <w:rPr>
                <w:rFonts w:hint="default" w:ascii="Times New Roman" w:hAnsi="Times New Roman" w:cs="Times New Roman"/>
                <w:sz w:val="21"/>
                <w:szCs w:val="21"/>
              </w:rPr>
              <w:t>3</w:t>
            </w:r>
            <w:r>
              <w:rPr>
                <w:rFonts w:hint="eastAsia" w:ascii="Times New Roman" w:hAnsi="宋体"/>
                <w:sz w:val="21"/>
                <w:szCs w:val="21"/>
              </w:rPr>
              <w:t>分；</w:t>
            </w:r>
          </w:p>
          <w:p w14:paraId="3A6EF6EE">
            <w:pPr>
              <w:pStyle w:val="13"/>
              <w:keepNext w:val="0"/>
              <w:keepLines w:val="0"/>
              <w:pageBreakBefore w:val="0"/>
              <w:widowControl w:val="0"/>
              <w:kinsoku/>
              <w:wordWrap/>
              <w:overflowPunct/>
              <w:topLinePunct w:val="0"/>
              <w:autoSpaceDE w:val="0"/>
              <w:autoSpaceDN w:val="0"/>
              <w:bidi w:val="0"/>
              <w:adjustRightInd/>
              <w:snapToGrid/>
              <w:spacing w:before="100" w:line="360" w:lineRule="auto"/>
              <w:ind w:left="113" w:right="110" w:rightChars="50" w:firstLine="420" w:firstLineChars="200"/>
              <w:jc w:val="both"/>
              <w:textAlignment w:val="auto"/>
              <w:rPr>
                <w:rFonts w:hint="eastAsia"/>
                <w:spacing w:val="-2"/>
                <w:sz w:val="21"/>
                <w:szCs w:val="21"/>
              </w:rPr>
            </w:pPr>
            <w:r>
              <w:rPr>
                <w:rFonts w:hint="eastAsia" w:ascii="Times New Roman" w:hAnsi="宋体"/>
                <w:sz w:val="21"/>
                <w:szCs w:val="21"/>
              </w:rPr>
              <w:t>投标人提供拟投入的设备和设施的保障能力的方案，并提供质量控制文件，确保按时按质履约，方案完整、合理、可行、描述优秀科学加</w:t>
            </w:r>
            <w:r>
              <w:rPr>
                <w:rFonts w:hint="eastAsia" w:ascii="Times New Roman"/>
                <w:sz w:val="21"/>
                <w:szCs w:val="21"/>
                <w:lang w:val="en-US" w:eastAsia="zh-CN"/>
              </w:rPr>
              <w:t xml:space="preserve"> </w:t>
            </w:r>
            <w:r>
              <w:rPr>
                <w:rFonts w:hint="default" w:ascii="Times New Roman" w:hAnsi="Times New Roman" w:cs="Times New Roman"/>
                <w:sz w:val="21"/>
                <w:szCs w:val="21"/>
              </w:rPr>
              <w:t>1</w:t>
            </w:r>
            <w:r>
              <w:rPr>
                <w:rFonts w:hint="eastAsia" w:ascii="Times New Roman" w:hAnsi="宋体"/>
                <w:sz w:val="21"/>
                <w:szCs w:val="21"/>
              </w:rPr>
              <w:t>.</w:t>
            </w:r>
            <w:r>
              <w:rPr>
                <w:rFonts w:hint="default" w:ascii="Times New Roman" w:hAnsi="Times New Roman" w:cs="Times New Roman"/>
                <w:sz w:val="21"/>
                <w:szCs w:val="21"/>
              </w:rPr>
              <w:t>4</w:t>
            </w:r>
            <w:r>
              <w:rPr>
                <w:rFonts w:hint="eastAsia" w:ascii="Times New Roman" w:hAnsi="宋体"/>
                <w:sz w:val="21"/>
                <w:szCs w:val="21"/>
              </w:rPr>
              <w:t>-</w:t>
            </w:r>
            <w:r>
              <w:rPr>
                <w:rFonts w:hint="default" w:ascii="Times New Roman" w:hAnsi="Times New Roman" w:cs="Times New Roman"/>
                <w:sz w:val="21"/>
                <w:szCs w:val="21"/>
              </w:rPr>
              <w:t>2</w:t>
            </w:r>
            <w:r>
              <w:rPr>
                <w:rFonts w:hint="eastAsia" w:ascii="Times New Roman" w:hAnsi="宋体"/>
                <w:sz w:val="21"/>
                <w:szCs w:val="21"/>
              </w:rPr>
              <w:t xml:space="preserve"> 分</w:t>
            </w:r>
            <w:r>
              <w:rPr>
                <w:rFonts w:hint="eastAsia" w:ascii="Times New Roman"/>
                <w:sz w:val="21"/>
                <w:szCs w:val="21"/>
                <w:lang w:eastAsia="zh-CN"/>
              </w:rPr>
              <w:t>；</w:t>
            </w:r>
            <w:r>
              <w:rPr>
                <w:rFonts w:hint="eastAsia" w:ascii="Times New Roman" w:hAnsi="宋体"/>
                <w:sz w:val="21"/>
                <w:szCs w:val="21"/>
              </w:rPr>
              <w:t>方案合理可行描述清晰加</w:t>
            </w:r>
            <w:r>
              <w:rPr>
                <w:rFonts w:hint="eastAsia" w:ascii="Times New Roman"/>
                <w:sz w:val="21"/>
                <w:szCs w:val="21"/>
                <w:lang w:val="en-US" w:eastAsia="zh-CN"/>
              </w:rPr>
              <w:t xml:space="preserve"> </w:t>
            </w:r>
            <w:r>
              <w:rPr>
                <w:rFonts w:hint="default" w:ascii="Times New Roman" w:hAnsi="Times New Roman" w:cs="Times New Roman"/>
                <w:sz w:val="21"/>
                <w:szCs w:val="21"/>
              </w:rPr>
              <w:t>0</w:t>
            </w:r>
            <w:r>
              <w:rPr>
                <w:rFonts w:hint="eastAsia" w:ascii="Times New Roman" w:hAnsi="宋体"/>
                <w:sz w:val="21"/>
                <w:szCs w:val="21"/>
              </w:rPr>
              <w:t>.</w:t>
            </w:r>
            <w:r>
              <w:rPr>
                <w:rFonts w:hint="default" w:ascii="Times New Roman" w:hAnsi="Times New Roman" w:cs="Times New Roman"/>
                <w:sz w:val="21"/>
                <w:szCs w:val="21"/>
              </w:rPr>
              <w:t>7</w:t>
            </w:r>
            <w:r>
              <w:rPr>
                <w:rFonts w:hint="eastAsia" w:ascii="Times New Roman" w:hAnsi="宋体"/>
                <w:sz w:val="21"/>
                <w:szCs w:val="21"/>
              </w:rPr>
              <w:t>-</w:t>
            </w:r>
            <w:r>
              <w:rPr>
                <w:rFonts w:hint="default" w:ascii="Times New Roman" w:hAnsi="Times New Roman" w:cs="Times New Roman"/>
                <w:sz w:val="21"/>
                <w:szCs w:val="21"/>
              </w:rPr>
              <w:t>1</w:t>
            </w:r>
            <w:r>
              <w:rPr>
                <w:rFonts w:hint="eastAsia" w:ascii="Times New Roman" w:hAnsi="宋体"/>
                <w:sz w:val="21"/>
                <w:szCs w:val="21"/>
              </w:rPr>
              <w:t>.</w:t>
            </w:r>
            <w:r>
              <w:rPr>
                <w:rFonts w:hint="default" w:ascii="Times New Roman" w:hAnsi="Times New Roman" w:cs="Times New Roman"/>
                <w:sz w:val="21"/>
                <w:szCs w:val="21"/>
              </w:rPr>
              <w:t>4</w:t>
            </w:r>
            <w:r>
              <w:rPr>
                <w:rFonts w:hint="eastAsia" w:ascii="Times New Roman" w:hAnsi="Times New Roman" w:cs="Times New Roman"/>
                <w:sz w:val="21"/>
                <w:szCs w:val="21"/>
                <w:lang w:val="en-US" w:eastAsia="zh-CN"/>
              </w:rPr>
              <w:t xml:space="preserve"> </w:t>
            </w:r>
            <w:r>
              <w:rPr>
                <w:rFonts w:hint="eastAsia" w:ascii="Times New Roman" w:hAnsi="宋体"/>
                <w:sz w:val="21"/>
                <w:szCs w:val="21"/>
              </w:rPr>
              <w:t>分</w:t>
            </w:r>
            <w:r>
              <w:rPr>
                <w:rFonts w:hint="eastAsia" w:ascii="Times New Roman"/>
                <w:sz w:val="21"/>
                <w:szCs w:val="21"/>
                <w:lang w:eastAsia="zh-CN"/>
              </w:rPr>
              <w:t>；</w:t>
            </w:r>
            <w:r>
              <w:rPr>
                <w:rFonts w:hint="eastAsia" w:ascii="Times New Roman" w:hAnsi="宋体"/>
                <w:sz w:val="21"/>
                <w:szCs w:val="21"/>
              </w:rPr>
              <w:t>方案一般加</w:t>
            </w:r>
            <w:r>
              <w:rPr>
                <w:rFonts w:hint="eastAsia" w:ascii="Times New Roman"/>
                <w:sz w:val="21"/>
                <w:szCs w:val="21"/>
                <w:lang w:val="en-US" w:eastAsia="zh-CN"/>
              </w:rPr>
              <w:t xml:space="preserve"> </w:t>
            </w:r>
            <w:r>
              <w:rPr>
                <w:rFonts w:hint="default" w:ascii="Times New Roman" w:hAnsi="Times New Roman" w:cs="Times New Roman"/>
                <w:sz w:val="21"/>
                <w:szCs w:val="21"/>
              </w:rPr>
              <w:t>0</w:t>
            </w:r>
            <w:r>
              <w:rPr>
                <w:rFonts w:hint="eastAsia" w:ascii="Times New Roman" w:hAnsi="宋体"/>
                <w:sz w:val="21"/>
                <w:szCs w:val="21"/>
              </w:rPr>
              <w:t>-</w:t>
            </w:r>
            <w:r>
              <w:rPr>
                <w:rFonts w:hint="default" w:ascii="Times New Roman" w:hAnsi="Times New Roman" w:cs="Times New Roman"/>
                <w:sz w:val="21"/>
                <w:szCs w:val="21"/>
              </w:rPr>
              <w:t>0</w:t>
            </w:r>
            <w:r>
              <w:rPr>
                <w:rFonts w:hint="eastAsia" w:ascii="Times New Roman" w:hAnsi="宋体"/>
                <w:sz w:val="21"/>
                <w:szCs w:val="21"/>
              </w:rPr>
              <w:t>.</w:t>
            </w:r>
            <w:r>
              <w:rPr>
                <w:rFonts w:hint="default" w:ascii="Times New Roman" w:hAnsi="Times New Roman" w:cs="Times New Roman"/>
                <w:sz w:val="21"/>
                <w:szCs w:val="21"/>
              </w:rPr>
              <w:t>7</w:t>
            </w:r>
            <w:r>
              <w:rPr>
                <w:rFonts w:hint="eastAsia" w:ascii="Times New Roman" w:hAnsi="Times New Roman" w:cs="Times New Roman"/>
                <w:sz w:val="21"/>
                <w:szCs w:val="21"/>
                <w:lang w:val="en-US" w:eastAsia="zh-CN"/>
              </w:rPr>
              <w:t xml:space="preserve"> </w:t>
            </w:r>
            <w:r>
              <w:rPr>
                <w:rFonts w:hint="eastAsia" w:ascii="Times New Roman" w:hAnsi="宋体"/>
                <w:sz w:val="21"/>
                <w:szCs w:val="21"/>
              </w:rPr>
              <w:t xml:space="preserve"> 分。</w:t>
            </w:r>
          </w:p>
        </w:tc>
      </w:tr>
      <w:tr w14:paraId="6A9E4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9" w:hRule="atLeast"/>
        </w:trPr>
        <w:tc>
          <w:tcPr>
            <w:tcW w:w="635" w:type="pct"/>
            <w:vMerge w:val="continue"/>
            <w:tcBorders>
              <w:top w:val="single" w:color="auto" w:sz="4" w:space="0"/>
              <w:left w:val="single" w:color="auto" w:sz="4" w:space="0"/>
              <w:bottom w:val="single" w:color="auto" w:sz="4" w:space="0"/>
              <w:right w:val="single" w:color="auto" w:sz="4" w:space="0"/>
            </w:tcBorders>
            <w:vAlign w:val="top"/>
          </w:tcPr>
          <w:p w14:paraId="41E7D9AD">
            <w:pPr>
              <w:ind w:firstLine="210" w:firstLineChars="100"/>
              <w:rPr>
                <w:sz w:val="21"/>
                <w:szCs w:val="21"/>
              </w:rPr>
            </w:pPr>
          </w:p>
        </w:tc>
        <w:tc>
          <w:tcPr>
            <w:tcW w:w="360" w:type="pct"/>
            <w:vMerge w:val="continue"/>
            <w:tcBorders>
              <w:top w:val="single" w:color="auto" w:sz="4" w:space="0"/>
              <w:left w:val="single" w:color="auto" w:sz="4" w:space="0"/>
              <w:bottom w:val="single" w:color="auto" w:sz="4" w:space="0"/>
              <w:right w:val="single" w:color="auto" w:sz="4" w:space="0"/>
            </w:tcBorders>
            <w:vAlign w:val="top"/>
          </w:tcPr>
          <w:p w14:paraId="2525B9F2">
            <w:pPr>
              <w:jc w:val="center"/>
              <w:rPr>
                <w:sz w:val="21"/>
                <w:szCs w:val="21"/>
              </w:rPr>
            </w:pPr>
          </w:p>
        </w:tc>
        <w:tc>
          <w:tcPr>
            <w:tcW w:w="879" w:type="pct"/>
            <w:tcBorders>
              <w:top w:val="single" w:color="auto" w:sz="4" w:space="0"/>
              <w:left w:val="single" w:color="auto" w:sz="4" w:space="0"/>
              <w:bottom w:val="single" w:color="auto" w:sz="4" w:space="0"/>
              <w:right w:val="single" w:color="auto" w:sz="4" w:space="0"/>
            </w:tcBorders>
            <w:vAlign w:val="top"/>
          </w:tcPr>
          <w:p w14:paraId="665EF109">
            <w:pPr>
              <w:pStyle w:val="13"/>
              <w:spacing w:before="135"/>
              <w:jc w:val="both"/>
              <w:rPr>
                <w:rFonts w:hint="eastAsia" w:eastAsia="宋体"/>
                <w:spacing w:val="-13"/>
                <w:sz w:val="21"/>
                <w:szCs w:val="21"/>
                <w:lang w:eastAsia="zh-CN"/>
              </w:rPr>
            </w:pPr>
          </w:p>
          <w:p w14:paraId="2E12CD94">
            <w:pPr>
              <w:pStyle w:val="13"/>
              <w:spacing w:before="135"/>
              <w:jc w:val="both"/>
              <w:rPr>
                <w:rFonts w:hint="eastAsia" w:eastAsia="宋体"/>
                <w:spacing w:val="-13"/>
                <w:sz w:val="21"/>
                <w:szCs w:val="21"/>
                <w:lang w:eastAsia="zh-CN"/>
              </w:rPr>
            </w:pPr>
          </w:p>
          <w:p w14:paraId="4B4984DE">
            <w:pPr>
              <w:pStyle w:val="13"/>
              <w:spacing w:before="135" w:line="360" w:lineRule="auto"/>
              <w:ind w:left="23"/>
              <w:jc w:val="center"/>
              <w:rPr>
                <w:sz w:val="21"/>
                <w:szCs w:val="21"/>
              </w:rPr>
            </w:pPr>
            <w:r>
              <w:rPr>
                <w:rFonts w:hint="eastAsia"/>
                <w:spacing w:val="-13"/>
                <w:sz w:val="21"/>
                <w:szCs w:val="21"/>
              </w:rPr>
              <w:t>供货方案及交货期承诺</w:t>
            </w:r>
            <w:r>
              <w:rPr>
                <w:spacing w:val="-5"/>
                <w:sz w:val="21"/>
                <w:szCs w:val="21"/>
              </w:rPr>
              <w:t>（</w:t>
            </w:r>
            <w:r>
              <w:rPr>
                <w:rFonts w:hint="default" w:ascii="Times New Roman" w:hAnsi="Times New Roman" w:eastAsia="Calibri" w:cs="Times New Roman"/>
                <w:spacing w:val="-5"/>
                <w:sz w:val="21"/>
                <w:szCs w:val="21"/>
              </w:rPr>
              <w:t>5</w:t>
            </w:r>
            <w:r>
              <w:rPr>
                <w:sz w:val="21"/>
                <w:szCs w:val="21"/>
              </w:rPr>
              <w:t>分</w:t>
            </w:r>
            <w:r>
              <w:rPr>
                <w:spacing w:val="-10"/>
                <w:sz w:val="21"/>
                <w:szCs w:val="21"/>
              </w:rPr>
              <w:t>）</w:t>
            </w:r>
          </w:p>
        </w:tc>
        <w:tc>
          <w:tcPr>
            <w:tcW w:w="3124" w:type="pct"/>
            <w:tcBorders>
              <w:top w:val="single" w:color="auto" w:sz="4" w:space="0"/>
              <w:left w:val="single" w:color="auto" w:sz="4" w:space="0"/>
              <w:bottom w:val="single" w:color="auto" w:sz="4" w:space="0"/>
              <w:right w:val="single" w:color="auto" w:sz="4" w:space="0"/>
            </w:tcBorders>
            <w:vAlign w:val="top"/>
          </w:tcPr>
          <w:p w14:paraId="236EECB4">
            <w:pPr>
              <w:pStyle w:val="13"/>
              <w:keepNext w:val="0"/>
              <w:keepLines w:val="0"/>
              <w:pageBreakBefore w:val="0"/>
              <w:widowControl w:val="0"/>
              <w:numPr>
                <w:ilvl w:val="0"/>
                <w:numId w:val="0"/>
              </w:numPr>
              <w:tabs>
                <w:tab w:val="left" w:pos="410"/>
              </w:tabs>
              <w:kinsoku/>
              <w:wordWrap/>
              <w:overflowPunct/>
              <w:topLinePunct w:val="0"/>
              <w:autoSpaceDE w:val="0"/>
              <w:autoSpaceDN w:val="0"/>
              <w:bidi w:val="0"/>
              <w:adjustRightInd/>
              <w:snapToGrid/>
              <w:spacing w:before="172" w:after="0" w:line="360" w:lineRule="auto"/>
              <w:ind w:left="110" w:leftChars="50" w:right="110" w:rightChars="50" w:firstLine="420" w:firstLineChars="200"/>
              <w:jc w:val="both"/>
              <w:textAlignment w:val="auto"/>
              <w:rPr>
                <w:rFonts w:hint="eastAsia" w:eastAsia="宋体"/>
                <w:sz w:val="21"/>
                <w:szCs w:val="21"/>
                <w:lang w:eastAsia="zh-CN"/>
              </w:rPr>
            </w:pPr>
            <w:r>
              <w:rPr>
                <w:rFonts w:hint="eastAsia" w:ascii="宋体" w:hAnsi="宋体"/>
                <w:sz w:val="21"/>
                <w:szCs w:val="21"/>
              </w:rPr>
              <w:t>投标人提供拟为本项目提供基本供货方案得基础分</w:t>
            </w:r>
            <w:r>
              <w:rPr>
                <w:rFonts w:hint="default" w:ascii="Times New Roman" w:hAnsi="Times New Roman" w:cs="Times New Roman"/>
                <w:sz w:val="21"/>
                <w:szCs w:val="21"/>
              </w:rPr>
              <w:t>3</w:t>
            </w:r>
            <w:r>
              <w:rPr>
                <w:rFonts w:hint="eastAsia" w:ascii="宋体" w:hAnsi="宋体"/>
                <w:sz w:val="21"/>
                <w:szCs w:val="21"/>
              </w:rPr>
              <w:t>分；投标人拟为本项目提供的供货方案，方案详细可行（含设备供货、运输、安装、工期进度等）、交货期承诺最大限度有利于招标人且可行（交货期不得超出招标文件要求），充分满足要求</w:t>
            </w:r>
            <w:r>
              <w:rPr>
                <w:rFonts w:hint="eastAsia"/>
                <w:sz w:val="21"/>
                <w:szCs w:val="21"/>
                <w:lang w:eastAsia="zh-CN"/>
              </w:rPr>
              <w:t>、</w:t>
            </w:r>
            <w:r>
              <w:rPr>
                <w:rFonts w:hint="eastAsia" w:ascii="宋体" w:hAnsi="宋体"/>
                <w:sz w:val="21"/>
                <w:szCs w:val="21"/>
              </w:rPr>
              <w:t>方案优秀切实可行且科学合理的加</w:t>
            </w:r>
            <w:r>
              <w:rPr>
                <w:rFonts w:hint="eastAsia"/>
                <w:sz w:val="21"/>
                <w:szCs w:val="21"/>
                <w:lang w:val="en-US" w:eastAsia="zh-CN"/>
              </w:rPr>
              <w:t xml:space="preserve"> </w:t>
            </w:r>
            <w:r>
              <w:rPr>
                <w:rFonts w:hint="default" w:ascii="Times New Roman" w:hAnsi="Times New Roman" w:cs="Times New Roman"/>
                <w:sz w:val="21"/>
                <w:szCs w:val="21"/>
              </w:rPr>
              <w:t>1</w:t>
            </w:r>
            <w:r>
              <w:rPr>
                <w:rFonts w:hint="eastAsia" w:ascii="宋体" w:hAnsi="宋体"/>
                <w:sz w:val="21"/>
                <w:szCs w:val="21"/>
              </w:rPr>
              <w:t>.</w:t>
            </w:r>
            <w:r>
              <w:rPr>
                <w:rFonts w:hint="default" w:ascii="Times New Roman" w:hAnsi="Times New Roman" w:cs="Times New Roman"/>
                <w:sz w:val="21"/>
                <w:szCs w:val="21"/>
              </w:rPr>
              <w:t>4</w:t>
            </w:r>
            <w:r>
              <w:rPr>
                <w:rFonts w:hint="eastAsia" w:ascii="宋体" w:hAnsi="宋体"/>
                <w:sz w:val="21"/>
                <w:szCs w:val="21"/>
              </w:rPr>
              <w:t>-</w:t>
            </w:r>
            <w:r>
              <w:rPr>
                <w:rFonts w:hint="default" w:ascii="Times New Roman" w:hAnsi="Times New Roman" w:cs="Times New Roman"/>
                <w:sz w:val="21"/>
                <w:szCs w:val="21"/>
              </w:rPr>
              <w:t>2</w:t>
            </w:r>
            <w:r>
              <w:rPr>
                <w:rFonts w:hint="eastAsia" w:ascii="宋体" w:hAnsi="宋体"/>
                <w:sz w:val="21"/>
                <w:szCs w:val="21"/>
              </w:rPr>
              <w:t xml:space="preserve"> 分；满足要求方案良好的加</w:t>
            </w:r>
            <w:r>
              <w:rPr>
                <w:rFonts w:hint="eastAsia"/>
                <w:sz w:val="21"/>
                <w:szCs w:val="21"/>
                <w:lang w:val="en-US" w:eastAsia="zh-CN"/>
              </w:rPr>
              <w:t xml:space="preserve"> </w:t>
            </w:r>
            <w:r>
              <w:rPr>
                <w:rFonts w:hint="default" w:ascii="Times New Roman" w:hAnsi="Times New Roman" w:cs="Times New Roman"/>
                <w:sz w:val="21"/>
                <w:szCs w:val="21"/>
              </w:rPr>
              <w:t>0</w:t>
            </w:r>
            <w:r>
              <w:rPr>
                <w:rFonts w:hint="eastAsia" w:ascii="宋体" w:hAnsi="宋体"/>
                <w:sz w:val="21"/>
                <w:szCs w:val="21"/>
              </w:rPr>
              <w:t>.</w:t>
            </w:r>
            <w:r>
              <w:rPr>
                <w:rFonts w:hint="default" w:ascii="Times New Roman" w:hAnsi="Times New Roman" w:cs="Times New Roman"/>
                <w:sz w:val="21"/>
                <w:szCs w:val="21"/>
              </w:rPr>
              <w:t>7</w:t>
            </w:r>
            <w:r>
              <w:rPr>
                <w:rFonts w:hint="eastAsia" w:ascii="宋体" w:hAnsi="宋体"/>
                <w:sz w:val="21"/>
                <w:szCs w:val="21"/>
              </w:rPr>
              <w:t>-</w:t>
            </w:r>
            <w:r>
              <w:rPr>
                <w:rFonts w:hint="default" w:ascii="Times New Roman" w:hAnsi="Times New Roman" w:cs="Times New Roman"/>
                <w:sz w:val="21"/>
                <w:szCs w:val="21"/>
              </w:rPr>
              <w:t>1</w:t>
            </w:r>
            <w:r>
              <w:rPr>
                <w:rFonts w:hint="eastAsia" w:ascii="宋体" w:hAnsi="宋体"/>
                <w:sz w:val="21"/>
                <w:szCs w:val="21"/>
              </w:rPr>
              <w:t>.</w:t>
            </w:r>
            <w:r>
              <w:rPr>
                <w:rFonts w:hint="default" w:ascii="Times New Roman" w:hAnsi="Times New Roman" w:cs="Times New Roman"/>
                <w:sz w:val="21"/>
                <w:szCs w:val="21"/>
              </w:rPr>
              <w:t>4</w:t>
            </w:r>
            <w:r>
              <w:rPr>
                <w:rFonts w:hint="eastAsia" w:ascii="Times New Roman" w:hAnsi="Times New Roman" w:cs="Times New Roman"/>
                <w:sz w:val="21"/>
                <w:szCs w:val="21"/>
                <w:lang w:val="en-US" w:eastAsia="zh-CN"/>
              </w:rPr>
              <w:t xml:space="preserve"> </w:t>
            </w:r>
            <w:r>
              <w:rPr>
                <w:rFonts w:hint="eastAsia" w:ascii="宋体" w:hAnsi="宋体"/>
                <w:sz w:val="21"/>
                <w:szCs w:val="21"/>
              </w:rPr>
              <w:t>分</w:t>
            </w:r>
            <w:r>
              <w:rPr>
                <w:rFonts w:hint="eastAsia"/>
                <w:sz w:val="21"/>
                <w:szCs w:val="21"/>
                <w:lang w:eastAsia="zh-CN"/>
              </w:rPr>
              <w:t>；</w:t>
            </w:r>
            <w:r>
              <w:rPr>
                <w:rFonts w:hint="eastAsia" w:ascii="宋体" w:hAnsi="宋体"/>
                <w:sz w:val="21"/>
                <w:szCs w:val="21"/>
              </w:rPr>
              <w:t>满足基本要求的加</w:t>
            </w:r>
            <w:r>
              <w:rPr>
                <w:rFonts w:hint="eastAsia"/>
                <w:sz w:val="21"/>
                <w:szCs w:val="21"/>
                <w:lang w:val="en-US" w:eastAsia="zh-CN"/>
              </w:rPr>
              <w:t xml:space="preserve"> </w:t>
            </w:r>
            <w:r>
              <w:rPr>
                <w:rFonts w:hint="default" w:ascii="Times New Roman" w:hAnsi="Times New Roman" w:cs="Times New Roman"/>
                <w:sz w:val="21"/>
                <w:szCs w:val="21"/>
              </w:rPr>
              <w:t>0</w:t>
            </w:r>
            <w:r>
              <w:rPr>
                <w:rFonts w:hint="eastAsia" w:ascii="宋体" w:hAnsi="宋体"/>
                <w:sz w:val="21"/>
                <w:szCs w:val="21"/>
              </w:rPr>
              <w:t>-</w:t>
            </w:r>
            <w:r>
              <w:rPr>
                <w:rFonts w:hint="default" w:ascii="Times New Roman" w:hAnsi="Times New Roman" w:cs="Times New Roman"/>
                <w:sz w:val="21"/>
                <w:szCs w:val="21"/>
              </w:rPr>
              <w:t>0</w:t>
            </w:r>
            <w:r>
              <w:rPr>
                <w:rFonts w:hint="eastAsia" w:ascii="宋体" w:hAnsi="宋体"/>
                <w:sz w:val="21"/>
                <w:szCs w:val="21"/>
              </w:rPr>
              <w:t>.</w:t>
            </w:r>
            <w:r>
              <w:rPr>
                <w:rFonts w:hint="default" w:ascii="Times New Roman" w:hAnsi="Times New Roman" w:cs="Times New Roman"/>
                <w:sz w:val="21"/>
                <w:szCs w:val="21"/>
              </w:rPr>
              <w:t>7</w:t>
            </w:r>
            <w:r>
              <w:rPr>
                <w:rFonts w:hint="eastAsia" w:ascii="宋体" w:hAnsi="宋体"/>
                <w:sz w:val="21"/>
                <w:szCs w:val="21"/>
              </w:rPr>
              <w:t xml:space="preserve"> 分</w:t>
            </w:r>
            <w:r>
              <w:rPr>
                <w:rFonts w:hint="eastAsia" w:ascii="Times New Roman" w:hAnsi="Times New Roman"/>
                <w:sz w:val="21"/>
                <w:szCs w:val="21"/>
                <w:lang w:eastAsia="zh-CN"/>
              </w:rPr>
              <w:t>。</w:t>
            </w:r>
          </w:p>
        </w:tc>
      </w:tr>
      <w:tr w14:paraId="13424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7" w:hRule="atLeast"/>
        </w:trPr>
        <w:tc>
          <w:tcPr>
            <w:tcW w:w="635" w:type="pct"/>
            <w:vMerge w:val="continue"/>
            <w:tcBorders>
              <w:top w:val="single" w:color="auto" w:sz="4" w:space="0"/>
              <w:left w:val="single" w:color="auto" w:sz="4" w:space="0"/>
              <w:bottom w:val="single" w:color="auto" w:sz="4" w:space="0"/>
              <w:right w:val="single" w:color="auto" w:sz="4" w:space="0"/>
            </w:tcBorders>
            <w:vAlign w:val="top"/>
          </w:tcPr>
          <w:p w14:paraId="72E2EAC5">
            <w:pPr>
              <w:rPr>
                <w:sz w:val="21"/>
                <w:szCs w:val="21"/>
              </w:rPr>
            </w:pPr>
          </w:p>
        </w:tc>
        <w:tc>
          <w:tcPr>
            <w:tcW w:w="360" w:type="pct"/>
            <w:vMerge w:val="continue"/>
            <w:tcBorders>
              <w:top w:val="single" w:color="auto" w:sz="4" w:space="0"/>
              <w:left w:val="single" w:color="auto" w:sz="4" w:space="0"/>
              <w:bottom w:val="single" w:color="auto" w:sz="4" w:space="0"/>
              <w:right w:val="single" w:color="auto" w:sz="4" w:space="0"/>
            </w:tcBorders>
            <w:vAlign w:val="top"/>
          </w:tcPr>
          <w:p w14:paraId="664EB09A">
            <w:pPr>
              <w:rPr>
                <w:sz w:val="21"/>
                <w:szCs w:val="21"/>
              </w:rPr>
            </w:pPr>
          </w:p>
        </w:tc>
        <w:tc>
          <w:tcPr>
            <w:tcW w:w="879" w:type="pct"/>
            <w:tcBorders>
              <w:top w:val="single" w:color="auto" w:sz="4" w:space="0"/>
              <w:left w:val="single" w:color="auto" w:sz="4" w:space="0"/>
              <w:bottom w:val="single" w:color="auto" w:sz="4" w:space="0"/>
              <w:right w:val="single" w:color="auto" w:sz="4" w:space="0"/>
            </w:tcBorders>
            <w:vAlign w:val="top"/>
          </w:tcPr>
          <w:p w14:paraId="4282C5C7">
            <w:pPr>
              <w:pStyle w:val="13"/>
              <w:spacing w:before="172"/>
              <w:ind w:left="21"/>
              <w:jc w:val="center"/>
              <w:rPr>
                <w:rFonts w:hint="eastAsia" w:ascii="Times New Roman" w:hAnsi="Times New Roman"/>
                <w:sz w:val="21"/>
                <w:szCs w:val="21"/>
              </w:rPr>
            </w:pPr>
          </w:p>
          <w:p w14:paraId="08382661">
            <w:pPr>
              <w:pStyle w:val="13"/>
              <w:spacing w:before="172"/>
              <w:jc w:val="both"/>
              <w:rPr>
                <w:rFonts w:hint="eastAsia" w:ascii="Times New Roman" w:hAnsi="Times New Roman"/>
                <w:sz w:val="21"/>
                <w:szCs w:val="21"/>
              </w:rPr>
            </w:pPr>
          </w:p>
          <w:p w14:paraId="432211C2">
            <w:pPr>
              <w:pStyle w:val="13"/>
              <w:spacing w:before="172" w:line="360" w:lineRule="auto"/>
              <w:ind w:left="21"/>
              <w:jc w:val="center"/>
              <w:rPr>
                <w:sz w:val="21"/>
                <w:szCs w:val="21"/>
              </w:rPr>
            </w:pPr>
            <w:r>
              <w:rPr>
                <w:rFonts w:hint="eastAsia" w:ascii="Times New Roman" w:hAnsi="Times New Roman"/>
                <w:sz w:val="21"/>
                <w:szCs w:val="21"/>
              </w:rPr>
              <w:t>售后服务及培训方案（</w:t>
            </w:r>
            <w:r>
              <w:rPr>
                <w:rFonts w:hint="default" w:ascii="Times New Roman" w:hAnsi="Times New Roman" w:cs="Times New Roman"/>
                <w:sz w:val="21"/>
                <w:szCs w:val="21"/>
              </w:rPr>
              <w:t>5</w:t>
            </w:r>
            <w:r>
              <w:rPr>
                <w:rFonts w:hint="eastAsia" w:ascii="Times New Roman" w:hAnsi="Times New Roman"/>
                <w:sz w:val="21"/>
                <w:szCs w:val="21"/>
              </w:rPr>
              <w:t>分）</w:t>
            </w:r>
          </w:p>
        </w:tc>
        <w:tc>
          <w:tcPr>
            <w:tcW w:w="3124" w:type="pct"/>
            <w:tcBorders>
              <w:top w:val="single" w:color="auto" w:sz="4" w:space="0"/>
              <w:left w:val="single" w:color="auto" w:sz="4" w:space="0"/>
              <w:bottom w:val="single" w:color="auto" w:sz="4" w:space="0"/>
              <w:right w:val="single" w:color="auto" w:sz="4" w:space="0"/>
            </w:tcBorders>
            <w:vAlign w:val="top"/>
          </w:tcPr>
          <w:p w14:paraId="622A1358">
            <w:pPr>
              <w:pStyle w:val="13"/>
              <w:keepNext w:val="0"/>
              <w:keepLines w:val="0"/>
              <w:pageBreakBefore w:val="0"/>
              <w:widowControl w:val="0"/>
              <w:numPr>
                <w:ilvl w:val="0"/>
                <w:numId w:val="0"/>
              </w:numPr>
              <w:tabs>
                <w:tab w:val="left" w:pos="410"/>
              </w:tabs>
              <w:kinsoku/>
              <w:wordWrap/>
              <w:overflowPunct/>
              <w:topLinePunct w:val="0"/>
              <w:autoSpaceDE w:val="0"/>
              <w:autoSpaceDN w:val="0"/>
              <w:bidi w:val="0"/>
              <w:adjustRightInd/>
              <w:snapToGrid/>
              <w:spacing w:before="172" w:after="0" w:line="360" w:lineRule="auto"/>
              <w:ind w:left="110" w:leftChars="50" w:right="110" w:rightChars="50" w:firstLine="420" w:firstLineChars="200"/>
              <w:jc w:val="both"/>
              <w:textAlignment w:val="auto"/>
              <w:rPr>
                <w:spacing w:val="-5"/>
                <w:sz w:val="21"/>
                <w:szCs w:val="21"/>
              </w:rPr>
            </w:pPr>
            <w:r>
              <w:rPr>
                <w:rFonts w:hint="eastAsia" w:ascii="Times New Roman" w:hAnsi="Times New Roman"/>
                <w:sz w:val="21"/>
                <w:szCs w:val="21"/>
              </w:rPr>
              <w:t>投标人提供拟为本项目提供基本售后服务方案得基础分</w:t>
            </w:r>
            <w:r>
              <w:rPr>
                <w:rFonts w:hint="default" w:ascii="Times New Roman" w:hAnsi="Times New Roman" w:cs="Times New Roman"/>
                <w:sz w:val="21"/>
                <w:szCs w:val="21"/>
              </w:rPr>
              <w:t>3</w:t>
            </w:r>
            <w:r>
              <w:rPr>
                <w:rFonts w:hint="eastAsia" w:ascii="Times New Roman" w:hAnsi="Times New Roman"/>
                <w:sz w:val="21"/>
                <w:szCs w:val="21"/>
              </w:rPr>
              <w:t>分；根据投标人提供的售后服务方案（包括售后服务站点设立、安装调试、技术指导服务内容、故障排除响应速度、故障处置方案、人员培训、售后服务保障时限等内容）进行打分，充分满足要求方案优秀切实可行且科学合理的加</w:t>
            </w:r>
            <w:r>
              <w:rPr>
                <w:rFonts w:hint="eastAsia" w:ascii="Times New Roman" w:hAnsi="Times New Roman"/>
                <w:sz w:val="21"/>
                <w:szCs w:val="21"/>
                <w:lang w:val="en-US" w:eastAsia="zh-CN"/>
              </w:rPr>
              <w:t xml:space="preserve"> </w:t>
            </w:r>
            <w:r>
              <w:rPr>
                <w:rFonts w:hint="default" w:ascii="Times New Roman" w:hAnsi="Times New Roman" w:cs="Times New Roman"/>
                <w:sz w:val="21"/>
                <w:szCs w:val="21"/>
              </w:rPr>
              <w:t>1</w:t>
            </w:r>
            <w:r>
              <w:rPr>
                <w:rFonts w:hint="eastAsia" w:ascii="Times New Roman" w:hAnsi="Times New Roman"/>
                <w:sz w:val="21"/>
                <w:szCs w:val="21"/>
              </w:rPr>
              <w:t>.</w:t>
            </w:r>
            <w:r>
              <w:rPr>
                <w:rFonts w:hint="default" w:ascii="Times New Roman" w:hAnsi="Times New Roman" w:cs="Times New Roman"/>
                <w:sz w:val="21"/>
                <w:szCs w:val="21"/>
              </w:rPr>
              <w:t>4</w:t>
            </w:r>
            <w:r>
              <w:rPr>
                <w:rFonts w:hint="eastAsia" w:ascii="Times New Roman" w:hAnsi="Times New Roman"/>
                <w:sz w:val="21"/>
                <w:szCs w:val="21"/>
              </w:rPr>
              <w:t>-</w:t>
            </w:r>
            <w:r>
              <w:rPr>
                <w:rFonts w:hint="default" w:ascii="Times New Roman" w:hAnsi="Times New Roman" w:cs="Times New Roman"/>
                <w:sz w:val="21"/>
                <w:szCs w:val="21"/>
              </w:rPr>
              <w:t>2</w:t>
            </w:r>
            <w:r>
              <w:rPr>
                <w:rFonts w:hint="eastAsia" w:ascii="Times New Roman" w:hAnsi="Times New Roman"/>
                <w:sz w:val="21"/>
                <w:szCs w:val="21"/>
              </w:rPr>
              <w:t xml:space="preserve"> 分；满足要求方案良好的加</w:t>
            </w:r>
            <w:r>
              <w:rPr>
                <w:rFonts w:hint="eastAsia" w:ascii="Times New Roman" w:hAnsi="Times New Roman"/>
                <w:sz w:val="21"/>
                <w:szCs w:val="21"/>
                <w:lang w:val="en-US" w:eastAsia="zh-CN"/>
              </w:rPr>
              <w:t xml:space="preserve"> </w:t>
            </w:r>
            <w:r>
              <w:rPr>
                <w:rFonts w:hint="default" w:ascii="Times New Roman" w:hAnsi="Times New Roman" w:cs="Times New Roman"/>
                <w:sz w:val="21"/>
                <w:szCs w:val="21"/>
              </w:rPr>
              <w:t>0</w:t>
            </w:r>
            <w:r>
              <w:rPr>
                <w:rFonts w:hint="eastAsia" w:ascii="Times New Roman" w:hAnsi="Times New Roman"/>
                <w:sz w:val="21"/>
                <w:szCs w:val="21"/>
              </w:rPr>
              <w:t>.</w:t>
            </w:r>
            <w:r>
              <w:rPr>
                <w:rFonts w:hint="default" w:ascii="Times New Roman" w:hAnsi="Times New Roman" w:cs="Times New Roman"/>
                <w:sz w:val="21"/>
                <w:szCs w:val="21"/>
              </w:rPr>
              <w:t>7</w:t>
            </w:r>
            <w:r>
              <w:rPr>
                <w:rFonts w:hint="eastAsia" w:ascii="Times New Roman" w:hAnsi="Times New Roman"/>
                <w:sz w:val="21"/>
                <w:szCs w:val="21"/>
              </w:rPr>
              <w:t>-</w:t>
            </w:r>
            <w:r>
              <w:rPr>
                <w:rFonts w:hint="default" w:ascii="Times New Roman" w:hAnsi="Times New Roman" w:cs="Times New Roman"/>
                <w:sz w:val="21"/>
                <w:szCs w:val="21"/>
              </w:rPr>
              <w:t>1</w:t>
            </w:r>
            <w:r>
              <w:rPr>
                <w:rFonts w:hint="eastAsia" w:ascii="Times New Roman" w:hAnsi="Times New Roman"/>
                <w:sz w:val="21"/>
                <w:szCs w:val="21"/>
              </w:rPr>
              <w:t>.</w:t>
            </w:r>
            <w:r>
              <w:rPr>
                <w:rFonts w:hint="default" w:ascii="Times New Roman" w:hAnsi="Times New Roman" w:cs="Times New Roman"/>
                <w:sz w:val="21"/>
                <w:szCs w:val="21"/>
              </w:rPr>
              <w:t>4</w:t>
            </w:r>
            <w:r>
              <w:rPr>
                <w:rFonts w:hint="eastAsia" w:ascii="Times New Roman" w:hAnsi="Times New Roman" w:cs="Times New Roman"/>
                <w:sz w:val="21"/>
                <w:szCs w:val="21"/>
                <w:lang w:val="en-US" w:eastAsia="zh-CN"/>
              </w:rPr>
              <w:t xml:space="preserve"> </w:t>
            </w:r>
            <w:r>
              <w:rPr>
                <w:rFonts w:hint="eastAsia" w:ascii="Times New Roman" w:hAnsi="Times New Roman"/>
                <w:sz w:val="21"/>
                <w:szCs w:val="21"/>
              </w:rPr>
              <w:t>分；合理可行加</w:t>
            </w:r>
            <w:r>
              <w:rPr>
                <w:rFonts w:hint="eastAsia" w:ascii="Times New Roman" w:hAnsi="Times New Roman"/>
                <w:sz w:val="21"/>
                <w:szCs w:val="21"/>
                <w:lang w:val="en-US" w:eastAsia="zh-CN"/>
              </w:rPr>
              <w:t xml:space="preserve"> </w:t>
            </w:r>
            <w:r>
              <w:rPr>
                <w:rFonts w:hint="default" w:ascii="Times New Roman" w:hAnsi="Times New Roman" w:cs="Times New Roman"/>
                <w:sz w:val="21"/>
                <w:szCs w:val="21"/>
              </w:rPr>
              <w:t>0</w:t>
            </w:r>
            <w:r>
              <w:rPr>
                <w:rFonts w:hint="eastAsia" w:ascii="Times New Roman" w:hAnsi="Times New Roman"/>
                <w:sz w:val="21"/>
                <w:szCs w:val="21"/>
              </w:rPr>
              <w:t>-</w:t>
            </w:r>
            <w:r>
              <w:rPr>
                <w:rFonts w:hint="default" w:ascii="Times New Roman" w:hAnsi="Times New Roman" w:cs="Times New Roman"/>
                <w:sz w:val="21"/>
                <w:szCs w:val="21"/>
              </w:rPr>
              <w:t>0</w:t>
            </w:r>
            <w:r>
              <w:rPr>
                <w:rFonts w:hint="eastAsia" w:ascii="Times New Roman" w:hAnsi="Times New Roman"/>
                <w:sz w:val="21"/>
                <w:szCs w:val="21"/>
              </w:rPr>
              <w:t>.</w:t>
            </w:r>
            <w:r>
              <w:rPr>
                <w:rFonts w:hint="default" w:ascii="Times New Roman" w:hAnsi="Times New Roman" w:cs="Times New Roman"/>
                <w:sz w:val="21"/>
                <w:szCs w:val="21"/>
              </w:rPr>
              <w:t>7</w:t>
            </w:r>
            <w:r>
              <w:rPr>
                <w:rFonts w:hint="eastAsia" w:ascii="Times New Roman" w:hAnsi="Times New Roman"/>
                <w:sz w:val="21"/>
                <w:szCs w:val="21"/>
              </w:rPr>
              <w:t xml:space="preserve"> 分。</w:t>
            </w:r>
          </w:p>
        </w:tc>
      </w:tr>
      <w:tr w14:paraId="7D19E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2" w:hRule="atLeast"/>
        </w:trPr>
        <w:tc>
          <w:tcPr>
            <w:tcW w:w="635" w:type="pct"/>
            <w:vMerge w:val="continue"/>
            <w:tcBorders>
              <w:top w:val="single" w:color="auto" w:sz="4" w:space="0"/>
              <w:left w:val="single" w:color="auto" w:sz="4" w:space="0"/>
              <w:bottom w:val="single" w:color="auto" w:sz="4" w:space="0"/>
              <w:right w:val="single" w:color="auto" w:sz="4" w:space="0"/>
            </w:tcBorders>
            <w:vAlign w:val="top"/>
          </w:tcPr>
          <w:p w14:paraId="19750DD7">
            <w:pPr>
              <w:rPr>
                <w:sz w:val="21"/>
                <w:szCs w:val="21"/>
              </w:rPr>
            </w:pPr>
          </w:p>
        </w:tc>
        <w:tc>
          <w:tcPr>
            <w:tcW w:w="360" w:type="pct"/>
            <w:vMerge w:val="continue"/>
            <w:tcBorders>
              <w:top w:val="single" w:color="auto" w:sz="4" w:space="0"/>
              <w:left w:val="single" w:color="auto" w:sz="4" w:space="0"/>
              <w:bottom w:val="single" w:color="auto" w:sz="4" w:space="0"/>
              <w:right w:val="single" w:color="auto" w:sz="4" w:space="0"/>
            </w:tcBorders>
            <w:vAlign w:val="top"/>
          </w:tcPr>
          <w:p w14:paraId="27AB8EAF">
            <w:pPr>
              <w:rPr>
                <w:sz w:val="21"/>
                <w:szCs w:val="21"/>
              </w:rPr>
            </w:pPr>
          </w:p>
        </w:tc>
        <w:tc>
          <w:tcPr>
            <w:tcW w:w="879" w:type="pct"/>
            <w:tcBorders>
              <w:top w:val="single" w:color="auto" w:sz="4" w:space="0"/>
              <w:left w:val="single" w:color="auto" w:sz="4" w:space="0"/>
              <w:bottom w:val="single" w:color="auto" w:sz="4" w:space="0"/>
              <w:right w:val="single" w:color="auto" w:sz="4" w:space="0"/>
            </w:tcBorders>
            <w:vAlign w:val="top"/>
          </w:tcPr>
          <w:p w14:paraId="62572934">
            <w:pPr>
              <w:pStyle w:val="13"/>
              <w:spacing w:before="172"/>
              <w:ind w:left="21"/>
              <w:jc w:val="center"/>
              <w:rPr>
                <w:rFonts w:hint="eastAsia"/>
                <w:sz w:val="21"/>
                <w:szCs w:val="21"/>
              </w:rPr>
            </w:pPr>
          </w:p>
          <w:p w14:paraId="5265E4BC">
            <w:pPr>
              <w:pStyle w:val="13"/>
              <w:spacing w:before="172"/>
              <w:ind w:left="21"/>
              <w:jc w:val="center"/>
              <w:rPr>
                <w:rFonts w:hint="eastAsia"/>
                <w:sz w:val="21"/>
                <w:szCs w:val="21"/>
              </w:rPr>
            </w:pPr>
            <w:r>
              <w:rPr>
                <w:rFonts w:hint="eastAsia"/>
                <w:sz w:val="21"/>
                <w:szCs w:val="21"/>
              </w:rPr>
              <w:t>质量保证措施</w:t>
            </w:r>
          </w:p>
          <w:p w14:paraId="0D9773EA">
            <w:pPr>
              <w:pStyle w:val="13"/>
              <w:spacing w:before="172"/>
              <w:ind w:left="21"/>
              <w:jc w:val="center"/>
              <w:rPr>
                <w:sz w:val="21"/>
                <w:szCs w:val="21"/>
              </w:rPr>
            </w:pPr>
            <w:r>
              <w:rPr>
                <w:rFonts w:hint="eastAsia"/>
                <w:sz w:val="21"/>
                <w:szCs w:val="21"/>
              </w:rPr>
              <w:t>（</w:t>
            </w:r>
            <w:r>
              <w:rPr>
                <w:rFonts w:hint="default" w:ascii="Times New Roman" w:hAnsi="Times New Roman" w:cs="Times New Roman"/>
                <w:sz w:val="21"/>
                <w:szCs w:val="21"/>
              </w:rPr>
              <w:t>5</w:t>
            </w:r>
            <w:r>
              <w:rPr>
                <w:rFonts w:hint="eastAsia"/>
                <w:sz w:val="21"/>
                <w:szCs w:val="21"/>
              </w:rPr>
              <w:t xml:space="preserve"> 分）</w:t>
            </w:r>
          </w:p>
        </w:tc>
        <w:tc>
          <w:tcPr>
            <w:tcW w:w="3124" w:type="pct"/>
            <w:tcBorders>
              <w:top w:val="single" w:color="auto" w:sz="4" w:space="0"/>
              <w:left w:val="single" w:color="auto" w:sz="4" w:space="0"/>
              <w:bottom w:val="single" w:color="auto" w:sz="4" w:space="0"/>
              <w:right w:val="single" w:color="auto" w:sz="4" w:space="0"/>
            </w:tcBorders>
            <w:vAlign w:val="top"/>
          </w:tcPr>
          <w:p w14:paraId="0F058650">
            <w:pPr>
              <w:pStyle w:val="13"/>
              <w:keepNext w:val="0"/>
              <w:keepLines w:val="0"/>
              <w:pageBreakBefore w:val="0"/>
              <w:widowControl w:val="0"/>
              <w:numPr>
                <w:ilvl w:val="0"/>
                <w:numId w:val="0"/>
              </w:numPr>
              <w:tabs>
                <w:tab w:val="left" w:pos="410"/>
              </w:tabs>
              <w:kinsoku/>
              <w:wordWrap/>
              <w:overflowPunct/>
              <w:topLinePunct w:val="0"/>
              <w:autoSpaceDE w:val="0"/>
              <w:autoSpaceDN w:val="0"/>
              <w:bidi w:val="0"/>
              <w:adjustRightInd/>
              <w:snapToGrid/>
              <w:spacing w:before="172" w:after="0" w:line="360" w:lineRule="auto"/>
              <w:ind w:left="110" w:leftChars="50" w:right="110" w:rightChars="50" w:firstLine="420" w:firstLineChars="200"/>
              <w:jc w:val="both"/>
              <w:textAlignment w:val="auto"/>
              <w:rPr>
                <w:spacing w:val="-5"/>
                <w:sz w:val="21"/>
                <w:szCs w:val="21"/>
              </w:rPr>
            </w:pPr>
            <w:r>
              <w:rPr>
                <w:rFonts w:hint="eastAsia" w:ascii="Times New Roman" w:hAnsi="Times New Roman"/>
                <w:sz w:val="21"/>
                <w:szCs w:val="21"/>
              </w:rPr>
              <w:t>投标人提供拟为本项目提供基本的质量保证措施方案得基础分</w:t>
            </w:r>
            <w:r>
              <w:rPr>
                <w:rFonts w:hint="default" w:ascii="Times New Roman" w:hAnsi="Times New Roman" w:cs="Times New Roman"/>
                <w:sz w:val="21"/>
                <w:szCs w:val="21"/>
              </w:rPr>
              <w:t>3</w:t>
            </w:r>
            <w:r>
              <w:rPr>
                <w:rFonts w:hint="eastAsia" w:ascii="Times New Roman" w:hAnsi="Times New Roman"/>
                <w:sz w:val="21"/>
                <w:szCs w:val="21"/>
              </w:rPr>
              <w:t>分；投标人对项目实际提出具体的质量保证措施，因设计、原材料、制造工艺、核心关键部件等本身质量问题引起的故障（如底盘、发动机、上装关键部件等），造成损失的，应提出具体的质量违约责任和经济赔偿；方案提供充分满足要求方案优秀切实可行且科学合理的加</w:t>
            </w:r>
            <w:r>
              <w:rPr>
                <w:rFonts w:hint="eastAsia" w:ascii="Times New Roman" w:hAnsi="Times New Roman"/>
                <w:sz w:val="21"/>
                <w:szCs w:val="21"/>
                <w:lang w:val="en-US" w:eastAsia="zh-CN"/>
              </w:rPr>
              <w:t xml:space="preserve"> </w:t>
            </w:r>
            <w:r>
              <w:rPr>
                <w:rFonts w:hint="default" w:ascii="Times New Roman" w:hAnsi="Times New Roman" w:cs="Times New Roman"/>
                <w:sz w:val="21"/>
                <w:szCs w:val="21"/>
              </w:rPr>
              <w:t>1</w:t>
            </w:r>
            <w:r>
              <w:rPr>
                <w:rFonts w:hint="eastAsia" w:ascii="Times New Roman" w:hAnsi="Times New Roman"/>
                <w:sz w:val="21"/>
                <w:szCs w:val="21"/>
              </w:rPr>
              <w:t>.</w:t>
            </w:r>
            <w:r>
              <w:rPr>
                <w:rFonts w:hint="default" w:ascii="Times New Roman" w:hAnsi="Times New Roman" w:cs="Times New Roman"/>
                <w:sz w:val="21"/>
                <w:szCs w:val="21"/>
              </w:rPr>
              <w:t>4</w:t>
            </w:r>
            <w:r>
              <w:rPr>
                <w:rFonts w:hint="eastAsia" w:ascii="Times New Roman" w:hAnsi="Times New Roman"/>
                <w:sz w:val="21"/>
                <w:szCs w:val="21"/>
              </w:rPr>
              <w:t>-</w:t>
            </w:r>
            <w:r>
              <w:rPr>
                <w:rFonts w:hint="default" w:ascii="Times New Roman" w:hAnsi="Times New Roman" w:cs="Times New Roman"/>
                <w:sz w:val="21"/>
                <w:szCs w:val="21"/>
              </w:rPr>
              <w:t>2</w:t>
            </w:r>
            <w:r>
              <w:rPr>
                <w:rFonts w:hint="eastAsia" w:ascii="Times New Roman" w:hAnsi="Times New Roman"/>
                <w:sz w:val="21"/>
                <w:szCs w:val="21"/>
              </w:rPr>
              <w:t xml:space="preserve"> 分；满足要求方案良好的加</w:t>
            </w:r>
            <w:r>
              <w:rPr>
                <w:rFonts w:hint="eastAsia" w:ascii="Times New Roman" w:hAnsi="Times New Roman"/>
                <w:sz w:val="21"/>
                <w:szCs w:val="21"/>
                <w:lang w:val="en-US" w:eastAsia="zh-CN"/>
              </w:rPr>
              <w:t xml:space="preserve"> </w:t>
            </w:r>
            <w:r>
              <w:rPr>
                <w:rFonts w:hint="default" w:ascii="Times New Roman" w:hAnsi="Times New Roman" w:cs="Times New Roman"/>
                <w:sz w:val="21"/>
                <w:szCs w:val="21"/>
              </w:rPr>
              <w:t>0</w:t>
            </w:r>
            <w:r>
              <w:rPr>
                <w:rFonts w:hint="eastAsia" w:ascii="Times New Roman" w:hAnsi="Times New Roman"/>
                <w:sz w:val="21"/>
                <w:szCs w:val="21"/>
              </w:rPr>
              <w:t>.</w:t>
            </w:r>
            <w:r>
              <w:rPr>
                <w:rFonts w:hint="default" w:ascii="Times New Roman" w:hAnsi="Times New Roman" w:cs="Times New Roman"/>
                <w:sz w:val="21"/>
                <w:szCs w:val="21"/>
              </w:rPr>
              <w:t>7</w:t>
            </w:r>
            <w:r>
              <w:rPr>
                <w:rFonts w:hint="eastAsia" w:ascii="Times New Roman" w:hAnsi="Times New Roman"/>
                <w:sz w:val="21"/>
                <w:szCs w:val="21"/>
              </w:rPr>
              <w:t>-</w:t>
            </w:r>
            <w:r>
              <w:rPr>
                <w:rFonts w:hint="default" w:ascii="Times New Roman" w:hAnsi="Times New Roman" w:cs="Times New Roman"/>
                <w:sz w:val="21"/>
                <w:szCs w:val="21"/>
              </w:rPr>
              <w:t>1</w:t>
            </w:r>
            <w:r>
              <w:rPr>
                <w:rFonts w:hint="eastAsia" w:ascii="Times New Roman" w:hAnsi="Times New Roman"/>
                <w:sz w:val="21"/>
                <w:szCs w:val="21"/>
              </w:rPr>
              <w:t>.</w:t>
            </w:r>
            <w:r>
              <w:rPr>
                <w:rFonts w:hint="default" w:ascii="Times New Roman" w:hAnsi="Times New Roman" w:cs="Times New Roman"/>
                <w:sz w:val="21"/>
                <w:szCs w:val="21"/>
              </w:rPr>
              <w:t>4</w:t>
            </w:r>
            <w:r>
              <w:rPr>
                <w:rFonts w:hint="eastAsia" w:ascii="Times New Roman" w:hAnsi="Times New Roman" w:cs="Times New Roman"/>
                <w:sz w:val="21"/>
                <w:szCs w:val="21"/>
                <w:lang w:val="en-US" w:eastAsia="zh-CN"/>
              </w:rPr>
              <w:t xml:space="preserve"> </w:t>
            </w:r>
            <w:r>
              <w:rPr>
                <w:rFonts w:hint="eastAsia" w:ascii="Times New Roman" w:hAnsi="Times New Roman"/>
                <w:sz w:val="21"/>
                <w:szCs w:val="21"/>
              </w:rPr>
              <w:t>分</w:t>
            </w:r>
            <w:r>
              <w:rPr>
                <w:rFonts w:hint="eastAsia" w:ascii="Times New Roman" w:hAnsi="Times New Roman"/>
                <w:sz w:val="21"/>
                <w:szCs w:val="21"/>
                <w:lang w:eastAsia="zh-CN"/>
              </w:rPr>
              <w:t>；</w:t>
            </w:r>
            <w:r>
              <w:rPr>
                <w:rFonts w:hint="eastAsia" w:ascii="Times New Roman" w:hAnsi="Times New Roman"/>
                <w:sz w:val="21"/>
                <w:szCs w:val="21"/>
              </w:rPr>
              <w:t>满足基本要求的加</w:t>
            </w:r>
            <w:r>
              <w:rPr>
                <w:rFonts w:hint="eastAsia" w:ascii="Times New Roman" w:hAnsi="Times New Roman"/>
                <w:sz w:val="21"/>
                <w:szCs w:val="21"/>
                <w:lang w:val="en-US" w:eastAsia="zh-CN"/>
              </w:rPr>
              <w:t xml:space="preserve"> </w:t>
            </w:r>
            <w:r>
              <w:rPr>
                <w:rFonts w:hint="default" w:ascii="Times New Roman" w:hAnsi="Times New Roman" w:cs="Times New Roman"/>
                <w:sz w:val="21"/>
                <w:szCs w:val="21"/>
              </w:rPr>
              <w:t>0</w:t>
            </w:r>
            <w:r>
              <w:rPr>
                <w:rFonts w:hint="eastAsia" w:ascii="Times New Roman" w:hAnsi="Times New Roman"/>
                <w:sz w:val="21"/>
                <w:szCs w:val="21"/>
              </w:rPr>
              <w:t>-</w:t>
            </w:r>
            <w:r>
              <w:rPr>
                <w:rFonts w:hint="default" w:ascii="Times New Roman" w:hAnsi="Times New Roman" w:cs="Times New Roman"/>
                <w:sz w:val="21"/>
                <w:szCs w:val="21"/>
              </w:rPr>
              <w:t>0</w:t>
            </w:r>
            <w:r>
              <w:rPr>
                <w:rFonts w:hint="eastAsia" w:ascii="Times New Roman" w:hAnsi="Times New Roman"/>
                <w:sz w:val="21"/>
                <w:szCs w:val="21"/>
              </w:rPr>
              <w:t>.</w:t>
            </w:r>
            <w:r>
              <w:rPr>
                <w:rFonts w:hint="default" w:ascii="Times New Roman" w:hAnsi="Times New Roman" w:cs="Times New Roman"/>
                <w:sz w:val="21"/>
                <w:szCs w:val="21"/>
              </w:rPr>
              <w:t>7</w:t>
            </w:r>
            <w:r>
              <w:rPr>
                <w:rFonts w:hint="eastAsia" w:ascii="Times New Roman" w:hAnsi="Times New Roman"/>
                <w:sz w:val="21"/>
                <w:szCs w:val="21"/>
              </w:rPr>
              <w:t xml:space="preserve"> </w:t>
            </w:r>
            <w:r>
              <w:rPr>
                <w:rFonts w:hint="eastAsia" w:ascii="Times New Roman" w:hAnsi="Times New Roman"/>
                <w:sz w:val="21"/>
                <w:szCs w:val="21"/>
                <w:lang w:val="en-US" w:eastAsia="zh-CN"/>
              </w:rPr>
              <w:t xml:space="preserve"> </w:t>
            </w:r>
            <w:r>
              <w:rPr>
                <w:rFonts w:hint="eastAsia" w:ascii="Times New Roman" w:hAnsi="Times New Roman"/>
                <w:sz w:val="21"/>
                <w:szCs w:val="21"/>
              </w:rPr>
              <w:t>分。</w:t>
            </w:r>
          </w:p>
        </w:tc>
      </w:tr>
      <w:tr w14:paraId="2FA75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8" w:hRule="atLeast"/>
        </w:trPr>
        <w:tc>
          <w:tcPr>
            <w:tcW w:w="635" w:type="pct"/>
            <w:tcBorders>
              <w:top w:val="single" w:color="auto" w:sz="4" w:space="0"/>
              <w:bottom w:val="single" w:color="000000" w:sz="2" w:space="0"/>
              <w:right w:val="single" w:color="000000" w:sz="2" w:space="0"/>
            </w:tcBorders>
            <w:vAlign w:val="top"/>
          </w:tcPr>
          <w:p w14:paraId="62E64CB4">
            <w:pPr>
              <w:pStyle w:val="13"/>
              <w:rPr>
                <w:rFonts w:ascii="Times New Roman"/>
                <w:sz w:val="21"/>
                <w:szCs w:val="21"/>
              </w:rPr>
            </w:pPr>
          </w:p>
        </w:tc>
        <w:tc>
          <w:tcPr>
            <w:tcW w:w="360" w:type="pct"/>
            <w:tcBorders>
              <w:top w:val="single" w:color="auto" w:sz="4" w:space="0"/>
              <w:left w:val="single" w:color="000000" w:sz="2" w:space="0"/>
              <w:bottom w:val="single" w:color="000000" w:sz="2" w:space="0"/>
              <w:right w:val="single" w:color="000000" w:sz="2" w:space="0"/>
            </w:tcBorders>
            <w:vAlign w:val="top"/>
          </w:tcPr>
          <w:p w14:paraId="1505EE21">
            <w:pPr>
              <w:pStyle w:val="13"/>
              <w:rPr>
                <w:rFonts w:ascii="Times New Roman"/>
                <w:sz w:val="21"/>
                <w:szCs w:val="21"/>
              </w:rPr>
            </w:pPr>
          </w:p>
        </w:tc>
        <w:tc>
          <w:tcPr>
            <w:tcW w:w="879" w:type="pct"/>
            <w:tcBorders>
              <w:top w:val="single" w:color="auto" w:sz="4" w:space="0"/>
              <w:left w:val="single" w:color="000000" w:sz="2" w:space="0"/>
              <w:right w:val="single" w:color="000000" w:sz="2" w:space="0"/>
            </w:tcBorders>
            <w:vAlign w:val="top"/>
          </w:tcPr>
          <w:p w14:paraId="4BE1E2D0">
            <w:pPr>
              <w:pStyle w:val="13"/>
              <w:rPr>
                <w:rFonts w:ascii="Microsoft JhengHei"/>
                <w:b/>
                <w:sz w:val="21"/>
                <w:szCs w:val="21"/>
              </w:rPr>
            </w:pPr>
          </w:p>
          <w:p w14:paraId="3D8A150E">
            <w:pPr>
              <w:pStyle w:val="13"/>
              <w:spacing w:before="30"/>
              <w:rPr>
                <w:rFonts w:ascii="Microsoft JhengHei"/>
                <w:b/>
                <w:sz w:val="21"/>
                <w:szCs w:val="21"/>
              </w:rPr>
            </w:pPr>
          </w:p>
          <w:p w14:paraId="7E282EAA">
            <w:pPr>
              <w:pStyle w:val="13"/>
              <w:spacing w:line="360" w:lineRule="auto"/>
              <w:ind w:left="21"/>
              <w:jc w:val="center"/>
              <w:rPr>
                <w:rFonts w:hint="eastAsia"/>
                <w:spacing w:val="-2"/>
                <w:sz w:val="21"/>
                <w:szCs w:val="21"/>
              </w:rPr>
            </w:pPr>
            <w:r>
              <w:rPr>
                <w:rFonts w:hint="eastAsia"/>
                <w:spacing w:val="-2"/>
                <w:sz w:val="21"/>
                <w:szCs w:val="21"/>
              </w:rPr>
              <w:t>重大应急救援抢险保障服务方案</w:t>
            </w:r>
          </w:p>
          <w:p w14:paraId="5F552AEE">
            <w:pPr>
              <w:pStyle w:val="13"/>
              <w:spacing w:line="360" w:lineRule="auto"/>
              <w:ind w:left="21"/>
              <w:jc w:val="center"/>
              <w:rPr>
                <w:sz w:val="21"/>
                <w:szCs w:val="21"/>
              </w:rPr>
            </w:pPr>
            <w:r>
              <w:rPr>
                <w:sz w:val="21"/>
                <w:szCs w:val="21"/>
              </w:rPr>
              <w:t>（</w:t>
            </w:r>
            <w:r>
              <w:rPr>
                <w:rFonts w:hint="default" w:ascii="Times New Roman" w:hAnsi="Times New Roman" w:eastAsia="Calibri" w:cs="Times New Roman"/>
                <w:sz w:val="21"/>
                <w:szCs w:val="21"/>
              </w:rPr>
              <w:t>5</w:t>
            </w:r>
            <w:r>
              <w:rPr>
                <w:rFonts w:ascii="Calibri" w:eastAsia="Calibri"/>
                <w:spacing w:val="56"/>
                <w:sz w:val="21"/>
                <w:szCs w:val="21"/>
              </w:rPr>
              <w:t xml:space="preserve"> </w:t>
            </w:r>
            <w:r>
              <w:rPr>
                <w:sz w:val="21"/>
                <w:szCs w:val="21"/>
              </w:rPr>
              <w:t>分</w:t>
            </w:r>
            <w:r>
              <w:rPr>
                <w:spacing w:val="-10"/>
                <w:sz w:val="21"/>
                <w:szCs w:val="21"/>
              </w:rPr>
              <w:t>）</w:t>
            </w:r>
          </w:p>
        </w:tc>
        <w:tc>
          <w:tcPr>
            <w:tcW w:w="3124" w:type="pct"/>
            <w:tcBorders>
              <w:top w:val="single" w:color="auto" w:sz="4" w:space="0"/>
              <w:left w:val="single" w:color="000000" w:sz="2" w:space="0"/>
              <w:bottom w:val="single" w:color="000000" w:sz="2" w:space="0"/>
            </w:tcBorders>
            <w:vAlign w:val="top"/>
          </w:tcPr>
          <w:p w14:paraId="06D2366A">
            <w:pPr>
              <w:pStyle w:val="13"/>
              <w:keepNext w:val="0"/>
              <w:keepLines w:val="0"/>
              <w:pageBreakBefore w:val="0"/>
              <w:widowControl w:val="0"/>
              <w:kinsoku/>
              <w:wordWrap/>
              <w:overflowPunct/>
              <w:topLinePunct w:val="0"/>
              <w:autoSpaceDE w:val="0"/>
              <w:autoSpaceDN w:val="0"/>
              <w:bidi w:val="0"/>
              <w:adjustRightInd/>
              <w:snapToGrid/>
              <w:spacing w:before="100" w:line="360" w:lineRule="auto"/>
              <w:ind w:left="110" w:leftChars="50" w:right="110" w:rightChars="50" w:firstLine="400" w:firstLineChars="200"/>
              <w:jc w:val="both"/>
              <w:textAlignment w:val="auto"/>
              <w:rPr>
                <w:sz w:val="21"/>
                <w:szCs w:val="21"/>
              </w:rPr>
            </w:pPr>
            <w:r>
              <w:rPr>
                <w:rFonts w:hint="eastAsia"/>
                <w:spacing w:val="-5"/>
                <w:sz w:val="21"/>
                <w:szCs w:val="21"/>
              </w:rPr>
              <w:t>投标人提供重大应急救援抢险保障服务方案得基础分</w:t>
            </w:r>
            <w:r>
              <w:rPr>
                <w:rFonts w:hint="default" w:ascii="Times New Roman" w:hAnsi="Times New Roman" w:cs="Times New Roman"/>
                <w:spacing w:val="-5"/>
                <w:sz w:val="21"/>
                <w:szCs w:val="21"/>
              </w:rPr>
              <w:t>3</w:t>
            </w:r>
            <w:r>
              <w:rPr>
                <w:rFonts w:hint="eastAsia"/>
                <w:spacing w:val="-5"/>
                <w:sz w:val="21"/>
                <w:szCs w:val="21"/>
              </w:rPr>
              <w:t>分；投标人针对应急需求提供应急预案，做好国家重大抗洪抢险及应急安保训演备勤现场保障，确保重大应急救援抢险及应急安保训演备勤工作顺利实施，提供实际救援案例。方案完整、合理、可行、描述优秀科学且有救援案例的加</w:t>
            </w:r>
            <w:r>
              <w:rPr>
                <w:rFonts w:hint="eastAsia"/>
                <w:spacing w:val="-5"/>
                <w:sz w:val="21"/>
                <w:szCs w:val="21"/>
                <w:lang w:val="en-US" w:eastAsia="zh-CN"/>
              </w:rPr>
              <w:t xml:space="preserve"> </w:t>
            </w:r>
            <w:r>
              <w:rPr>
                <w:rFonts w:hint="default" w:ascii="Times New Roman" w:hAnsi="Times New Roman" w:cs="Times New Roman"/>
                <w:spacing w:val="-5"/>
                <w:sz w:val="21"/>
                <w:szCs w:val="21"/>
              </w:rPr>
              <w:t>1</w:t>
            </w:r>
            <w:r>
              <w:rPr>
                <w:rFonts w:hint="eastAsia"/>
                <w:spacing w:val="-5"/>
                <w:sz w:val="21"/>
                <w:szCs w:val="21"/>
              </w:rPr>
              <w:t>.</w:t>
            </w:r>
            <w:r>
              <w:rPr>
                <w:rFonts w:hint="default" w:ascii="Times New Roman" w:hAnsi="Times New Roman" w:cs="Times New Roman"/>
                <w:spacing w:val="-5"/>
                <w:sz w:val="21"/>
                <w:szCs w:val="21"/>
              </w:rPr>
              <w:t>4</w:t>
            </w:r>
            <w:r>
              <w:rPr>
                <w:rFonts w:hint="eastAsia"/>
                <w:spacing w:val="-5"/>
                <w:sz w:val="21"/>
                <w:szCs w:val="21"/>
              </w:rPr>
              <w:t>-</w:t>
            </w:r>
            <w:r>
              <w:rPr>
                <w:rFonts w:hint="default" w:ascii="Times New Roman" w:hAnsi="Times New Roman" w:cs="Times New Roman"/>
                <w:spacing w:val="-5"/>
                <w:sz w:val="21"/>
                <w:szCs w:val="21"/>
              </w:rPr>
              <w:t>2</w:t>
            </w:r>
            <w:r>
              <w:rPr>
                <w:rFonts w:hint="eastAsia"/>
                <w:spacing w:val="-5"/>
                <w:sz w:val="21"/>
                <w:szCs w:val="21"/>
              </w:rPr>
              <w:t xml:space="preserve"> 分</w:t>
            </w:r>
            <w:r>
              <w:rPr>
                <w:rFonts w:hint="eastAsia"/>
                <w:spacing w:val="-5"/>
                <w:sz w:val="21"/>
                <w:szCs w:val="21"/>
                <w:lang w:eastAsia="zh-CN"/>
              </w:rPr>
              <w:t>；</w:t>
            </w:r>
            <w:r>
              <w:rPr>
                <w:rFonts w:hint="eastAsia"/>
                <w:spacing w:val="-5"/>
                <w:sz w:val="21"/>
                <w:szCs w:val="21"/>
              </w:rPr>
              <w:t>方案合理可行描述清晰且有救援案例的加</w:t>
            </w:r>
            <w:r>
              <w:rPr>
                <w:rFonts w:hint="eastAsia"/>
                <w:spacing w:val="-5"/>
                <w:sz w:val="21"/>
                <w:szCs w:val="21"/>
                <w:lang w:val="en-US" w:eastAsia="zh-CN"/>
              </w:rPr>
              <w:t xml:space="preserve"> </w:t>
            </w:r>
            <w:r>
              <w:rPr>
                <w:rFonts w:hint="default" w:ascii="Times New Roman" w:hAnsi="Times New Roman" w:cs="Times New Roman"/>
                <w:spacing w:val="-5"/>
                <w:sz w:val="21"/>
                <w:szCs w:val="21"/>
              </w:rPr>
              <w:t>0</w:t>
            </w:r>
            <w:r>
              <w:rPr>
                <w:rFonts w:hint="eastAsia"/>
                <w:spacing w:val="-5"/>
                <w:sz w:val="21"/>
                <w:szCs w:val="21"/>
              </w:rPr>
              <w:t>.</w:t>
            </w:r>
            <w:r>
              <w:rPr>
                <w:rFonts w:hint="default" w:ascii="Times New Roman" w:hAnsi="Times New Roman" w:cs="Times New Roman"/>
                <w:spacing w:val="-5"/>
                <w:sz w:val="21"/>
                <w:szCs w:val="21"/>
              </w:rPr>
              <w:t>7</w:t>
            </w:r>
            <w:r>
              <w:rPr>
                <w:rFonts w:hint="eastAsia"/>
                <w:spacing w:val="-5"/>
                <w:sz w:val="21"/>
                <w:szCs w:val="21"/>
              </w:rPr>
              <w:t>-</w:t>
            </w:r>
            <w:r>
              <w:rPr>
                <w:rFonts w:hint="default" w:ascii="Times New Roman" w:hAnsi="Times New Roman" w:cs="Times New Roman"/>
                <w:spacing w:val="-5"/>
                <w:sz w:val="21"/>
                <w:szCs w:val="21"/>
              </w:rPr>
              <w:t>1</w:t>
            </w:r>
            <w:r>
              <w:rPr>
                <w:rFonts w:hint="eastAsia"/>
                <w:spacing w:val="-5"/>
                <w:sz w:val="21"/>
                <w:szCs w:val="21"/>
              </w:rPr>
              <w:t>.</w:t>
            </w:r>
            <w:r>
              <w:rPr>
                <w:rFonts w:hint="default" w:ascii="Times New Roman" w:hAnsi="Times New Roman" w:cs="Times New Roman"/>
                <w:spacing w:val="-5"/>
                <w:sz w:val="21"/>
                <w:szCs w:val="21"/>
              </w:rPr>
              <w:t>4</w:t>
            </w:r>
            <w:r>
              <w:rPr>
                <w:rFonts w:hint="eastAsia" w:ascii="Times New Roman" w:hAnsi="Times New Roman" w:cs="Times New Roman"/>
                <w:spacing w:val="-5"/>
                <w:sz w:val="21"/>
                <w:szCs w:val="21"/>
                <w:lang w:val="en-US" w:eastAsia="zh-CN"/>
              </w:rPr>
              <w:t xml:space="preserve"> </w:t>
            </w:r>
            <w:r>
              <w:rPr>
                <w:rFonts w:hint="eastAsia"/>
                <w:spacing w:val="-5"/>
                <w:sz w:val="21"/>
                <w:szCs w:val="21"/>
              </w:rPr>
              <w:t>分</w:t>
            </w:r>
            <w:r>
              <w:rPr>
                <w:rFonts w:hint="eastAsia"/>
                <w:spacing w:val="-5"/>
                <w:sz w:val="21"/>
                <w:szCs w:val="21"/>
                <w:lang w:eastAsia="zh-CN"/>
              </w:rPr>
              <w:t>；</w:t>
            </w:r>
            <w:r>
              <w:rPr>
                <w:rFonts w:hint="eastAsia"/>
                <w:spacing w:val="-5"/>
                <w:sz w:val="21"/>
                <w:szCs w:val="21"/>
              </w:rPr>
              <w:t>方案一般加</w:t>
            </w:r>
            <w:r>
              <w:rPr>
                <w:rFonts w:hint="eastAsia"/>
                <w:spacing w:val="-5"/>
                <w:sz w:val="21"/>
                <w:szCs w:val="21"/>
                <w:lang w:val="en-US" w:eastAsia="zh-CN"/>
              </w:rPr>
              <w:t xml:space="preserve"> </w:t>
            </w:r>
            <w:r>
              <w:rPr>
                <w:rFonts w:hint="default" w:ascii="Times New Roman" w:hAnsi="Times New Roman" w:cs="Times New Roman"/>
                <w:spacing w:val="-5"/>
                <w:sz w:val="21"/>
                <w:szCs w:val="21"/>
              </w:rPr>
              <w:t>0</w:t>
            </w:r>
            <w:r>
              <w:rPr>
                <w:rFonts w:hint="eastAsia"/>
                <w:spacing w:val="-5"/>
                <w:sz w:val="21"/>
                <w:szCs w:val="21"/>
              </w:rPr>
              <w:t>-</w:t>
            </w:r>
            <w:r>
              <w:rPr>
                <w:rFonts w:hint="default" w:ascii="Times New Roman" w:hAnsi="Times New Roman" w:cs="Times New Roman"/>
                <w:spacing w:val="-5"/>
                <w:sz w:val="21"/>
                <w:szCs w:val="21"/>
              </w:rPr>
              <w:t>0</w:t>
            </w:r>
            <w:r>
              <w:rPr>
                <w:rFonts w:hint="eastAsia"/>
                <w:spacing w:val="-5"/>
                <w:sz w:val="21"/>
                <w:szCs w:val="21"/>
              </w:rPr>
              <w:t>.</w:t>
            </w:r>
            <w:r>
              <w:rPr>
                <w:rFonts w:hint="default" w:ascii="Times New Roman" w:hAnsi="Times New Roman" w:cs="Times New Roman"/>
                <w:spacing w:val="-5"/>
                <w:sz w:val="21"/>
                <w:szCs w:val="21"/>
              </w:rPr>
              <w:t>7</w:t>
            </w:r>
            <w:r>
              <w:rPr>
                <w:rFonts w:hint="eastAsia"/>
                <w:spacing w:val="-5"/>
                <w:sz w:val="21"/>
                <w:szCs w:val="21"/>
              </w:rPr>
              <w:t xml:space="preserve"> 分</w:t>
            </w:r>
            <w:r>
              <w:rPr>
                <w:spacing w:val="-5"/>
                <w:sz w:val="21"/>
                <w:szCs w:val="21"/>
              </w:rPr>
              <w:t>。</w:t>
            </w:r>
          </w:p>
        </w:tc>
      </w:tr>
      <w:tr w14:paraId="13D1F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5" w:hRule="atLeast"/>
        </w:trPr>
        <w:tc>
          <w:tcPr>
            <w:tcW w:w="635" w:type="pct"/>
            <w:tcBorders>
              <w:top w:val="single" w:color="000000" w:sz="2" w:space="0"/>
              <w:bottom w:val="single" w:color="000000" w:sz="2" w:space="0"/>
              <w:right w:val="single" w:color="000000" w:sz="2" w:space="0"/>
            </w:tcBorders>
            <w:vAlign w:val="center"/>
          </w:tcPr>
          <w:p w14:paraId="62B71AD5">
            <w:pPr>
              <w:pStyle w:val="13"/>
              <w:spacing w:before="41"/>
              <w:jc w:val="center"/>
              <w:rPr>
                <w:rFonts w:ascii="Microsoft JhengHei"/>
                <w:b/>
                <w:sz w:val="21"/>
                <w:szCs w:val="21"/>
              </w:rPr>
            </w:pPr>
          </w:p>
          <w:p w14:paraId="4ED43C64">
            <w:pPr>
              <w:pStyle w:val="13"/>
              <w:jc w:val="center"/>
              <w:rPr>
                <w:rFonts w:ascii="Times New Roman"/>
                <w:sz w:val="21"/>
                <w:szCs w:val="21"/>
              </w:rPr>
            </w:pPr>
            <w:r>
              <w:rPr>
                <w:rFonts w:hint="default" w:ascii="Times New Roman" w:hAnsi="Times New Roman" w:eastAsia="Times New Roman" w:cs="Times New Roman"/>
                <w:spacing w:val="-2"/>
                <w:sz w:val="21"/>
                <w:szCs w:val="21"/>
              </w:rPr>
              <w:t>2</w:t>
            </w:r>
            <w:r>
              <w:rPr>
                <w:rFonts w:ascii="Times New Roman" w:eastAsia="Times New Roman"/>
                <w:spacing w:val="-2"/>
                <w:sz w:val="21"/>
                <w:szCs w:val="21"/>
              </w:rPr>
              <w:t>.</w:t>
            </w:r>
            <w:r>
              <w:rPr>
                <w:rFonts w:hint="default" w:ascii="Times New Roman" w:hAnsi="Times New Roman" w:eastAsia="Times New Roman" w:cs="Times New Roman"/>
                <w:spacing w:val="-2"/>
                <w:sz w:val="21"/>
                <w:szCs w:val="21"/>
              </w:rPr>
              <w:t>2</w:t>
            </w:r>
            <w:r>
              <w:rPr>
                <w:rFonts w:ascii="Times New Roman" w:eastAsia="Times New Roman"/>
                <w:spacing w:val="-2"/>
                <w:sz w:val="21"/>
                <w:szCs w:val="21"/>
              </w:rPr>
              <w:t>.</w:t>
            </w:r>
            <w:r>
              <w:rPr>
                <w:rFonts w:hint="default" w:ascii="Times New Roman" w:hAnsi="Times New Roman" w:eastAsia="Times New Roman" w:cs="Times New Roman"/>
                <w:spacing w:val="-2"/>
                <w:sz w:val="21"/>
                <w:szCs w:val="21"/>
              </w:rPr>
              <w:t>4</w:t>
            </w:r>
            <w:r>
              <w:rPr>
                <w:spacing w:val="-2"/>
                <w:sz w:val="21"/>
                <w:szCs w:val="21"/>
              </w:rPr>
              <w:t>（</w:t>
            </w:r>
            <w:r>
              <w:rPr>
                <w:rFonts w:hint="default" w:ascii="Times New Roman" w:hAnsi="Times New Roman" w:cs="Times New Roman"/>
                <w:spacing w:val="-2"/>
                <w:sz w:val="21"/>
                <w:szCs w:val="21"/>
                <w:lang w:val="en-US" w:eastAsia="zh-CN"/>
              </w:rPr>
              <w:t>3</w:t>
            </w:r>
            <w:r>
              <w:rPr>
                <w:spacing w:val="-2"/>
                <w:sz w:val="21"/>
                <w:szCs w:val="21"/>
              </w:rPr>
              <w:t>）</w:t>
            </w:r>
          </w:p>
        </w:tc>
        <w:tc>
          <w:tcPr>
            <w:tcW w:w="360" w:type="pct"/>
            <w:tcBorders>
              <w:top w:val="single" w:color="000000" w:sz="2" w:space="0"/>
              <w:left w:val="single" w:color="000000" w:sz="2" w:space="0"/>
              <w:bottom w:val="single" w:color="000000" w:sz="2" w:space="0"/>
              <w:right w:val="single" w:color="000000" w:sz="2" w:space="0"/>
            </w:tcBorders>
            <w:vAlign w:val="center"/>
          </w:tcPr>
          <w:p w14:paraId="301C50B7">
            <w:pPr>
              <w:pStyle w:val="13"/>
              <w:spacing w:before="96"/>
              <w:jc w:val="center"/>
              <w:rPr>
                <w:rFonts w:ascii="Microsoft JhengHei"/>
                <w:b/>
                <w:sz w:val="21"/>
                <w:szCs w:val="21"/>
              </w:rPr>
            </w:pPr>
          </w:p>
          <w:p w14:paraId="3322ADF3">
            <w:pPr>
              <w:pStyle w:val="13"/>
              <w:spacing w:line="242" w:lineRule="auto"/>
              <w:ind w:left="173" w:right="150"/>
              <w:jc w:val="both"/>
              <w:rPr>
                <w:rFonts w:ascii="Times New Roman"/>
                <w:sz w:val="21"/>
                <w:szCs w:val="21"/>
              </w:rPr>
            </w:pPr>
            <w:r>
              <w:rPr>
                <w:spacing w:val="-6"/>
                <w:sz w:val="21"/>
                <w:szCs w:val="21"/>
              </w:rPr>
              <w:t>报价文件</w:t>
            </w:r>
            <w:r>
              <w:rPr>
                <w:spacing w:val="-5"/>
                <w:sz w:val="21"/>
                <w:szCs w:val="21"/>
              </w:rPr>
              <w:t>部分</w:t>
            </w:r>
          </w:p>
        </w:tc>
        <w:tc>
          <w:tcPr>
            <w:tcW w:w="879" w:type="pct"/>
            <w:tcBorders>
              <w:top w:val="single" w:color="000000" w:sz="2" w:space="0"/>
              <w:left w:val="single" w:color="000000" w:sz="2" w:space="0"/>
              <w:right w:val="single" w:color="000000" w:sz="2" w:space="0"/>
            </w:tcBorders>
            <w:vAlign w:val="center"/>
          </w:tcPr>
          <w:p w14:paraId="12F09ECE">
            <w:pPr>
              <w:pStyle w:val="13"/>
              <w:spacing w:before="41"/>
              <w:jc w:val="both"/>
              <w:rPr>
                <w:rFonts w:ascii="Microsoft JhengHei"/>
                <w:b/>
                <w:sz w:val="21"/>
                <w:szCs w:val="21"/>
              </w:rPr>
            </w:pPr>
          </w:p>
          <w:p w14:paraId="4D1256E8">
            <w:pPr>
              <w:pStyle w:val="13"/>
              <w:spacing w:line="360" w:lineRule="auto"/>
              <w:ind w:left="21"/>
              <w:jc w:val="center"/>
              <w:rPr>
                <w:sz w:val="21"/>
                <w:szCs w:val="21"/>
              </w:rPr>
            </w:pPr>
            <w:r>
              <w:rPr>
                <w:sz w:val="21"/>
                <w:szCs w:val="21"/>
              </w:rPr>
              <w:t>评标价</w:t>
            </w:r>
          </w:p>
          <w:p w14:paraId="44467EE7">
            <w:pPr>
              <w:pStyle w:val="13"/>
              <w:spacing w:line="360" w:lineRule="auto"/>
              <w:ind w:left="21"/>
              <w:jc w:val="center"/>
              <w:rPr>
                <w:rFonts w:hint="eastAsia"/>
                <w:spacing w:val="-2"/>
                <w:sz w:val="21"/>
                <w:szCs w:val="21"/>
              </w:rPr>
            </w:pPr>
            <w:r>
              <w:rPr>
                <w:sz w:val="21"/>
                <w:szCs w:val="21"/>
              </w:rPr>
              <w:t>（</w:t>
            </w:r>
            <w:r>
              <w:rPr>
                <w:rFonts w:hint="default" w:ascii="Times New Roman" w:hAnsi="Times New Roman" w:cs="Times New Roman"/>
                <w:sz w:val="21"/>
                <w:szCs w:val="21"/>
                <w:lang w:val="en-US" w:eastAsia="zh-CN"/>
              </w:rPr>
              <w:t>50</w:t>
            </w:r>
            <w:r>
              <w:rPr>
                <w:rFonts w:hint="eastAsia" w:ascii="Calibri"/>
                <w:sz w:val="21"/>
                <w:szCs w:val="21"/>
                <w:lang w:val="en-US" w:eastAsia="zh-CN"/>
              </w:rPr>
              <w:t xml:space="preserve">  </w:t>
            </w:r>
            <w:r>
              <w:rPr>
                <w:sz w:val="21"/>
                <w:szCs w:val="21"/>
              </w:rPr>
              <w:t>分</w:t>
            </w:r>
            <w:r>
              <w:rPr>
                <w:spacing w:val="-10"/>
                <w:sz w:val="21"/>
                <w:szCs w:val="21"/>
              </w:rPr>
              <w:t>）</w:t>
            </w:r>
          </w:p>
        </w:tc>
        <w:tc>
          <w:tcPr>
            <w:tcW w:w="3124" w:type="pct"/>
            <w:tcBorders>
              <w:top w:val="single" w:color="000000" w:sz="2" w:space="0"/>
              <w:left w:val="single" w:color="000000" w:sz="2" w:space="0"/>
              <w:bottom w:val="single" w:color="000000" w:sz="2" w:space="0"/>
            </w:tcBorders>
            <w:vAlign w:val="center"/>
          </w:tcPr>
          <w:p w14:paraId="16301DEE">
            <w:pPr>
              <w:pStyle w:val="13"/>
              <w:numPr>
                <w:ilvl w:val="0"/>
                <w:numId w:val="0"/>
              </w:numPr>
              <w:tabs>
                <w:tab w:val="left" w:pos="436"/>
              </w:tabs>
              <w:spacing w:before="142" w:after="0" w:line="360" w:lineRule="auto"/>
              <w:ind w:left="116" w:leftChars="0" w:right="199" w:rightChars="0" w:firstLine="412" w:firstLineChars="200"/>
              <w:jc w:val="both"/>
              <w:rPr>
                <w:rFonts w:hint="eastAsia" w:ascii="宋体" w:hAnsi="宋体" w:eastAsia="宋体" w:cs="宋体"/>
                <w:spacing w:val="-2"/>
                <w:sz w:val="21"/>
                <w:szCs w:val="21"/>
              </w:rPr>
            </w:pPr>
            <w:r>
              <w:rPr>
                <w:rFonts w:hint="default" w:ascii="Times New Roman" w:hAnsi="Times New Roman" w:cs="Times New Roman"/>
                <w:spacing w:val="-2"/>
                <w:sz w:val="21"/>
                <w:szCs w:val="21"/>
                <w:lang w:val="en-US" w:eastAsia="zh-CN"/>
              </w:rPr>
              <w:t>1</w:t>
            </w:r>
            <w:r>
              <w:rPr>
                <w:rFonts w:hint="eastAsia" w:cs="宋体"/>
                <w:spacing w:val="-2"/>
                <w:sz w:val="21"/>
                <w:szCs w:val="21"/>
                <w:lang w:val="en-US" w:eastAsia="zh-CN"/>
              </w:rPr>
              <w:t>、</w:t>
            </w:r>
            <w:r>
              <w:rPr>
                <w:rFonts w:hint="eastAsia" w:ascii="宋体" w:hAnsi="宋体" w:eastAsia="宋体" w:cs="宋体"/>
                <w:spacing w:val="-2"/>
                <w:sz w:val="21"/>
                <w:szCs w:val="21"/>
              </w:rPr>
              <w:t>各投标人的投标报价以评标基准价为基准，等于评标基准价得</w:t>
            </w:r>
            <w:r>
              <w:rPr>
                <w:rFonts w:hint="eastAsia" w:cs="宋体"/>
                <w:spacing w:val="-2"/>
                <w:sz w:val="21"/>
                <w:szCs w:val="21"/>
                <w:lang w:val="en-US" w:eastAsia="zh-CN"/>
              </w:rPr>
              <w:t xml:space="preserve"> </w:t>
            </w:r>
            <w:r>
              <w:rPr>
                <w:rFonts w:hint="eastAsia" w:ascii="Times New Roman" w:hAnsi="Times New Roman" w:cs="Times New Roman"/>
                <w:spacing w:val="-2"/>
                <w:sz w:val="21"/>
                <w:szCs w:val="21"/>
                <w:lang w:val="en-US" w:eastAsia="zh-CN"/>
              </w:rPr>
              <w:t>5</w:t>
            </w:r>
            <w:r>
              <w:rPr>
                <w:rFonts w:hint="default" w:ascii="Times New Roman" w:hAnsi="Times New Roman" w:eastAsia="宋体" w:cs="Times New Roman"/>
                <w:spacing w:val="-2"/>
                <w:sz w:val="21"/>
                <w:szCs w:val="21"/>
              </w:rPr>
              <w:t>0</w:t>
            </w:r>
            <w:r>
              <w:rPr>
                <w:rFonts w:hint="eastAsia" w:ascii="Times New Roman" w:hAnsi="Times New Roman" w:cs="Times New Roman"/>
                <w:spacing w:val="-2"/>
                <w:sz w:val="21"/>
                <w:szCs w:val="21"/>
                <w:lang w:val="en-US" w:eastAsia="zh-CN"/>
              </w:rPr>
              <w:t xml:space="preserve"> </w:t>
            </w:r>
            <w:r>
              <w:rPr>
                <w:rFonts w:hint="eastAsia" w:ascii="宋体" w:hAnsi="宋体" w:eastAsia="宋体" w:cs="宋体"/>
                <w:spacing w:val="-2"/>
                <w:sz w:val="21"/>
                <w:szCs w:val="21"/>
              </w:rPr>
              <w:t>分，投标报价每低于评标基准价</w:t>
            </w:r>
            <w:r>
              <w:rPr>
                <w:rFonts w:hint="default" w:ascii="Times New Roman" w:hAnsi="Times New Roman" w:eastAsia="宋体" w:cs="Times New Roman"/>
                <w:spacing w:val="-2"/>
                <w:sz w:val="21"/>
                <w:szCs w:val="21"/>
              </w:rPr>
              <w:t>1</w:t>
            </w:r>
            <w:r>
              <w:rPr>
                <w:rFonts w:hint="eastAsia" w:ascii="宋体" w:hAnsi="宋体" w:eastAsia="宋体" w:cs="宋体"/>
                <w:spacing w:val="-2"/>
                <w:sz w:val="21"/>
                <w:szCs w:val="21"/>
              </w:rPr>
              <w:t>%扣</w:t>
            </w:r>
            <w:r>
              <w:rPr>
                <w:rFonts w:hint="eastAsia" w:cs="宋体"/>
                <w:spacing w:val="-2"/>
                <w:sz w:val="21"/>
                <w:szCs w:val="21"/>
                <w:lang w:val="en-US" w:eastAsia="zh-CN"/>
              </w:rPr>
              <w:t xml:space="preserve"> </w:t>
            </w:r>
            <w:r>
              <w:rPr>
                <w:rFonts w:hint="default" w:ascii="Times New Roman" w:hAnsi="Times New Roman" w:eastAsia="宋体" w:cs="Times New Roman"/>
                <w:spacing w:val="-2"/>
                <w:sz w:val="21"/>
                <w:szCs w:val="21"/>
              </w:rPr>
              <w:t>0</w:t>
            </w:r>
            <w:r>
              <w:rPr>
                <w:rFonts w:hint="eastAsia" w:ascii="宋体" w:hAnsi="宋体" w:eastAsia="宋体" w:cs="宋体"/>
                <w:spacing w:val="-2"/>
                <w:sz w:val="21"/>
                <w:szCs w:val="21"/>
              </w:rPr>
              <w:t>.</w:t>
            </w:r>
            <w:r>
              <w:rPr>
                <w:rFonts w:hint="default" w:ascii="Times New Roman" w:hAnsi="Times New Roman" w:eastAsia="宋体" w:cs="Times New Roman"/>
                <w:spacing w:val="-2"/>
                <w:sz w:val="21"/>
                <w:szCs w:val="21"/>
              </w:rPr>
              <w:t>5</w:t>
            </w:r>
            <w:r>
              <w:rPr>
                <w:rFonts w:hint="eastAsia" w:ascii="Times New Roman" w:hAnsi="Times New Roman" w:cs="Times New Roman"/>
                <w:spacing w:val="-2"/>
                <w:sz w:val="21"/>
                <w:szCs w:val="21"/>
                <w:lang w:val="en-US" w:eastAsia="zh-CN"/>
              </w:rPr>
              <w:t xml:space="preserve"> </w:t>
            </w:r>
            <w:r>
              <w:rPr>
                <w:rFonts w:hint="eastAsia" w:ascii="宋体" w:hAnsi="宋体" w:eastAsia="宋体" w:cs="宋体"/>
                <w:spacing w:val="-2"/>
                <w:sz w:val="21"/>
                <w:szCs w:val="21"/>
              </w:rPr>
              <w:t>分，扣完为止；投标报价每高于评标基准价</w:t>
            </w:r>
            <w:r>
              <w:rPr>
                <w:rFonts w:hint="eastAsia" w:cs="宋体"/>
                <w:spacing w:val="-2"/>
                <w:sz w:val="21"/>
                <w:szCs w:val="21"/>
                <w:lang w:val="en-US" w:eastAsia="zh-CN"/>
              </w:rPr>
              <w:t xml:space="preserve"> </w:t>
            </w:r>
            <w:r>
              <w:rPr>
                <w:rFonts w:hint="default" w:ascii="Times New Roman" w:hAnsi="Times New Roman" w:eastAsia="宋体" w:cs="Times New Roman"/>
                <w:spacing w:val="-2"/>
                <w:sz w:val="21"/>
                <w:szCs w:val="21"/>
              </w:rPr>
              <w:t>1</w:t>
            </w:r>
            <w:r>
              <w:rPr>
                <w:rFonts w:hint="eastAsia" w:ascii="宋体" w:hAnsi="宋体" w:eastAsia="宋体" w:cs="宋体"/>
                <w:spacing w:val="-2"/>
                <w:sz w:val="21"/>
                <w:szCs w:val="21"/>
              </w:rPr>
              <w:t>%</w:t>
            </w:r>
            <w:r>
              <w:rPr>
                <w:rFonts w:hint="eastAsia" w:cs="宋体"/>
                <w:spacing w:val="-2"/>
                <w:sz w:val="21"/>
                <w:szCs w:val="21"/>
                <w:lang w:val="en-US" w:eastAsia="zh-CN"/>
              </w:rPr>
              <w:t xml:space="preserve"> </w:t>
            </w:r>
            <w:r>
              <w:rPr>
                <w:rFonts w:hint="eastAsia" w:ascii="宋体" w:hAnsi="宋体" w:eastAsia="宋体" w:cs="宋体"/>
                <w:spacing w:val="-2"/>
                <w:sz w:val="21"/>
                <w:szCs w:val="21"/>
              </w:rPr>
              <w:t>扣</w:t>
            </w:r>
            <w:r>
              <w:rPr>
                <w:rFonts w:hint="eastAsia" w:cs="宋体"/>
                <w:spacing w:val="-2"/>
                <w:sz w:val="21"/>
                <w:szCs w:val="21"/>
                <w:lang w:val="en-US" w:eastAsia="zh-CN"/>
              </w:rPr>
              <w:t xml:space="preserve"> </w:t>
            </w:r>
            <w:r>
              <w:rPr>
                <w:rFonts w:hint="default" w:ascii="Times New Roman" w:hAnsi="Times New Roman" w:eastAsia="宋体" w:cs="Times New Roman"/>
                <w:spacing w:val="-2"/>
                <w:sz w:val="21"/>
                <w:szCs w:val="21"/>
              </w:rPr>
              <w:t>1</w:t>
            </w:r>
            <w:r>
              <w:rPr>
                <w:rFonts w:hint="eastAsia" w:ascii="Times New Roman" w:hAnsi="Times New Roman" w:cs="Times New Roman"/>
                <w:spacing w:val="-2"/>
                <w:sz w:val="21"/>
                <w:szCs w:val="21"/>
                <w:lang w:val="en-US" w:eastAsia="zh-CN"/>
              </w:rPr>
              <w:t xml:space="preserve"> </w:t>
            </w:r>
            <w:r>
              <w:rPr>
                <w:rFonts w:hint="eastAsia" w:ascii="宋体" w:hAnsi="宋体" w:eastAsia="宋体" w:cs="宋体"/>
                <w:spacing w:val="-2"/>
                <w:sz w:val="21"/>
                <w:szCs w:val="21"/>
              </w:rPr>
              <w:t>分，扣完为止。</w:t>
            </w:r>
          </w:p>
          <w:p w14:paraId="35AAD70E">
            <w:pPr>
              <w:pStyle w:val="13"/>
              <w:numPr>
                <w:ilvl w:val="0"/>
                <w:numId w:val="0"/>
              </w:numPr>
              <w:tabs>
                <w:tab w:val="left" w:pos="436"/>
              </w:tabs>
              <w:spacing w:before="142" w:after="0" w:line="360" w:lineRule="auto"/>
              <w:ind w:left="116" w:leftChars="0" w:right="199" w:rightChars="0"/>
              <w:jc w:val="both"/>
              <w:rPr>
                <w:rFonts w:hint="eastAsia" w:ascii="宋体" w:hAnsi="宋体" w:eastAsia="宋体" w:cs="宋体"/>
                <w:spacing w:val="-2"/>
                <w:sz w:val="21"/>
                <w:szCs w:val="21"/>
              </w:rPr>
            </w:pPr>
            <w:r>
              <w:rPr>
                <w:rFonts w:hint="eastAsia" w:ascii="宋体" w:hAnsi="宋体" w:eastAsia="宋体" w:cs="宋体"/>
                <w:spacing w:val="-2"/>
                <w:sz w:val="21"/>
                <w:szCs w:val="21"/>
              </w:rPr>
              <w:t>备注：</w:t>
            </w:r>
          </w:p>
          <w:p w14:paraId="15D2A8C2">
            <w:pPr>
              <w:pStyle w:val="13"/>
              <w:keepNext w:val="0"/>
              <w:keepLines w:val="0"/>
              <w:pageBreakBefore w:val="0"/>
              <w:widowControl w:val="0"/>
              <w:kinsoku/>
              <w:wordWrap/>
              <w:overflowPunct/>
              <w:topLinePunct w:val="0"/>
              <w:autoSpaceDE w:val="0"/>
              <w:autoSpaceDN w:val="0"/>
              <w:bidi w:val="0"/>
              <w:adjustRightInd/>
              <w:snapToGrid/>
              <w:spacing w:line="360" w:lineRule="auto"/>
              <w:ind w:left="113" w:right="110" w:rightChars="50" w:firstLine="412" w:firstLineChars="200"/>
              <w:jc w:val="both"/>
              <w:textAlignment w:val="auto"/>
              <w:rPr>
                <w:rFonts w:hint="eastAsia"/>
                <w:spacing w:val="-2"/>
                <w:sz w:val="21"/>
                <w:szCs w:val="21"/>
              </w:rPr>
            </w:pPr>
            <w:r>
              <w:rPr>
                <w:rFonts w:hint="eastAsia" w:ascii="宋体" w:hAnsi="宋体" w:eastAsia="宋体" w:cs="宋体"/>
                <w:spacing w:val="-2"/>
                <w:sz w:val="21"/>
                <w:szCs w:val="21"/>
              </w:rPr>
              <w:t>在评标中不考虑调价因素；凡超出招标文件规定的或给招标人带来未曾要求的利益的变化、偏离或其它因素在评标时不予考虑；不足一个百分点时，采用内插法计算，分值计算精确到小数点后两位数，第三位四舍五入。评标委员会认为投标人的报价明显低于其他通过符合性审查投标人的报价，有可能影响产品质量或者不能诚信履约的，应当要求投标人在评标现场合理的时间内提供书面说明。必要时提交相关证明材料；投标人不能证明其报价合理性的，评标委员会应当将其作为无效投标处理。</w:t>
            </w:r>
          </w:p>
        </w:tc>
      </w:tr>
    </w:tbl>
    <w:p w14:paraId="5B829DC2">
      <w:pPr>
        <w:rPr>
          <w:rFonts w:ascii="Microsoft JhengHei"/>
          <w:b/>
          <w:sz w:val="21"/>
          <w:szCs w:val="21"/>
        </w:rPr>
      </w:pPr>
      <w:r>
        <w:rPr>
          <w:rFonts w:ascii="Microsoft JhengHei"/>
          <w:b/>
          <w:sz w:val="21"/>
          <w:szCs w:val="21"/>
        </w:rPr>
        <w:br w:type="page"/>
      </w:r>
    </w:p>
    <w:p w14:paraId="687D86DD">
      <w:pPr>
        <w:pStyle w:val="14"/>
        <w:rPr>
          <w:sz w:val="21"/>
          <w:szCs w:val="21"/>
        </w:rPr>
      </w:pPr>
    </w:p>
    <w:tbl>
      <w:tblPr>
        <w:tblStyle w:val="11"/>
        <w:tblW w:w="0" w:type="auto"/>
        <w:tblInd w:w="2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0"/>
        <w:gridCol w:w="8340"/>
      </w:tblGrid>
      <w:tr w14:paraId="1E61F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9300" w:type="dxa"/>
            <w:gridSpan w:val="2"/>
            <w:tcBorders>
              <w:bottom w:val="single" w:color="000000" w:sz="2" w:space="0"/>
            </w:tcBorders>
          </w:tcPr>
          <w:p w14:paraId="54C92B89">
            <w:pPr>
              <w:pStyle w:val="13"/>
              <w:spacing w:before="50" w:line="290" w:lineRule="exact"/>
              <w:ind w:left="108"/>
              <w:rPr>
                <w:sz w:val="21"/>
                <w:szCs w:val="21"/>
              </w:rPr>
            </w:pPr>
            <w:r>
              <w:rPr>
                <w:spacing w:val="-1"/>
                <w:sz w:val="21"/>
                <w:szCs w:val="21"/>
              </w:rPr>
              <w:t>需要补充的其他内容：</w:t>
            </w:r>
          </w:p>
        </w:tc>
      </w:tr>
      <w:tr w14:paraId="5BB3C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60" w:type="dxa"/>
            <w:tcBorders>
              <w:top w:val="single" w:color="000000" w:sz="2" w:space="0"/>
              <w:bottom w:val="single" w:color="000000" w:sz="2" w:space="0"/>
              <w:right w:val="single" w:color="000000" w:sz="2" w:space="0"/>
            </w:tcBorders>
          </w:tcPr>
          <w:p w14:paraId="7081F0BC">
            <w:pPr>
              <w:pStyle w:val="13"/>
              <w:spacing w:before="51" w:line="297" w:lineRule="exact"/>
              <w:ind w:left="12"/>
              <w:jc w:val="center"/>
              <w:rPr>
                <w:sz w:val="21"/>
                <w:szCs w:val="21"/>
              </w:rPr>
            </w:pPr>
            <w:r>
              <w:rPr>
                <w:spacing w:val="-44"/>
                <w:sz w:val="21"/>
                <w:szCs w:val="21"/>
              </w:rPr>
              <w:t>条款号</w:t>
            </w:r>
          </w:p>
        </w:tc>
        <w:tc>
          <w:tcPr>
            <w:tcW w:w="8340" w:type="dxa"/>
            <w:tcBorders>
              <w:top w:val="single" w:color="000000" w:sz="2" w:space="0"/>
              <w:left w:val="single" w:color="000000" w:sz="2" w:space="0"/>
              <w:bottom w:val="single" w:color="000000" w:sz="2" w:space="0"/>
            </w:tcBorders>
          </w:tcPr>
          <w:p w14:paraId="62D8B3E4">
            <w:pPr>
              <w:pStyle w:val="13"/>
              <w:spacing w:before="51" w:line="297" w:lineRule="exact"/>
              <w:ind w:left="22"/>
              <w:jc w:val="center"/>
              <w:rPr>
                <w:sz w:val="21"/>
                <w:szCs w:val="21"/>
              </w:rPr>
            </w:pPr>
            <w:r>
              <w:rPr>
                <w:spacing w:val="-3"/>
                <w:sz w:val="21"/>
                <w:szCs w:val="21"/>
              </w:rPr>
              <w:t>编列内容</w:t>
            </w:r>
          </w:p>
        </w:tc>
      </w:tr>
      <w:tr w14:paraId="7D29D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960" w:type="dxa"/>
            <w:tcBorders>
              <w:top w:val="single" w:color="000000" w:sz="2" w:space="0"/>
              <w:right w:val="single" w:color="000000" w:sz="2" w:space="0"/>
            </w:tcBorders>
          </w:tcPr>
          <w:p w14:paraId="794E42D8">
            <w:pPr>
              <w:pStyle w:val="13"/>
              <w:rPr>
                <w:rFonts w:ascii="Microsoft JhengHei"/>
                <w:b/>
                <w:sz w:val="21"/>
                <w:szCs w:val="21"/>
              </w:rPr>
            </w:pPr>
          </w:p>
          <w:p w14:paraId="12385E1A">
            <w:pPr>
              <w:pStyle w:val="13"/>
              <w:spacing w:before="363"/>
              <w:rPr>
                <w:rFonts w:ascii="Microsoft JhengHei"/>
                <w:b/>
                <w:sz w:val="21"/>
                <w:szCs w:val="21"/>
              </w:rPr>
            </w:pPr>
          </w:p>
          <w:p w14:paraId="1D6FF943">
            <w:pPr>
              <w:pStyle w:val="13"/>
              <w:spacing w:before="363"/>
              <w:rPr>
                <w:rFonts w:ascii="Microsoft JhengHei"/>
                <w:b/>
                <w:sz w:val="21"/>
                <w:szCs w:val="21"/>
              </w:rPr>
            </w:pPr>
          </w:p>
          <w:p w14:paraId="54EF6454">
            <w:pPr>
              <w:pStyle w:val="13"/>
              <w:spacing w:before="363"/>
              <w:rPr>
                <w:rFonts w:ascii="Microsoft JhengHei"/>
                <w:b/>
                <w:sz w:val="21"/>
                <w:szCs w:val="21"/>
              </w:rPr>
            </w:pPr>
          </w:p>
          <w:p w14:paraId="18B1B670">
            <w:pPr>
              <w:pStyle w:val="13"/>
              <w:spacing w:before="363"/>
              <w:rPr>
                <w:rFonts w:ascii="Microsoft JhengHei"/>
                <w:b/>
                <w:sz w:val="21"/>
                <w:szCs w:val="21"/>
              </w:rPr>
            </w:pPr>
          </w:p>
          <w:p w14:paraId="463A69C6">
            <w:pPr>
              <w:pStyle w:val="13"/>
              <w:spacing w:before="363"/>
              <w:rPr>
                <w:rFonts w:ascii="Microsoft JhengHei"/>
                <w:b/>
                <w:sz w:val="21"/>
                <w:szCs w:val="21"/>
              </w:rPr>
            </w:pPr>
          </w:p>
          <w:p w14:paraId="5F9BAEE6">
            <w:pPr>
              <w:pStyle w:val="13"/>
              <w:spacing w:before="363"/>
              <w:rPr>
                <w:rFonts w:ascii="Microsoft JhengHei"/>
                <w:b/>
                <w:sz w:val="21"/>
                <w:szCs w:val="21"/>
              </w:rPr>
            </w:pPr>
          </w:p>
          <w:p w14:paraId="6B6EE1A6">
            <w:pPr>
              <w:pStyle w:val="13"/>
              <w:spacing w:before="363"/>
              <w:rPr>
                <w:rFonts w:ascii="Microsoft JhengHei"/>
                <w:b/>
                <w:sz w:val="21"/>
                <w:szCs w:val="21"/>
              </w:rPr>
            </w:pPr>
          </w:p>
          <w:p w14:paraId="179DDA03">
            <w:pPr>
              <w:pStyle w:val="13"/>
              <w:ind w:left="12"/>
              <w:jc w:val="center"/>
              <w:rPr>
                <w:rFonts w:ascii="Times New Roman"/>
                <w:sz w:val="21"/>
                <w:szCs w:val="21"/>
              </w:rPr>
            </w:pPr>
            <w:r>
              <w:rPr>
                <w:rFonts w:hint="default" w:ascii="Times New Roman" w:hAnsi="Times New Roman" w:cs="Times New Roman"/>
                <w:spacing w:val="-10"/>
                <w:sz w:val="21"/>
                <w:szCs w:val="21"/>
              </w:rPr>
              <w:t>1</w:t>
            </w:r>
          </w:p>
        </w:tc>
        <w:tc>
          <w:tcPr>
            <w:tcW w:w="8340" w:type="dxa"/>
            <w:tcBorders>
              <w:top w:val="single" w:color="000000" w:sz="2" w:space="0"/>
              <w:left w:val="single" w:color="000000" w:sz="2" w:space="0"/>
            </w:tcBorders>
          </w:tcPr>
          <w:p w14:paraId="377249B7">
            <w:pPr>
              <w:pStyle w:val="13"/>
              <w:keepNext w:val="0"/>
              <w:keepLines w:val="0"/>
              <w:pageBreakBefore w:val="0"/>
              <w:widowControl w:val="0"/>
              <w:kinsoku/>
              <w:wordWrap/>
              <w:overflowPunct/>
              <w:topLinePunct w:val="0"/>
              <w:autoSpaceDE w:val="0"/>
              <w:autoSpaceDN w:val="0"/>
              <w:bidi w:val="0"/>
              <w:adjustRightInd/>
              <w:snapToGrid/>
              <w:spacing w:before="100" w:line="360" w:lineRule="auto"/>
              <w:ind w:left="113" w:right="85"/>
              <w:textAlignment w:val="auto"/>
              <w:rPr>
                <w:rFonts w:hint="eastAsia" w:ascii="Times New Roman" w:eastAsia="Times New Roman"/>
                <w:spacing w:val="-2"/>
                <w:sz w:val="21"/>
                <w:szCs w:val="21"/>
              </w:rPr>
            </w:pPr>
            <w:r>
              <w:rPr>
                <w:rFonts w:hint="default" w:ascii="Times New Roman" w:hAnsi="Times New Roman" w:eastAsia="Times New Roman" w:cs="Times New Roman"/>
                <w:spacing w:val="-2"/>
                <w:sz w:val="21"/>
                <w:szCs w:val="21"/>
              </w:rPr>
              <w:t>1</w:t>
            </w:r>
            <w:r>
              <w:rPr>
                <w:rFonts w:hint="eastAsia" w:ascii="Times New Roman" w:eastAsia="Times New Roman"/>
                <w:spacing w:val="-2"/>
                <w:sz w:val="21"/>
                <w:szCs w:val="21"/>
              </w:rPr>
              <w:t>、评标办法</w:t>
            </w:r>
          </w:p>
          <w:p w14:paraId="58091AC3">
            <w:pPr>
              <w:pStyle w:val="13"/>
              <w:spacing w:before="1" w:line="360" w:lineRule="auto"/>
              <w:ind w:left="113" w:right="83"/>
              <w:rPr>
                <w:rFonts w:hint="eastAsia" w:ascii="Times New Roman" w:eastAsia="Times New Roman"/>
                <w:spacing w:val="-2"/>
                <w:sz w:val="21"/>
                <w:szCs w:val="21"/>
              </w:rPr>
            </w:pPr>
            <w:r>
              <w:rPr>
                <w:rFonts w:hint="eastAsia" w:ascii="Times New Roman" w:eastAsia="Times New Roman"/>
                <w:spacing w:val="-2"/>
                <w:sz w:val="21"/>
                <w:szCs w:val="21"/>
              </w:rPr>
              <w:t>本条细化为：</w:t>
            </w:r>
          </w:p>
          <w:p w14:paraId="2B320854">
            <w:pPr>
              <w:pStyle w:val="13"/>
              <w:spacing w:before="1" w:line="360" w:lineRule="auto"/>
              <w:ind w:left="113" w:right="83"/>
              <w:rPr>
                <w:rFonts w:hint="eastAsia" w:ascii="Times New Roman" w:eastAsia="Times New Roman"/>
                <w:spacing w:val="-2"/>
                <w:sz w:val="21"/>
                <w:szCs w:val="21"/>
              </w:rPr>
            </w:pPr>
            <w:r>
              <w:rPr>
                <w:rFonts w:hint="default" w:ascii="Times New Roman" w:hAnsi="Times New Roman" w:eastAsia="Times New Roman" w:cs="Times New Roman"/>
                <w:spacing w:val="-2"/>
                <w:sz w:val="21"/>
                <w:szCs w:val="21"/>
              </w:rPr>
              <w:t>1</w:t>
            </w:r>
            <w:r>
              <w:rPr>
                <w:rFonts w:hint="eastAsia" w:ascii="Times New Roman" w:eastAsia="Times New Roman"/>
                <w:spacing w:val="-2"/>
                <w:sz w:val="21"/>
                <w:szCs w:val="21"/>
              </w:rPr>
              <w:t>.</w:t>
            </w:r>
            <w:r>
              <w:rPr>
                <w:rFonts w:hint="default" w:ascii="Times New Roman" w:hAnsi="Times New Roman" w:eastAsia="Times New Roman" w:cs="Times New Roman"/>
                <w:spacing w:val="-2"/>
                <w:sz w:val="21"/>
                <w:szCs w:val="21"/>
              </w:rPr>
              <w:t>1</w:t>
            </w:r>
            <w:r>
              <w:rPr>
                <w:rFonts w:hint="eastAsia" w:ascii="Times New Roman" w:eastAsia="Times New Roman"/>
                <w:spacing w:val="-2"/>
                <w:sz w:val="21"/>
                <w:szCs w:val="21"/>
              </w:rPr>
              <w:t xml:space="preserve">评标委员会首先对投标文件第一个信封进行初步评审，并对通过第一个信封初步评审的投标文件按照本章第 </w:t>
            </w:r>
            <w:r>
              <w:rPr>
                <w:rFonts w:hint="default" w:ascii="Times New Roman" w:hAnsi="Times New Roman" w:eastAsia="Times New Roman" w:cs="Times New Roman"/>
                <w:spacing w:val="-2"/>
                <w:sz w:val="21"/>
                <w:szCs w:val="21"/>
              </w:rPr>
              <w:t>2</w:t>
            </w:r>
            <w:r>
              <w:rPr>
                <w:rFonts w:hint="eastAsia" w:ascii="Times New Roman" w:eastAsia="Times New Roman"/>
                <w:spacing w:val="-2"/>
                <w:sz w:val="21"/>
                <w:szCs w:val="21"/>
              </w:rPr>
              <w:t>.</w:t>
            </w:r>
            <w:r>
              <w:rPr>
                <w:rFonts w:hint="default" w:ascii="Times New Roman" w:hAnsi="Times New Roman" w:eastAsia="Times New Roman" w:cs="Times New Roman"/>
                <w:spacing w:val="-2"/>
                <w:sz w:val="21"/>
                <w:szCs w:val="21"/>
              </w:rPr>
              <w:t>2</w:t>
            </w:r>
            <w:r>
              <w:rPr>
                <w:rFonts w:hint="eastAsia" w:ascii="Times New Roman" w:eastAsia="Times New Roman"/>
                <w:spacing w:val="-2"/>
                <w:sz w:val="21"/>
                <w:szCs w:val="21"/>
              </w:rPr>
              <w:t>款规定的评分标准进行第一个信封详细评审及评分：各评分因素得分一般不得低于其权重分值的</w:t>
            </w:r>
            <w:r>
              <w:rPr>
                <w:rFonts w:hint="eastAsia" w:ascii="Times New Roman" w:eastAsia="宋体"/>
                <w:spacing w:val="-2"/>
                <w:sz w:val="21"/>
                <w:szCs w:val="21"/>
                <w:lang w:val="en-US" w:eastAsia="zh-CN"/>
              </w:rPr>
              <w:t xml:space="preserve"> </w:t>
            </w:r>
            <w:r>
              <w:rPr>
                <w:rFonts w:hint="default" w:ascii="Times New Roman" w:hAnsi="Times New Roman" w:eastAsia="Times New Roman" w:cs="Times New Roman"/>
                <w:spacing w:val="-2"/>
                <w:sz w:val="21"/>
                <w:szCs w:val="21"/>
              </w:rPr>
              <w:t>60</w:t>
            </w:r>
            <w:r>
              <w:rPr>
                <w:rFonts w:hint="eastAsia" w:ascii="Times New Roman" w:eastAsia="Times New Roman"/>
                <w:spacing w:val="-2"/>
                <w:sz w:val="21"/>
                <w:szCs w:val="21"/>
              </w:rPr>
              <w:t>%</w:t>
            </w:r>
            <w:r>
              <w:rPr>
                <w:rFonts w:hint="eastAsia" w:ascii="Times New Roman" w:eastAsia="宋体"/>
                <w:spacing w:val="-2"/>
                <w:sz w:val="21"/>
                <w:szCs w:val="21"/>
                <w:lang w:val="en-US" w:eastAsia="zh-CN"/>
              </w:rPr>
              <w:t xml:space="preserve"> </w:t>
            </w:r>
            <w:r>
              <w:rPr>
                <w:rFonts w:hint="eastAsia" w:ascii="Times New Roman" w:eastAsia="Times New Roman"/>
                <w:spacing w:val="-2"/>
                <w:sz w:val="21"/>
                <w:szCs w:val="21"/>
              </w:rPr>
              <w:t>，且各评分因素得分应以评标委员会各成员的打分平均值确定，评标委员会成员总数为七人（含）以上时，该平均值以去掉一个最高分和一个最低分后计算。评标委员会成员对某一项评分因素的评分低于权重分值</w:t>
            </w:r>
            <w:r>
              <w:rPr>
                <w:rFonts w:hint="eastAsia" w:ascii="Times New Roman" w:eastAsia="宋体"/>
                <w:spacing w:val="-2"/>
                <w:sz w:val="21"/>
                <w:szCs w:val="21"/>
                <w:lang w:val="en-US" w:eastAsia="zh-CN"/>
              </w:rPr>
              <w:t xml:space="preserve"> </w:t>
            </w:r>
            <w:r>
              <w:rPr>
                <w:rFonts w:hint="default" w:ascii="Times New Roman" w:hAnsi="Times New Roman" w:eastAsia="Times New Roman" w:cs="Times New Roman"/>
                <w:spacing w:val="-2"/>
                <w:sz w:val="21"/>
                <w:szCs w:val="21"/>
              </w:rPr>
              <w:t>60</w:t>
            </w:r>
            <w:r>
              <w:rPr>
                <w:rFonts w:hint="eastAsia" w:ascii="Times New Roman" w:eastAsia="Times New Roman"/>
                <w:spacing w:val="-2"/>
                <w:sz w:val="21"/>
                <w:szCs w:val="21"/>
              </w:rPr>
              <w:t>%</w:t>
            </w:r>
            <w:r>
              <w:rPr>
                <w:rFonts w:hint="eastAsia" w:ascii="Times New Roman" w:eastAsia="宋体"/>
                <w:spacing w:val="-2"/>
                <w:sz w:val="21"/>
                <w:szCs w:val="21"/>
                <w:lang w:val="en-US" w:eastAsia="zh-CN"/>
              </w:rPr>
              <w:t xml:space="preserve"> </w:t>
            </w:r>
            <w:r>
              <w:rPr>
                <w:rFonts w:hint="eastAsia" w:ascii="Times New Roman" w:eastAsia="Times New Roman"/>
                <w:spacing w:val="-2"/>
                <w:sz w:val="21"/>
                <w:szCs w:val="21"/>
              </w:rPr>
              <w:t>的，应在评标报告中作出说明。</w:t>
            </w:r>
          </w:p>
          <w:p w14:paraId="1F38EDA9">
            <w:pPr>
              <w:pStyle w:val="13"/>
              <w:spacing w:before="1" w:line="360" w:lineRule="auto"/>
              <w:ind w:left="113" w:right="83"/>
              <w:rPr>
                <w:rFonts w:hint="eastAsia" w:ascii="Times New Roman" w:eastAsia="Times New Roman"/>
                <w:spacing w:val="-2"/>
                <w:sz w:val="21"/>
                <w:szCs w:val="21"/>
              </w:rPr>
            </w:pPr>
            <w:r>
              <w:rPr>
                <w:rFonts w:hint="default" w:ascii="Times New Roman" w:hAnsi="Times New Roman" w:eastAsia="Times New Roman" w:cs="Times New Roman"/>
                <w:spacing w:val="-2"/>
                <w:sz w:val="21"/>
                <w:szCs w:val="21"/>
              </w:rPr>
              <w:t>1</w:t>
            </w:r>
            <w:r>
              <w:rPr>
                <w:rFonts w:hint="eastAsia" w:ascii="Times New Roman" w:eastAsia="Times New Roman"/>
                <w:spacing w:val="-2"/>
                <w:sz w:val="21"/>
                <w:szCs w:val="21"/>
              </w:rPr>
              <w:t>.</w:t>
            </w:r>
            <w:r>
              <w:rPr>
                <w:rFonts w:hint="default" w:ascii="Times New Roman" w:hAnsi="Times New Roman" w:eastAsia="Times New Roman" w:cs="Times New Roman"/>
                <w:spacing w:val="-2"/>
                <w:sz w:val="21"/>
                <w:szCs w:val="21"/>
              </w:rPr>
              <w:t>2</w:t>
            </w:r>
            <w:r>
              <w:rPr>
                <w:rFonts w:hint="eastAsia" w:ascii="Times New Roman" w:eastAsia="Times New Roman"/>
                <w:spacing w:val="-2"/>
                <w:sz w:val="21"/>
                <w:szCs w:val="21"/>
              </w:rPr>
              <w:t>所有通过第一个信封初步评审的投标人进入第二个信封的评审，其第二个信封在监督人的监督下进行开标；未通过第一个信封初步评审的投标人不进入第二个信封的评审，其第二个信封原封退回，不参与第二个信封的开标。</w:t>
            </w:r>
          </w:p>
          <w:p w14:paraId="6AE2AAD9">
            <w:pPr>
              <w:pStyle w:val="13"/>
              <w:spacing w:before="1" w:line="360" w:lineRule="auto"/>
              <w:ind w:left="113" w:right="83"/>
              <w:rPr>
                <w:rFonts w:hint="eastAsia" w:ascii="Times New Roman" w:eastAsia="Times New Roman"/>
                <w:spacing w:val="-2"/>
                <w:sz w:val="21"/>
                <w:szCs w:val="21"/>
              </w:rPr>
            </w:pPr>
            <w:r>
              <w:rPr>
                <w:rFonts w:hint="default" w:ascii="Times New Roman" w:hAnsi="Times New Roman" w:eastAsia="Times New Roman" w:cs="Times New Roman"/>
                <w:spacing w:val="-2"/>
                <w:sz w:val="21"/>
                <w:szCs w:val="21"/>
              </w:rPr>
              <w:t>1</w:t>
            </w:r>
            <w:r>
              <w:rPr>
                <w:rFonts w:hint="eastAsia" w:ascii="Times New Roman" w:eastAsia="Times New Roman"/>
                <w:spacing w:val="-2"/>
                <w:sz w:val="21"/>
                <w:szCs w:val="21"/>
              </w:rPr>
              <w:t>.</w:t>
            </w:r>
            <w:r>
              <w:rPr>
                <w:rFonts w:hint="default" w:ascii="Times New Roman" w:hAnsi="Times New Roman" w:eastAsia="Times New Roman" w:cs="Times New Roman"/>
                <w:spacing w:val="-2"/>
                <w:sz w:val="21"/>
                <w:szCs w:val="21"/>
              </w:rPr>
              <w:t>3</w:t>
            </w:r>
            <w:r>
              <w:rPr>
                <w:rFonts w:hint="eastAsia" w:ascii="Times New Roman" w:eastAsia="Times New Roman"/>
                <w:spacing w:val="-2"/>
                <w:sz w:val="21"/>
                <w:szCs w:val="21"/>
              </w:rPr>
              <w:t xml:space="preserve">评标委员会对投标文件第二个信封进行初步评审，对通过第二个信封初步评审的投标文件按照本章第 </w:t>
            </w:r>
            <w:r>
              <w:rPr>
                <w:rFonts w:hint="default" w:ascii="Times New Roman" w:hAnsi="Times New Roman" w:eastAsia="Times New Roman" w:cs="Times New Roman"/>
                <w:spacing w:val="-2"/>
                <w:sz w:val="21"/>
                <w:szCs w:val="21"/>
              </w:rPr>
              <w:t>2</w:t>
            </w:r>
            <w:r>
              <w:rPr>
                <w:rFonts w:hint="eastAsia" w:ascii="Times New Roman" w:eastAsia="Times New Roman"/>
                <w:spacing w:val="-2"/>
                <w:sz w:val="21"/>
                <w:szCs w:val="21"/>
              </w:rPr>
              <w:t>.</w:t>
            </w:r>
            <w:r>
              <w:rPr>
                <w:rFonts w:hint="default" w:ascii="Times New Roman" w:hAnsi="Times New Roman" w:eastAsia="Times New Roman" w:cs="Times New Roman"/>
                <w:spacing w:val="-2"/>
                <w:sz w:val="21"/>
                <w:szCs w:val="21"/>
              </w:rPr>
              <w:t>2</w:t>
            </w:r>
            <w:r>
              <w:rPr>
                <w:rFonts w:hint="eastAsia" w:ascii="Times New Roman" w:eastAsia="Times New Roman"/>
                <w:spacing w:val="-2"/>
                <w:sz w:val="21"/>
                <w:szCs w:val="21"/>
              </w:rPr>
              <w:t>款规定的评分标准进行评标价评分，各投标人的最终得分为第一个信封与第二个信封得分之和，评标委员会按最终得分由高到低顺序确定中标候选人推荐排序，但投标报价低于其成本的除外。</w:t>
            </w:r>
          </w:p>
          <w:p w14:paraId="1B5AF7C8">
            <w:pPr>
              <w:pStyle w:val="13"/>
              <w:spacing w:before="1" w:line="360" w:lineRule="auto"/>
              <w:ind w:left="113" w:right="83"/>
              <w:rPr>
                <w:rFonts w:hint="eastAsia" w:ascii="Times New Roman" w:eastAsia="Times New Roman"/>
                <w:spacing w:val="-2"/>
                <w:sz w:val="21"/>
                <w:szCs w:val="21"/>
              </w:rPr>
            </w:pPr>
            <w:r>
              <w:rPr>
                <w:rFonts w:hint="eastAsia" w:ascii="Times New Roman" w:eastAsia="Times New Roman"/>
                <w:spacing w:val="-2"/>
                <w:sz w:val="21"/>
                <w:szCs w:val="21"/>
              </w:rPr>
              <w:t>当两家及以上投标人在标段中的综合得分相等时，若评标价不相等，以评标价较低者优先；当两家及以上投标人在标段中的综合得分相等且评标价也相等时，推荐顺序则依次依据商务文件部分得分、技术文件部分得分由高到低的顺序进行确定；如果技术文件部分得分也相等时，则由评标委员会根据投标文件的编制情况投票确定其推荐顺序。</w:t>
            </w:r>
          </w:p>
          <w:p w14:paraId="12B6123A">
            <w:pPr>
              <w:pStyle w:val="13"/>
              <w:spacing w:before="1" w:line="360" w:lineRule="auto"/>
              <w:ind w:left="113" w:right="83"/>
              <w:rPr>
                <w:rFonts w:hint="eastAsia" w:ascii="Times New Roman" w:eastAsia="Times New Roman"/>
                <w:spacing w:val="-2"/>
                <w:sz w:val="21"/>
                <w:szCs w:val="21"/>
              </w:rPr>
            </w:pPr>
            <w:r>
              <w:rPr>
                <w:rFonts w:hint="default" w:ascii="Times New Roman" w:hAnsi="Times New Roman" w:eastAsia="Times New Roman" w:cs="Times New Roman"/>
                <w:spacing w:val="-2"/>
                <w:sz w:val="21"/>
                <w:szCs w:val="21"/>
              </w:rPr>
              <w:t>1</w:t>
            </w:r>
            <w:r>
              <w:rPr>
                <w:rFonts w:hint="eastAsia" w:ascii="Times New Roman" w:eastAsia="Times New Roman"/>
                <w:spacing w:val="-2"/>
                <w:sz w:val="21"/>
                <w:szCs w:val="21"/>
              </w:rPr>
              <w:t>.</w:t>
            </w:r>
            <w:r>
              <w:rPr>
                <w:rFonts w:hint="default" w:ascii="Times New Roman" w:hAnsi="Times New Roman" w:eastAsia="Times New Roman" w:cs="Times New Roman"/>
                <w:spacing w:val="-2"/>
                <w:sz w:val="21"/>
                <w:szCs w:val="21"/>
              </w:rPr>
              <w:t>4</w:t>
            </w:r>
            <w:r>
              <w:rPr>
                <w:rFonts w:hint="eastAsia" w:ascii="Times New Roman" w:eastAsia="Times New Roman"/>
                <w:spacing w:val="-2"/>
                <w:sz w:val="21"/>
                <w:szCs w:val="21"/>
              </w:rPr>
              <w:t xml:space="preserve">某一标段通过第一个信封评审且参与第二个信封开标的投标人在 </w:t>
            </w:r>
            <w:r>
              <w:rPr>
                <w:rFonts w:hint="default" w:ascii="Times New Roman" w:hAnsi="Times New Roman" w:eastAsia="Times New Roman" w:cs="Times New Roman"/>
                <w:spacing w:val="-2"/>
                <w:sz w:val="21"/>
                <w:szCs w:val="21"/>
              </w:rPr>
              <w:t>3</w:t>
            </w:r>
            <w:r>
              <w:rPr>
                <w:rFonts w:hint="eastAsia" w:ascii="Times New Roman" w:hAnsi="Times New Roman" w:eastAsia="宋体" w:cs="Times New Roman"/>
                <w:spacing w:val="-2"/>
                <w:sz w:val="21"/>
                <w:szCs w:val="21"/>
                <w:lang w:val="en-US" w:eastAsia="zh-CN"/>
              </w:rPr>
              <w:t xml:space="preserve"> </w:t>
            </w:r>
            <w:r>
              <w:rPr>
                <w:rFonts w:hint="eastAsia" w:ascii="Times New Roman" w:eastAsia="Times New Roman"/>
                <w:spacing w:val="-2"/>
                <w:sz w:val="21"/>
                <w:szCs w:val="21"/>
              </w:rPr>
              <w:t xml:space="preserve">个及以上的，招标人将按规定的程序进行第二个信封开标；在对第二个信封进行评审后，有效投标不足 </w:t>
            </w:r>
            <w:r>
              <w:rPr>
                <w:rFonts w:hint="default" w:ascii="Times New Roman" w:hAnsi="Times New Roman" w:eastAsia="Times New Roman" w:cs="Times New Roman"/>
                <w:spacing w:val="-2"/>
                <w:sz w:val="21"/>
                <w:szCs w:val="21"/>
              </w:rPr>
              <w:t>3</w:t>
            </w:r>
            <w:r>
              <w:rPr>
                <w:rFonts w:hint="eastAsia" w:ascii="Times New Roman" w:eastAsia="Times New Roman"/>
                <w:spacing w:val="-2"/>
                <w:sz w:val="21"/>
                <w:szCs w:val="21"/>
              </w:rPr>
              <w:t xml:space="preserve"> 个使得投标明显缺乏竞争的，评标委员会可以否决这一标段的全部投标。评标委员会未否决全部投标的，应当在评标报告中阐明理由并推荐这一标段中标候选人。</w:t>
            </w:r>
          </w:p>
          <w:p w14:paraId="6180ADB1">
            <w:pPr>
              <w:pStyle w:val="13"/>
              <w:spacing w:before="1" w:line="360" w:lineRule="auto"/>
              <w:ind w:left="113" w:right="83"/>
              <w:rPr>
                <w:spacing w:val="-5"/>
                <w:sz w:val="21"/>
                <w:szCs w:val="21"/>
              </w:rPr>
            </w:pPr>
            <w:r>
              <w:rPr>
                <w:rFonts w:hint="eastAsia" w:ascii="Times New Roman" w:eastAsia="Times New Roman"/>
                <w:spacing w:val="-2"/>
                <w:sz w:val="21"/>
                <w:szCs w:val="21"/>
              </w:rPr>
              <w:t xml:space="preserve">某一标段通过第一个信封评审且参与第二个信封开标的投标人少于 </w:t>
            </w:r>
            <w:r>
              <w:rPr>
                <w:rFonts w:hint="default" w:ascii="Times New Roman" w:hAnsi="Times New Roman" w:eastAsia="Times New Roman" w:cs="Times New Roman"/>
                <w:spacing w:val="-2"/>
                <w:sz w:val="21"/>
                <w:szCs w:val="21"/>
              </w:rPr>
              <w:t>3</w:t>
            </w:r>
            <w:r>
              <w:rPr>
                <w:rFonts w:hint="eastAsia" w:ascii="Times New Roman" w:hAnsi="Times New Roman" w:eastAsia="宋体" w:cs="Times New Roman"/>
                <w:spacing w:val="-2"/>
                <w:sz w:val="21"/>
                <w:szCs w:val="21"/>
                <w:lang w:val="en-US" w:eastAsia="zh-CN"/>
              </w:rPr>
              <w:t xml:space="preserve"> </w:t>
            </w:r>
            <w:r>
              <w:rPr>
                <w:rFonts w:hint="eastAsia" w:ascii="Times New Roman" w:eastAsia="Times New Roman"/>
                <w:spacing w:val="-2"/>
                <w:sz w:val="21"/>
                <w:szCs w:val="21"/>
              </w:rPr>
              <w:t>个的，评标委员会可以否决这一标段全部投标；未否决这一标段全部投标的，评标委员会应当在评标报告中阐明理由，招标人将按规定的程序进行第二个信封（报价文件）开标，但评标委员会在进行第二个信封评审时仍有权否决这一标段全部投标；评标委员会未在第二个信封评审时否决全部投标的，应当在评标报告中阐明理由并推荐这一标段中标候选人。</w:t>
            </w:r>
          </w:p>
        </w:tc>
      </w:tr>
    </w:tbl>
    <w:p w14:paraId="0DB678B4">
      <w:pPr>
        <w:spacing w:after="0" w:line="400" w:lineRule="atLeast"/>
        <w:rPr>
          <w:sz w:val="21"/>
          <w:szCs w:val="21"/>
        </w:rPr>
        <w:sectPr>
          <w:pgSz w:w="11910" w:h="16850"/>
          <w:pgMar w:top="960" w:right="1062" w:bottom="900" w:left="1080" w:header="1077" w:footer="719" w:gutter="0"/>
          <w:pgBorders>
            <w:top w:val="none" w:sz="0" w:space="0"/>
            <w:left w:val="none" w:sz="0" w:space="0"/>
            <w:bottom w:val="none" w:sz="0" w:space="0"/>
            <w:right w:val="none" w:sz="0" w:space="0"/>
          </w:pgBorders>
          <w:pgNumType w:fmt="decimal"/>
          <w:cols w:space="720" w:num="1"/>
        </w:sectPr>
      </w:pPr>
    </w:p>
    <w:p w14:paraId="020EDC36">
      <w:pPr>
        <w:pStyle w:val="6"/>
        <w:spacing w:before="71"/>
        <w:rPr>
          <w:rFonts w:ascii="Microsoft JhengHei"/>
          <w:b/>
          <w:sz w:val="21"/>
          <w:szCs w:val="21"/>
        </w:rPr>
      </w:pPr>
    </w:p>
    <w:tbl>
      <w:tblPr>
        <w:tblStyle w:val="11"/>
        <w:tblW w:w="0" w:type="auto"/>
        <w:tblInd w:w="2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0"/>
        <w:gridCol w:w="8329"/>
      </w:tblGrid>
      <w:tr w14:paraId="656B7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7" w:hRule="atLeast"/>
        </w:trPr>
        <w:tc>
          <w:tcPr>
            <w:tcW w:w="960" w:type="dxa"/>
            <w:tcBorders>
              <w:top w:val="single" w:color="000000" w:sz="2" w:space="0"/>
              <w:right w:val="single" w:color="000000" w:sz="2" w:space="0"/>
            </w:tcBorders>
          </w:tcPr>
          <w:p w14:paraId="0144E0A3">
            <w:pPr>
              <w:pStyle w:val="13"/>
              <w:rPr>
                <w:rFonts w:ascii="Microsoft JhengHei"/>
                <w:b/>
                <w:sz w:val="21"/>
                <w:szCs w:val="21"/>
              </w:rPr>
            </w:pPr>
          </w:p>
          <w:p w14:paraId="2F7ED902">
            <w:pPr>
              <w:pStyle w:val="13"/>
              <w:spacing w:before="286"/>
              <w:rPr>
                <w:rFonts w:ascii="Microsoft JhengHei"/>
                <w:b/>
                <w:sz w:val="21"/>
                <w:szCs w:val="21"/>
              </w:rPr>
            </w:pPr>
          </w:p>
          <w:p w14:paraId="066AD695">
            <w:pPr>
              <w:pStyle w:val="13"/>
              <w:ind w:left="12"/>
              <w:jc w:val="center"/>
              <w:rPr>
                <w:rFonts w:ascii="Times New Roman"/>
                <w:sz w:val="21"/>
                <w:szCs w:val="21"/>
              </w:rPr>
            </w:pPr>
            <w:r>
              <w:rPr>
                <w:rFonts w:hint="default" w:ascii="Times New Roman" w:hAnsi="Times New Roman" w:cs="Times New Roman"/>
                <w:spacing w:val="-10"/>
                <w:sz w:val="21"/>
                <w:szCs w:val="21"/>
              </w:rPr>
              <w:t>3</w:t>
            </w:r>
          </w:p>
        </w:tc>
        <w:tc>
          <w:tcPr>
            <w:tcW w:w="8329" w:type="dxa"/>
            <w:tcBorders>
              <w:top w:val="single" w:color="000000" w:sz="2" w:space="0"/>
              <w:left w:val="single" w:color="000000" w:sz="2" w:space="0"/>
            </w:tcBorders>
          </w:tcPr>
          <w:p w14:paraId="2268B1A9">
            <w:pPr>
              <w:pStyle w:val="13"/>
              <w:spacing w:before="94"/>
              <w:ind w:left="588"/>
              <w:jc w:val="left"/>
              <w:rPr>
                <w:sz w:val="21"/>
                <w:szCs w:val="21"/>
              </w:rPr>
            </w:pPr>
            <w:r>
              <w:rPr>
                <w:spacing w:val="-27"/>
                <w:sz w:val="21"/>
                <w:szCs w:val="21"/>
              </w:rPr>
              <w:t xml:space="preserve">第 </w:t>
            </w:r>
            <w:r>
              <w:rPr>
                <w:rFonts w:hint="default" w:ascii="Times New Roman" w:hAnsi="Times New Roman" w:eastAsia="Times New Roman" w:cs="Times New Roman"/>
                <w:sz w:val="21"/>
                <w:szCs w:val="21"/>
              </w:rPr>
              <w:t>3</w:t>
            </w:r>
            <w:r>
              <w:rPr>
                <w:rFonts w:ascii="Times New Roman" w:eastAsia="Times New Roman"/>
                <w:sz w:val="21"/>
                <w:szCs w:val="21"/>
              </w:rPr>
              <w:t>.</w:t>
            </w:r>
            <w:r>
              <w:rPr>
                <w:rFonts w:hint="default" w:ascii="Times New Roman" w:hAnsi="Times New Roman" w:eastAsia="Times New Roman" w:cs="Times New Roman"/>
                <w:sz w:val="21"/>
                <w:szCs w:val="21"/>
              </w:rPr>
              <w:t>4</w:t>
            </w:r>
            <w:r>
              <w:rPr>
                <w:rFonts w:ascii="Times New Roman" w:eastAsia="Times New Roman"/>
                <w:spacing w:val="-9"/>
                <w:sz w:val="21"/>
                <w:szCs w:val="21"/>
              </w:rPr>
              <w:t xml:space="preserve"> </w:t>
            </w:r>
            <w:r>
              <w:rPr>
                <w:spacing w:val="-2"/>
                <w:sz w:val="21"/>
                <w:szCs w:val="21"/>
              </w:rPr>
              <w:t>款细化为：</w:t>
            </w:r>
          </w:p>
          <w:p w14:paraId="5126650C">
            <w:pPr>
              <w:pStyle w:val="13"/>
              <w:numPr>
                <w:ilvl w:val="2"/>
                <w:numId w:val="3"/>
              </w:numPr>
              <w:tabs>
                <w:tab w:val="left" w:pos="1059"/>
              </w:tabs>
              <w:spacing w:before="111" w:after="0" w:line="240" w:lineRule="auto"/>
              <w:ind w:left="1059" w:right="0" w:hanging="471"/>
              <w:jc w:val="left"/>
              <w:rPr>
                <w:sz w:val="21"/>
                <w:szCs w:val="21"/>
              </w:rPr>
            </w:pPr>
            <w:r>
              <w:rPr>
                <w:spacing w:val="-6"/>
                <w:sz w:val="21"/>
                <w:szCs w:val="21"/>
              </w:rPr>
              <w:t xml:space="preserve">评标委员会按照本章第 </w:t>
            </w:r>
            <w:r>
              <w:rPr>
                <w:rFonts w:hint="default" w:ascii="Times New Roman" w:hAnsi="Times New Roman" w:eastAsia="Times New Roman" w:cs="Times New Roman"/>
                <w:spacing w:val="-2"/>
                <w:sz w:val="21"/>
                <w:szCs w:val="21"/>
              </w:rPr>
              <w:t>1</w:t>
            </w:r>
            <w:r>
              <w:rPr>
                <w:rFonts w:ascii="Times New Roman" w:eastAsia="Times New Roman"/>
                <w:spacing w:val="8"/>
                <w:sz w:val="21"/>
                <w:szCs w:val="21"/>
              </w:rPr>
              <w:t xml:space="preserve"> </w:t>
            </w:r>
            <w:r>
              <w:rPr>
                <w:spacing w:val="-3"/>
                <w:sz w:val="21"/>
                <w:szCs w:val="21"/>
              </w:rPr>
              <w:t>条评标方法的规定推荐中标候选人。</w:t>
            </w:r>
          </w:p>
          <w:p w14:paraId="427BFE9E">
            <w:pPr>
              <w:pStyle w:val="13"/>
              <w:numPr>
                <w:ilvl w:val="2"/>
                <w:numId w:val="3"/>
              </w:numPr>
              <w:tabs>
                <w:tab w:val="left" w:pos="1113"/>
              </w:tabs>
              <w:spacing w:before="112" w:after="0" w:line="338" w:lineRule="auto"/>
              <w:ind w:left="168" w:right="97" w:firstLine="420"/>
              <w:jc w:val="left"/>
              <w:rPr>
                <w:sz w:val="21"/>
                <w:szCs w:val="21"/>
              </w:rPr>
            </w:pPr>
            <w:r>
              <w:rPr>
                <w:spacing w:val="-2"/>
                <w:sz w:val="21"/>
                <w:szCs w:val="21"/>
              </w:rPr>
              <w:t>评标委员会完成评标后，应当向招标人提交书面评标报告和中标候选人名单。评标报告由评标委员会全体成员签字。对评标结论持有异议的评标委员会成员可以书面方式阐述其不同意见和理由。评标委员会成员拒绝在评标报告上签字且不陈述其不同意</w:t>
            </w:r>
          </w:p>
          <w:p w14:paraId="2B8AC683">
            <w:pPr>
              <w:pStyle w:val="13"/>
              <w:spacing w:before="3" w:line="264" w:lineRule="exact"/>
              <w:ind w:left="168"/>
              <w:jc w:val="left"/>
              <w:rPr>
                <w:sz w:val="21"/>
                <w:szCs w:val="21"/>
              </w:rPr>
            </w:pPr>
            <w:r>
              <w:rPr>
                <w:spacing w:val="-3"/>
                <w:sz w:val="21"/>
                <w:szCs w:val="21"/>
              </w:rPr>
              <w:t>见和理由的，视为同意评标结论。</w:t>
            </w:r>
          </w:p>
        </w:tc>
      </w:tr>
    </w:tbl>
    <w:p w14:paraId="6B2D9222">
      <w:pPr>
        <w:spacing w:after="0" w:line="264" w:lineRule="exact"/>
        <w:rPr>
          <w:sz w:val="21"/>
        </w:rPr>
        <w:sectPr>
          <w:pgSz w:w="11910" w:h="16850"/>
          <w:pgMar w:top="960" w:right="1062" w:bottom="900" w:left="1080" w:header="742" w:footer="719" w:gutter="0"/>
          <w:pgBorders>
            <w:top w:val="none" w:sz="0" w:space="0"/>
            <w:left w:val="none" w:sz="0" w:space="0"/>
            <w:bottom w:val="none" w:sz="0" w:space="0"/>
            <w:right w:val="none" w:sz="0" w:space="0"/>
          </w:pgBorders>
          <w:pgNumType w:fmt="decimal"/>
          <w:cols w:space="720" w:num="1"/>
        </w:sectPr>
      </w:pPr>
    </w:p>
    <w:p w14:paraId="2E7BAD5C">
      <w:pPr>
        <w:pStyle w:val="3"/>
        <w:numPr>
          <w:ilvl w:val="0"/>
          <w:numId w:val="4"/>
        </w:numPr>
        <w:tabs>
          <w:tab w:val="left" w:pos="737"/>
        </w:tabs>
        <w:spacing w:before="335" w:after="0" w:line="240" w:lineRule="auto"/>
        <w:ind w:left="737" w:right="0" w:hanging="399"/>
        <w:jc w:val="left"/>
        <w:outlineLvl w:val="1"/>
      </w:pPr>
      <w:bookmarkStart w:id="3" w:name="_Toc30841"/>
      <w:r>
        <w:rPr>
          <w:spacing w:val="-4"/>
        </w:rPr>
        <w:t>评标方法</w:t>
      </w:r>
      <w:bookmarkEnd w:id="3"/>
    </w:p>
    <w:p w14:paraId="7DA88DB0">
      <w:pPr>
        <w:pStyle w:val="6"/>
        <w:spacing w:before="490" w:line="364" w:lineRule="auto"/>
        <w:ind w:left="338" w:right="303" w:firstLine="480"/>
        <w:jc w:val="both"/>
      </w:pPr>
      <w:r>
        <w:rPr>
          <w:spacing w:val="-2"/>
        </w:rPr>
        <w:t>本次评标采用综合评估法。评标委员会对满足招标文件实质性要求的投标文件，按</w:t>
      </w:r>
      <w:r>
        <w:rPr>
          <w:spacing w:val="-6"/>
        </w:rPr>
        <w:t xml:space="preserve">照本章第 </w:t>
      </w:r>
      <w:r>
        <w:rPr>
          <w:rFonts w:hint="default" w:ascii="Times New Roman" w:hAnsi="Times New Roman" w:eastAsia="Times New Roman" w:cs="Times New Roman"/>
        </w:rPr>
        <w:t>2</w:t>
      </w:r>
      <w:r>
        <w:rPr>
          <w:rFonts w:ascii="Times New Roman" w:eastAsia="Times New Roman"/>
        </w:rPr>
        <w:t>.</w:t>
      </w:r>
      <w:r>
        <w:rPr>
          <w:rFonts w:hint="default" w:ascii="Times New Roman" w:hAnsi="Times New Roman" w:eastAsia="Times New Roman" w:cs="Times New Roman"/>
        </w:rPr>
        <w:t>2</w:t>
      </w:r>
      <w:r>
        <w:rPr>
          <w:rFonts w:ascii="Times New Roman" w:eastAsia="Times New Roman"/>
          <w:spacing w:val="-4"/>
        </w:rPr>
        <w:t xml:space="preserve"> </w:t>
      </w:r>
      <w:r>
        <w:t>款规定的评分标准进行打分，并按得分由高到低顺序推荐中标候选人，或</w:t>
      </w:r>
      <w:r>
        <w:rPr>
          <w:spacing w:val="-2"/>
        </w:rPr>
        <w:t>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49FCA435">
      <w:pPr>
        <w:pStyle w:val="3"/>
        <w:numPr>
          <w:ilvl w:val="0"/>
          <w:numId w:val="4"/>
        </w:numPr>
        <w:tabs>
          <w:tab w:val="left" w:pos="737"/>
        </w:tabs>
        <w:spacing w:before="154" w:after="0" w:line="240" w:lineRule="auto"/>
        <w:ind w:left="737" w:right="0" w:hanging="399"/>
        <w:jc w:val="left"/>
        <w:outlineLvl w:val="1"/>
      </w:pPr>
      <w:bookmarkStart w:id="4" w:name="2. 评审标准"/>
      <w:bookmarkEnd w:id="4"/>
      <w:bookmarkStart w:id="5" w:name="_Toc17119"/>
      <w:r>
        <w:rPr>
          <w:spacing w:val="-4"/>
        </w:rPr>
        <w:t>评审标准</w:t>
      </w:r>
      <w:bookmarkEnd w:id="5"/>
    </w:p>
    <w:p w14:paraId="41B51B8F">
      <w:pPr>
        <w:pStyle w:val="4"/>
        <w:numPr>
          <w:ilvl w:val="1"/>
          <w:numId w:val="4"/>
        </w:numPr>
        <w:tabs>
          <w:tab w:val="left" w:pos="966"/>
        </w:tabs>
        <w:spacing w:before="489" w:after="0" w:line="240" w:lineRule="auto"/>
        <w:ind w:left="966" w:right="0" w:hanging="491"/>
        <w:jc w:val="left"/>
        <w:outlineLvl w:val="2"/>
      </w:pPr>
      <w:bookmarkStart w:id="6" w:name="2.1 初步评审标准"/>
      <w:bookmarkEnd w:id="6"/>
      <w:bookmarkStart w:id="7" w:name="_Toc7611"/>
      <w:r>
        <w:rPr>
          <w:spacing w:val="-4"/>
        </w:rPr>
        <w:t>初步评审标准</w:t>
      </w:r>
      <w:bookmarkEnd w:id="7"/>
    </w:p>
    <w:p w14:paraId="498BE0A8">
      <w:pPr>
        <w:pStyle w:val="15"/>
        <w:numPr>
          <w:ilvl w:val="2"/>
          <w:numId w:val="4"/>
        </w:numPr>
        <w:tabs>
          <w:tab w:val="left" w:pos="1417"/>
        </w:tabs>
        <w:spacing w:before="341" w:after="0" w:line="240" w:lineRule="auto"/>
        <w:ind w:left="1417" w:right="0" w:hanging="599"/>
        <w:jc w:val="left"/>
        <w:rPr>
          <w:sz w:val="24"/>
        </w:rPr>
      </w:pPr>
      <w:r>
        <w:rPr>
          <w:spacing w:val="-1"/>
          <w:sz w:val="24"/>
        </w:rPr>
        <w:t>形式评审标准：见评标办法前附表。</w:t>
      </w:r>
    </w:p>
    <w:p w14:paraId="26FD16FA">
      <w:pPr>
        <w:pStyle w:val="15"/>
        <w:numPr>
          <w:ilvl w:val="2"/>
          <w:numId w:val="4"/>
        </w:numPr>
        <w:tabs>
          <w:tab w:val="left" w:pos="1417"/>
        </w:tabs>
        <w:spacing w:before="93" w:after="0" w:line="240" w:lineRule="auto"/>
        <w:ind w:left="1417" w:right="0" w:hanging="599"/>
        <w:jc w:val="left"/>
        <w:rPr>
          <w:sz w:val="24"/>
        </w:rPr>
      </w:pPr>
      <w:r>
        <w:rPr>
          <w:spacing w:val="-1"/>
          <w:sz w:val="24"/>
        </w:rPr>
        <w:t>资格评审标准：见评标办法前附表。</w:t>
      </w:r>
    </w:p>
    <w:p w14:paraId="47E221C1">
      <w:pPr>
        <w:pStyle w:val="15"/>
        <w:numPr>
          <w:ilvl w:val="2"/>
          <w:numId w:val="4"/>
        </w:numPr>
        <w:tabs>
          <w:tab w:val="left" w:pos="1417"/>
        </w:tabs>
        <w:spacing w:before="93" w:after="0" w:line="240" w:lineRule="auto"/>
        <w:ind w:left="1417" w:right="0" w:hanging="599"/>
        <w:jc w:val="left"/>
        <w:rPr>
          <w:sz w:val="24"/>
        </w:rPr>
      </w:pPr>
      <w:r>
        <w:rPr>
          <w:spacing w:val="-1"/>
          <w:sz w:val="24"/>
        </w:rPr>
        <w:t>响应性评审标准：见评标办法前附表。</w:t>
      </w:r>
    </w:p>
    <w:p w14:paraId="4562F00B">
      <w:pPr>
        <w:pStyle w:val="4"/>
        <w:numPr>
          <w:ilvl w:val="1"/>
          <w:numId w:val="4"/>
        </w:numPr>
        <w:tabs>
          <w:tab w:val="left" w:pos="966"/>
        </w:tabs>
        <w:spacing w:before="275" w:after="0" w:line="240" w:lineRule="auto"/>
        <w:ind w:left="966" w:right="0" w:hanging="491"/>
        <w:jc w:val="left"/>
        <w:outlineLvl w:val="2"/>
      </w:pPr>
      <w:bookmarkStart w:id="8" w:name="2.2 分值构成与评分标准"/>
      <w:bookmarkEnd w:id="8"/>
      <w:bookmarkStart w:id="9" w:name="_Toc22633"/>
      <w:r>
        <w:rPr>
          <w:spacing w:val="-3"/>
        </w:rPr>
        <w:t>分值构成与评分标准</w:t>
      </w:r>
      <w:bookmarkEnd w:id="9"/>
    </w:p>
    <w:p w14:paraId="4E53E556">
      <w:pPr>
        <w:pStyle w:val="15"/>
        <w:numPr>
          <w:ilvl w:val="2"/>
          <w:numId w:val="4"/>
        </w:numPr>
        <w:tabs>
          <w:tab w:val="left" w:pos="1417"/>
        </w:tabs>
        <w:spacing w:before="341" w:after="0" w:line="240" w:lineRule="auto"/>
        <w:ind w:left="1417" w:right="0" w:hanging="599"/>
        <w:jc w:val="left"/>
        <w:rPr>
          <w:sz w:val="24"/>
        </w:rPr>
      </w:pPr>
      <w:r>
        <w:rPr>
          <w:spacing w:val="-3"/>
          <w:sz w:val="24"/>
        </w:rPr>
        <w:t>分值构成</w:t>
      </w:r>
    </w:p>
    <w:p w14:paraId="66E34500">
      <w:pPr>
        <w:pStyle w:val="15"/>
        <w:numPr>
          <w:ilvl w:val="0"/>
          <w:numId w:val="5"/>
        </w:numPr>
        <w:tabs>
          <w:tab w:val="left" w:pos="1417"/>
        </w:tabs>
        <w:spacing w:before="94" w:after="0" w:line="240" w:lineRule="auto"/>
        <w:ind w:left="1417" w:right="0" w:hanging="599"/>
        <w:jc w:val="left"/>
        <w:rPr>
          <w:sz w:val="24"/>
        </w:rPr>
      </w:pPr>
      <w:r>
        <w:rPr>
          <w:spacing w:val="-1"/>
          <w:sz w:val="24"/>
        </w:rPr>
        <w:t>商务部分：见评标办法前附表；</w:t>
      </w:r>
    </w:p>
    <w:p w14:paraId="298A3E97">
      <w:pPr>
        <w:pStyle w:val="15"/>
        <w:numPr>
          <w:ilvl w:val="0"/>
          <w:numId w:val="5"/>
        </w:numPr>
        <w:tabs>
          <w:tab w:val="left" w:pos="1417"/>
        </w:tabs>
        <w:spacing w:before="93" w:after="0" w:line="240" w:lineRule="auto"/>
        <w:ind w:left="1417" w:right="0" w:hanging="599"/>
        <w:jc w:val="left"/>
        <w:rPr>
          <w:sz w:val="24"/>
        </w:rPr>
      </w:pPr>
      <w:r>
        <w:rPr>
          <w:spacing w:val="-1"/>
          <w:sz w:val="24"/>
        </w:rPr>
        <w:t>技术部分：见评标办法前附表；</w:t>
      </w:r>
    </w:p>
    <w:p w14:paraId="78A1E4C1">
      <w:pPr>
        <w:pStyle w:val="15"/>
        <w:numPr>
          <w:ilvl w:val="0"/>
          <w:numId w:val="5"/>
        </w:numPr>
        <w:tabs>
          <w:tab w:val="left" w:pos="1417"/>
        </w:tabs>
        <w:spacing w:before="91" w:after="0" w:line="240" w:lineRule="auto"/>
        <w:ind w:left="1417" w:right="0" w:hanging="599"/>
        <w:jc w:val="left"/>
        <w:rPr>
          <w:sz w:val="24"/>
        </w:rPr>
      </w:pPr>
      <w:r>
        <w:rPr>
          <w:spacing w:val="-1"/>
          <w:sz w:val="24"/>
        </w:rPr>
        <w:t>投标报价：见评标办法前附表；</w:t>
      </w:r>
    </w:p>
    <w:p w14:paraId="5D0C3F80">
      <w:pPr>
        <w:pStyle w:val="15"/>
        <w:numPr>
          <w:ilvl w:val="0"/>
          <w:numId w:val="5"/>
        </w:numPr>
        <w:tabs>
          <w:tab w:val="left" w:pos="1417"/>
        </w:tabs>
        <w:spacing w:before="93" w:after="0" w:line="240" w:lineRule="auto"/>
        <w:ind w:left="1417" w:right="0" w:hanging="599"/>
        <w:jc w:val="left"/>
        <w:rPr>
          <w:sz w:val="24"/>
        </w:rPr>
      </w:pPr>
      <w:r>
        <w:rPr>
          <w:spacing w:val="-1"/>
          <w:sz w:val="24"/>
        </w:rPr>
        <w:t>其他评分因素：见评标办法前附表。</w:t>
      </w:r>
    </w:p>
    <w:p w14:paraId="30F8946B">
      <w:pPr>
        <w:pStyle w:val="15"/>
        <w:numPr>
          <w:ilvl w:val="2"/>
          <w:numId w:val="4"/>
        </w:numPr>
        <w:tabs>
          <w:tab w:val="left" w:pos="1417"/>
        </w:tabs>
        <w:spacing w:before="93" w:after="0" w:line="240" w:lineRule="auto"/>
        <w:ind w:left="1417" w:right="0" w:hanging="599"/>
        <w:jc w:val="left"/>
        <w:rPr>
          <w:sz w:val="24"/>
        </w:rPr>
      </w:pPr>
      <w:r>
        <w:rPr>
          <w:spacing w:val="-2"/>
          <w:sz w:val="24"/>
        </w:rPr>
        <w:t>评标基准价计算</w:t>
      </w:r>
    </w:p>
    <w:p w14:paraId="4028097D">
      <w:pPr>
        <w:pStyle w:val="6"/>
        <w:spacing w:before="91"/>
        <w:ind w:left="818"/>
      </w:pPr>
      <w:r>
        <w:rPr>
          <w:spacing w:val="-1"/>
        </w:rPr>
        <w:t>评标基准价计算方法：见评标办法前附表。</w:t>
      </w:r>
    </w:p>
    <w:p w14:paraId="4E532151">
      <w:pPr>
        <w:pStyle w:val="15"/>
        <w:numPr>
          <w:ilvl w:val="2"/>
          <w:numId w:val="4"/>
        </w:numPr>
        <w:tabs>
          <w:tab w:val="left" w:pos="1417"/>
        </w:tabs>
        <w:spacing w:before="94" w:after="0" w:line="240" w:lineRule="auto"/>
        <w:ind w:left="1417" w:right="0" w:hanging="599"/>
        <w:jc w:val="left"/>
        <w:rPr>
          <w:sz w:val="24"/>
        </w:rPr>
      </w:pPr>
      <w:r>
        <w:rPr>
          <w:spacing w:val="-1"/>
          <w:sz w:val="24"/>
        </w:rPr>
        <w:t>投标报价的偏差率计算</w:t>
      </w:r>
    </w:p>
    <w:p w14:paraId="7902260D">
      <w:pPr>
        <w:pStyle w:val="6"/>
        <w:spacing w:before="93"/>
        <w:ind w:left="818"/>
      </w:pPr>
      <w:r>
        <w:rPr>
          <w:spacing w:val="-1"/>
        </w:rPr>
        <w:t>投标报价的偏差率计算公式：见评标办法前附表。</w:t>
      </w:r>
    </w:p>
    <w:p w14:paraId="0D6430D9">
      <w:pPr>
        <w:pStyle w:val="15"/>
        <w:numPr>
          <w:ilvl w:val="2"/>
          <w:numId w:val="4"/>
        </w:numPr>
        <w:tabs>
          <w:tab w:val="left" w:pos="1417"/>
        </w:tabs>
        <w:spacing w:before="91" w:after="0" w:line="240" w:lineRule="auto"/>
        <w:ind w:left="1417" w:right="0" w:hanging="599"/>
        <w:jc w:val="left"/>
        <w:rPr>
          <w:sz w:val="24"/>
        </w:rPr>
      </w:pPr>
      <w:r>
        <w:rPr>
          <w:spacing w:val="-3"/>
          <w:sz w:val="24"/>
        </w:rPr>
        <w:t>评分标准</w:t>
      </w:r>
    </w:p>
    <w:p w14:paraId="6BF7D078">
      <w:pPr>
        <w:pStyle w:val="15"/>
        <w:numPr>
          <w:ilvl w:val="0"/>
          <w:numId w:val="6"/>
        </w:numPr>
        <w:tabs>
          <w:tab w:val="left" w:pos="1417"/>
        </w:tabs>
        <w:spacing w:before="94" w:after="0" w:line="240" w:lineRule="auto"/>
        <w:ind w:left="1417" w:right="0" w:hanging="599"/>
        <w:jc w:val="left"/>
        <w:rPr>
          <w:sz w:val="24"/>
        </w:rPr>
      </w:pPr>
      <w:r>
        <w:rPr>
          <w:spacing w:val="-1"/>
          <w:sz w:val="24"/>
        </w:rPr>
        <w:t>商务评分标准：见评标办法前附表；</w:t>
      </w:r>
    </w:p>
    <w:p w14:paraId="13349EDE">
      <w:pPr>
        <w:pStyle w:val="15"/>
        <w:numPr>
          <w:ilvl w:val="0"/>
          <w:numId w:val="6"/>
        </w:numPr>
        <w:tabs>
          <w:tab w:val="left" w:pos="1417"/>
        </w:tabs>
        <w:spacing w:before="93" w:after="0" w:line="240" w:lineRule="auto"/>
        <w:ind w:left="1417" w:right="0" w:hanging="599"/>
        <w:jc w:val="left"/>
        <w:rPr>
          <w:sz w:val="24"/>
        </w:rPr>
      </w:pPr>
      <w:r>
        <w:rPr>
          <w:spacing w:val="-1"/>
          <w:sz w:val="24"/>
        </w:rPr>
        <w:t>技术评分标准：见评标办法前附表；</w:t>
      </w:r>
    </w:p>
    <w:p w14:paraId="42F7B887">
      <w:pPr>
        <w:pStyle w:val="15"/>
        <w:numPr>
          <w:ilvl w:val="0"/>
          <w:numId w:val="6"/>
        </w:numPr>
        <w:tabs>
          <w:tab w:val="left" w:pos="1417"/>
        </w:tabs>
        <w:spacing w:before="91" w:after="0" w:line="240" w:lineRule="auto"/>
        <w:ind w:left="1417" w:right="0" w:hanging="599"/>
        <w:jc w:val="left"/>
        <w:rPr>
          <w:sz w:val="24"/>
        </w:rPr>
      </w:pPr>
      <w:r>
        <w:rPr>
          <w:spacing w:val="-1"/>
          <w:sz w:val="24"/>
        </w:rPr>
        <w:t>投标报价评分标准：见评标办法前附表；</w:t>
      </w:r>
    </w:p>
    <w:p w14:paraId="652E4D9D">
      <w:pPr>
        <w:pStyle w:val="15"/>
        <w:numPr>
          <w:ilvl w:val="0"/>
          <w:numId w:val="6"/>
        </w:numPr>
        <w:tabs>
          <w:tab w:val="left" w:pos="1417"/>
        </w:tabs>
        <w:spacing w:before="93" w:after="0" w:line="240" w:lineRule="auto"/>
        <w:ind w:left="1417" w:right="0" w:hanging="599"/>
        <w:jc w:val="left"/>
        <w:rPr>
          <w:sz w:val="24"/>
        </w:rPr>
      </w:pPr>
      <w:r>
        <w:rPr>
          <w:spacing w:val="-1"/>
          <w:sz w:val="24"/>
        </w:rPr>
        <w:t>其他因素评分标准：见评标办法前附表。</w:t>
      </w:r>
    </w:p>
    <w:p w14:paraId="00267C26">
      <w:pPr>
        <w:spacing w:after="0" w:line="240" w:lineRule="auto"/>
        <w:jc w:val="left"/>
        <w:rPr>
          <w:sz w:val="24"/>
        </w:rPr>
        <w:sectPr>
          <w:pgSz w:w="11910" w:h="16850"/>
          <w:pgMar w:top="960" w:right="1062" w:bottom="900" w:left="1080" w:header="742" w:footer="719" w:gutter="0"/>
          <w:pgBorders>
            <w:top w:val="none" w:sz="0" w:space="0"/>
            <w:left w:val="none" w:sz="0" w:space="0"/>
            <w:bottom w:val="none" w:sz="0" w:space="0"/>
            <w:right w:val="none" w:sz="0" w:space="0"/>
          </w:pgBorders>
          <w:pgNumType w:fmt="decimal"/>
          <w:cols w:space="720" w:num="1"/>
        </w:sectPr>
      </w:pPr>
    </w:p>
    <w:p w14:paraId="302C12A3">
      <w:pPr>
        <w:pStyle w:val="3"/>
        <w:numPr>
          <w:ilvl w:val="0"/>
          <w:numId w:val="4"/>
        </w:numPr>
        <w:tabs>
          <w:tab w:val="left" w:pos="737"/>
        </w:tabs>
        <w:spacing w:before="335" w:after="0" w:line="240" w:lineRule="auto"/>
        <w:ind w:left="737" w:right="0" w:hanging="399"/>
        <w:jc w:val="left"/>
        <w:outlineLvl w:val="1"/>
      </w:pPr>
      <w:bookmarkStart w:id="10" w:name="3. 评标程序"/>
      <w:bookmarkEnd w:id="10"/>
      <w:bookmarkStart w:id="11" w:name="_Toc6731"/>
      <w:r>
        <w:rPr>
          <w:spacing w:val="-4"/>
        </w:rPr>
        <w:t>评标程序</w:t>
      </w:r>
      <w:bookmarkEnd w:id="11"/>
    </w:p>
    <w:p w14:paraId="465E5169">
      <w:pPr>
        <w:pStyle w:val="4"/>
        <w:numPr>
          <w:ilvl w:val="1"/>
          <w:numId w:val="4"/>
        </w:numPr>
        <w:tabs>
          <w:tab w:val="left" w:pos="966"/>
        </w:tabs>
        <w:spacing w:before="491" w:after="0" w:line="240" w:lineRule="auto"/>
        <w:ind w:left="966" w:right="0" w:hanging="491"/>
        <w:jc w:val="left"/>
        <w:outlineLvl w:val="2"/>
      </w:pPr>
      <w:bookmarkStart w:id="12" w:name="3.1 初步评审"/>
      <w:bookmarkEnd w:id="12"/>
      <w:bookmarkStart w:id="13" w:name="_Toc17360"/>
      <w:r>
        <w:rPr>
          <w:spacing w:val="-4"/>
        </w:rPr>
        <w:t>初步评审</w:t>
      </w:r>
      <w:bookmarkEnd w:id="13"/>
    </w:p>
    <w:p w14:paraId="613F9F43">
      <w:pPr>
        <w:pStyle w:val="15"/>
        <w:numPr>
          <w:ilvl w:val="2"/>
          <w:numId w:val="4"/>
        </w:numPr>
        <w:tabs>
          <w:tab w:val="left" w:pos="1420"/>
        </w:tabs>
        <w:spacing w:before="341" w:after="0" w:line="240" w:lineRule="auto"/>
        <w:ind w:left="1420" w:right="0" w:hanging="602"/>
        <w:jc w:val="left"/>
        <w:rPr>
          <w:sz w:val="24"/>
        </w:rPr>
      </w:pPr>
      <w:r>
        <w:rPr>
          <w:spacing w:val="-1"/>
          <w:sz w:val="24"/>
        </w:rPr>
        <w:t>评标委员会可以要求投标人提交第二章“投标人须知”规定的有关证明和证</w:t>
      </w:r>
    </w:p>
    <w:p w14:paraId="52C9F060">
      <w:pPr>
        <w:pStyle w:val="6"/>
        <w:spacing w:before="94" w:line="312" w:lineRule="auto"/>
        <w:ind w:left="338" w:right="350"/>
      </w:pPr>
      <w:r>
        <w:rPr>
          <w:spacing w:val="-3"/>
        </w:rPr>
        <w:t xml:space="preserve">件的原件，以便核验。评标委员会依据本章第 </w:t>
      </w:r>
      <w:r>
        <w:rPr>
          <w:rFonts w:hint="default" w:ascii="Times New Roman" w:hAnsi="Times New Roman" w:eastAsia="Times New Roman" w:cs="Times New Roman"/>
        </w:rPr>
        <w:t>2</w:t>
      </w:r>
      <w:r>
        <w:rPr>
          <w:rFonts w:ascii="Times New Roman" w:eastAsia="Times New Roman"/>
        </w:rPr>
        <w:t>.</w:t>
      </w:r>
      <w:r>
        <w:rPr>
          <w:rFonts w:hint="default" w:ascii="Times New Roman" w:hAnsi="Times New Roman" w:eastAsia="Times New Roman" w:cs="Times New Roman"/>
        </w:rPr>
        <w:t>1</w:t>
      </w:r>
      <w:r>
        <w:rPr>
          <w:rFonts w:ascii="Times New Roman" w:eastAsia="Times New Roman"/>
          <w:spacing w:val="-15"/>
        </w:rPr>
        <w:t xml:space="preserve"> </w:t>
      </w:r>
      <w:r>
        <w:t>款规定的标准对投标文件进行初步评</w:t>
      </w:r>
      <w:r>
        <w:rPr>
          <w:spacing w:val="-2"/>
        </w:rPr>
        <w:t>审。有一项不符合评审标准的，评标委员会应当否决其投标。</w:t>
      </w:r>
    </w:p>
    <w:p w14:paraId="3CD77545">
      <w:pPr>
        <w:pStyle w:val="15"/>
        <w:numPr>
          <w:ilvl w:val="2"/>
          <w:numId w:val="4"/>
        </w:numPr>
        <w:tabs>
          <w:tab w:val="left" w:pos="1417"/>
        </w:tabs>
        <w:spacing w:before="0" w:after="0" w:line="307" w:lineRule="exact"/>
        <w:ind w:left="1417" w:right="0" w:hanging="599"/>
        <w:jc w:val="left"/>
        <w:rPr>
          <w:sz w:val="24"/>
        </w:rPr>
      </w:pPr>
      <w:r>
        <w:rPr>
          <w:spacing w:val="-1"/>
          <w:sz w:val="24"/>
        </w:rPr>
        <w:t>投标人有以下情形之一的，评标委员会应当否决其投标：</w:t>
      </w:r>
    </w:p>
    <w:p w14:paraId="480E073F">
      <w:pPr>
        <w:pStyle w:val="15"/>
        <w:numPr>
          <w:ilvl w:val="0"/>
          <w:numId w:val="7"/>
        </w:numPr>
        <w:tabs>
          <w:tab w:val="left" w:pos="1424"/>
        </w:tabs>
        <w:spacing w:before="93" w:after="0" w:line="312" w:lineRule="auto"/>
        <w:ind w:left="338" w:right="345" w:firstLine="480"/>
        <w:jc w:val="left"/>
        <w:rPr>
          <w:sz w:val="24"/>
        </w:rPr>
      </w:pPr>
      <w:r>
        <w:rPr>
          <w:spacing w:val="-2"/>
          <w:sz w:val="24"/>
        </w:rPr>
        <w:t>投标文件没有对招标文件的实质性要求和条件作出响应，或者对招标文件的偏差超出招标文件规定的偏差范围或最高项数；</w:t>
      </w:r>
    </w:p>
    <w:p w14:paraId="4B91D2EF">
      <w:pPr>
        <w:pStyle w:val="15"/>
        <w:numPr>
          <w:ilvl w:val="0"/>
          <w:numId w:val="7"/>
        </w:numPr>
        <w:tabs>
          <w:tab w:val="left" w:pos="1417"/>
        </w:tabs>
        <w:spacing w:before="0" w:after="0" w:line="240" w:lineRule="auto"/>
        <w:ind w:left="1417" w:right="0" w:hanging="599"/>
        <w:jc w:val="left"/>
        <w:rPr>
          <w:sz w:val="24"/>
        </w:rPr>
      </w:pPr>
      <w:r>
        <w:rPr>
          <w:spacing w:val="-1"/>
          <w:sz w:val="24"/>
        </w:rPr>
        <w:t>有串通投标、弄虚作假、行贿等违法行为。</w:t>
      </w:r>
    </w:p>
    <w:p w14:paraId="5FD0A82A">
      <w:pPr>
        <w:pStyle w:val="15"/>
        <w:numPr>
          <w:ilvl w:val="2"/>
          <w:numId w:val="4"/>
        </w:numPr>
        <w:tabs>
          <w:tab w:val="left" w:pos="1420"/>
        </w:tabs>
        <w:spacing w:before="94" w:after="0" w:line="312" w:lineRule="auto"/>
        <w:ind w:left="338" w:right="353" w:firstLine="480"/>
        <w:jc w:val="both"/>
        <w:rPr>
          <w:sz w:val="24"/>
        </w:rPr>
      </w:pPr>
      <w:r>
        <w:rPr>
          <w:spacing w:val="-2"/>
          <w:sz w:val="24"/>
        </w:rPr>
        <w:t>投标报价有算术错误及其他错误的，评标委员会按以下原则要求投标人对投标报价进行修正，并要求投标人书面澄清确认。投标人拒不澄清确认的，评标委员会应当否决其投标：</w:t>
      </w:r>
    </w:p>
    <w:p w14:paraId="0A738A8B">
      <w:pPr>
        <w:pStyle w:val="15"/>
        <w:numPr>
          <w:ilvl w:val="0"/>
          <w:numId w:val="8"/>
        </w:numPr>
        <w:tabs>
          <w:tab w:val="left" w:pos="1417"/>
        </w:tabs>
        <w:spacing w:before="0" w:after="0" w:line="240" w:lineRule="auto"/>
        <w:ind w:left="1417" w:right="0" w:hanging="599"/>
        <w:jc w:val="left"/>
        <w:rPr>
          <w:sz w:val="24"/>
        </w:rPr>
      </w:pPr>
      <w:r>
        <w:rPr>
          <w:spacing w:val="-1"/>
          <w:sz w:val="24"/>
        </w:rPr>
        <w:t>投标文件中的大写金额与小写金额不一致的，以大写金额为准；</w:t>
      </w:r>
    </w:p>
    <w:p w14:paraId="74A7AAC5">
      <w:pPr>
        <w:pStyle w:val="15"/>
        <w:numPr>
          <w:ilvl w:val="0"/>
          <w:numId w:val="8"/>
        </w:numPr>
        <w:tabs>
          <w:tab w:val="left" w:pos="1424"/>
        </w:tabs>
        <w:spacing w:before="94" w:after="0" w:line="312" w:lineRule="auto"/>
        <w:ind w:left="338" w:right="345" w:firstLine="480"/>
        <w:jc w:val="left"/>
        <w:rPr>
          <w:sz w:val="24"/>
        </w:rPr>
      </w:pPr>
      <w:r>
        <w:rPr>
          <w:spacing w:val="-2"/>
          <w:sz w:val="24"/>
        </w:rPr>
        <w:t>总价金额与单价金额不一致的，以单价金额为准，但单价金额小数点有明显错误的除外；</w:t>
      </w:r>
    </w:p>
    <w:p w14:paraId="734FDE36">
      <w:pPr>
        <w:pStyle w:val="15"/>
        <w:numPr>
          <w:ilvl w:val="0"/>
          <w:numId w:val="8"/>
        </w:numPr>
        <w:tabs>
          <w:tab w:val="left" w:pos="1424"/>
        </w:tabs>
        <w:spacing w:before="0" w:after="0" w:line="312" w:lineRule="auto"/>
        <w:ind w:left="338" w:right="345" w:firstLine="480"/>
        <w:jc w:val="left"/>
        <w:rPr>
          <w:sz w:val="24"/>
        </w:rPr>
      </w:pPr>
      <w:r>
        <w:rPr>
          <w:spacing w:val="-2"/>
          <w:sz w:val="24"/>
        </w:rPr>
        <w:t>投标报价为各分项报价金额之和，投标报价与分项报价的合价不一致的，应以各分项合价累计数为准，修正投标报价；</w:t>
      </w:r>
    </w:p>
    <w:p w14:paraId="4859104E">
      <w:pPr>
        <w:pStyle w:val="15"/>
        <w:numPr>
          <w:ilvl w:val="0"/>
          <w:numId w:val="8"/>
        </w:numPr>
        <w:tabs>
          <w:tab w:val="left" w:pos="1393"/>
        </w:tabs>
        <w:spacing w:before="0" w:after="0" w:line="240" w:lineRule="auto"/>
        <w:ind w:left="1393" w:right="0" w:hanging="575"/>
        <w:jc w:val="left"/>
        <w:rPr>
          <w:sz w:val="24"/>
        </w:rPr>
      </w:pPr>
      <w:r>
        <w:rPr>
          <w:spacing w:val="-3"/>
          <w:sz w:val="24"/>
        </w:rPr>
        <w:t>如果分项报价中存在缺漏项，则视为缺漏项价格已包含在其他分项报价之中。</w:t>
      </w:r>
    </w:p>
    <w:p w14:paraId="7F9885BA">
      <w:pPr>
        <w:pStyle w:val="4"/>
        <w:numPr>
          <w:ilvl w:val="1"/>
          <w:numId w:val="4"/>
        </w:numPr>
        <w:tabs>
          <w:tab w:val="left" w:pos="966"/>
        </w:tabs>
        <w:spacing w:before="273" w:after="0" w:line="240" w:lineRule="auto"/>
        <w:ind w:left="966" w:right="0" w:hanging="491"/>
        <w:jc w:val="left"/>
        <w:outlineLvl w:val="2"/>
      </w:pPr>
      <w:bookmarkStart w:id="14" w:name="3.2 详细评审"/>
      <w:bookmarkEnd w:id="14"/>
      <w:bookmarkStart w:id="15" w:name="_Toc27377"/>
      <w:r>
        <w:rPr>
          <w:spacing w:val="-4"/>
        </w:rPr>
        <w:t>详细评审</w:t>
      </w:r>
      <w:bookmarkEnd w:id="15"/>
    </w:p>
    <w:p w14:paraId="39811CDA">
      <w:pPr>
        <w:pStyle w:val="15"/>
        <w:numPr>
          <w:ilvl w:val="2"/>
          <w:numId w:val="4"/>
        </w:numPr>
        <w:tabs>
          <w:tab w:val="left" w:pos="1417"/>
        </w:tabs>
        <w:spacing w:before="344" w:after="0" w:line="312" w:lineRule="auto"/>
        <w:ind w:left="338" w:right="350" w:firstLine="480"/>
        <w:jc w:val="left"/>
        <w:rPr>
          <w:sz w:val="24"/>
        </w:rPr>
      </w:pPr>
      <w:r>
        <w:rPr>
          <w:spacing w:val="-6"/>
          <w:sz w:val="24"/>
        </w:rPr>
        <w:t xml:space="preserve">评标委员会按本章第 </w:t>
      </w:r>
      <w:r>
        <w:rPr>
          <w:rFonts w:hint="default" w:ascii="Times New Roman" w:hAnsi="Times New Roman" w:eastAsia="Times New Roman" w:cs="Times New Roman"/>
          <w:sz w:val="24"/>
        </w:rPr>
        <w:t>2</w:t>
      </w:r>
      <w:r>
        <w:rPr>
          <w:rFonts w:ascii="Times New Roman" w:eastAsia="Times New Roman"/>
          <w:sz w:val="24"/>
        </w:rPr>
        <w:t>.</w:t>
      </w:r>
      <w:r>
        <w:rPr>
          <w:rFonts w:hint="default" w:ascii="Times New Roman" w:hAnsi="Times New Roman" w:eastAsia="Times New Roman" w:cs="Times New Roman"/>
          <w:sz w:val="24"/>
        </w:rPr>
        <w:t>2</w:t>
      </w:r>
      <w:r>
        <w:rPr>
          <w:rFonts w:ascii="Times New Roman" w:eastAsia="Times New Roman"/>
          <w:spacing w:val="-15"/>
          <w:sz w:val="24"/>
        </w:rPr>
        <w:t xml:space="preserve"> </w:t>
      </w:r>
      <w:r>
        <w:rPr>
          <w:spacing w:val="-7"/>
          <w:sz w:val="24"/>
        </w:rPr>
        <w:t>款规定的量化因素和分值进行打分，并计算出综合评</w:t>
      </w:r>
      <w:r>
        <w:rPr>
          <w:spacing w:val="-4"/>
          <w:sz w:val="24"/>
        </w:rPr>
        <w:t>估得分。</w:t>
      </w:r>
    </w:p>
    <w:p w14:paraId="37425744">
      <w:pPr>
        <w:pStyle w:val="15"/>
        <w:numPr>
          <w:ilvl w:val="0"/>
          <w:numId w:val="9"/>
        </w:numPr>
        <w:tabs>
          <w:tab w:val="left" w:pos="1417"/>
        </w:tabs>
        <w:spacing w:before="0" w:after="0" w:line="307" w:lineRule="exact"/>
        <w:ind w:left="1417" w:right="0" w:hanging="599"/>
        <w:jc w:val="left"/>
        <w:rPr>
          <w:sz w:val="24"/>
        </w:rPr>
      </w:pPr>
      <w:r>
        <w:rPr>
          <w:spacing w:val="-12"/>
          <w:sz w:val="24"/>
        </w:rPr>
        <w:t xml:space="preserve">按本章第 </w:t>
      </w:r>
      <w:r>
        <w:rPr>
          <w:rFonts w:hint="default" w:ascii="Times New Roman" w:hAnsi="Times New Roman" w:eastAsia="Times New Roman" w:cs="Times New Roman"/>
          <w:sz w:val="24"/>
        </w:rPr>
        <w:t>2</w:t>
      </w:r>
      <w:r>
        <w:rPr>
          <w:rFonts w:ascii="Times New Roman" w:eastAsia="Times New Roman"/>
          <w:sz w:val="24"/>
        </w:rPr>
        <w:t>.</w:t>
      </w:r>
      <w:r>
        <w:rPr>
          <w:rFonts w:hint="default" w:ascii="Times New Roman" w:hAnsi="Times New Roman" w:eastAsia="Times New Roman" w:cs="Times New Roman"/>
          <w:sz w:val="24"/>
        </w:rPr>
        <w:t>2</w:t>
      </w:r>
      <w:r>
        <w:rPr>
          <w:rFonts w:ascii="Times New Roman" w:eastAsia="Times New Roman"/>
          <w:sz w:val="24"/>
        </w:rPr>
        <w:t>.</w:t>
      </w:r>
      <w:r>
        <w:rPr>
          <w:rFonts w:hint="default" w:ascii="Times New Roman" w:hAnsi="Times New Roman" w:eastAsia="Times New Roman" w:cs="Times New Roman"/>
          <w:sz w:val="24"/>
        </w:rPr>
        <w:t>4</w:t>
      </w:r>
      <w:r>
        <w:rPr>
          <w:sz w:val="24"/>
        </w:rPr>
        <w:t>（</w:t>
      </w:r>
      <w:r>
        <w:rPr>
          <w:rFonts w:hint="default" w:ascii="Times New Roman" w:hAnsi="Times New Roman" w:eastAsia="Times New Roman" w:cs="Times New Roman"/>
          <w:sz w:val="24"/>
        </w:rPr>
        <w:t>1</w:t>
      </w:r>
      <w:r>
        <w:rPr>
          <w:sz w:val="24"/>
        </w:rPr>
        <w:t>）</w:t>
      </w:r>
      <w:r>
        <w:rPr>
          <w:spacing w:val="-3"/>
          <w:sz w:val="24"/>
        </w:rPr>
        <w:t xml:space="preserve">目规定的评审因素和分值对商务部分计算出得分 </w:t>
      </w:r>
      <w:r>
        <w:rPr>
          <w:rFonts w:ascii="Times New Roman" w:eastAsia="Times New Roman"/>
          <w:spacing w:val="-5"/>
          <w:sz w:val="24"/>
        </w:rPr>
        <w:t>A</w:t>
      </w:r>
      <w:r>
        <w:rPr>
          <w:spacing w:val="-5"/>
          <w:sz w:val="24"/>
        </w:rPr>
        <w:t>；</w:t>
      </w:r>
    </w:p>
    <w:p w14:paraId="70339CD7">
      <w:pPr>
        <w:pStyle w:val="15"/>
        <w:numPr>
          <w:ilvl w:val="0"/>
          <w:numId w:val="9"/>
        </w:numPr>
        <w:tabs>
          <w:tab w:val="left" w:pos="1417"/>
        </w:tabs>
        <w:spacing w:before="93" w:after="0" w:line="240" w:lineRule="auto"/>
        <w:ind w:left="1417" w:right="0" w:hanging="599"/>
        <w:jc w:val="left"/>
        <w:rPr>
          <w:sz w:val="24"/>
        </w:rPr>
      </w:pPr>
      <w:r>
        <w:rPr>
          <w:spacing w:val="-12"/>
          <w:sz w:val="24"/>
        </w:rPr>
        <w:t xml:space="preserve">按本章第 </w:t>
      </w:r>
      <w:r>
        <w:rPr>
          <w:rFonts w:hint="default" w:ascii="Times New Roman" w:hAnsi="Times New Roman" w:eastAsia="Times New Roman" w:cs="Times New Roman"/>
          <w:sz w:val="24"/>
        </w:rPr>
        <w:t>2</w:t>
      </w:r>
      <w:r>
        <w:rPr>
          <w:rFonts w:ascii="Times New Roman" w:eastAsia="Times New Roman"/>
          <w:sz w:val="24"/>
        </w:rPr>
        <w:t>.</w:t>
      </w:r>
      <w:r>
        <w:rPr>
          <w:rFonts w:hint="default" w:ascii="Times New Roman" w:hAnsi="Times New Roman" w:eastAsia="Times New Roman" w:cs="Times New Roman"/>
          <w:sz w:val="24"/>
        </w:rPr>
        <w:t>2</w:t>
      </w:r>
      <w:r>
        <w:rPr>
          <w:rFonts w:ascii="Times New Roman" w:eastAsia="Times New Roman"/>
          <w:sz w:val="24"/>
        </w:rPr>
        <w:t>.</w:t>
      </w:r>
      <w:r>
        <w:rPr>
          <w:rFonts w:hint="default" w:ascii="Times New Roman" w:hAnsi="Times New Roman" w:eastAsia="Times New Roman" w:cs="Times New Roman"/>
          <w:sz w:val="24"/>
        </w:rPr>
        <w:t>4</w:t>
      </w:r>
      <w:r>
        <w:rPr>
          <w:sz w:val="24"/>
        </w:rPr>
        <w:t>（</w:t>
      </w:r>
      <w:r>
        <w:rPr>
          <w:rFonts w:hint="default" w:ascii="Times New Roman" w:hAnsi="Times New Roman" w:eastAsia="Times New Roman" w:cs="Times New Roman"/>
          <w:sz w:val="24"/>
        </w:rPr>
        <w:t>2</w:t>
      </w:r>
      <w:r>
        <w:rPr>
          <w:sz w:val="24"/>
        </w:rPr>
        <w:t>）</w:t>
      </w:r>
      <w:r>
        <w:rPr>
          <w:spacing w:val="-3"/>
          <w:sz w:val="24"/>
        </w:rPr>
        <w:t xml:space="preserve">目规定的评审因素和分值对技术部分计算出得分 </w:t>
      </w:r>
      <w:r>
        <w:rPr>
          <w:rFonts w:ascii="Times New Roman" w:eastAsia="Times New Roman"/>
          <w:spacing w:val="-5"/>
          <w:sz w:val="24"/>
        </w:rPr>
        <w:t>B</w:t>
      </w:r>
      <w:r>
        <w:rPr>
          <w:spacing w:val="-5"/>
          <w:sz w:val="24"/>
        </w:rPr>
        <w:t>；</w:t>
      </w:r>
    </w:p>
    <w:p w14:paraId="4AB6B5DF">
      <w:pPr>
        <w:pStyle w:val="15"/>
        <w:numPr>
          <w:ilvl w:val="0"/>
          <w:numId w:val="9"/>
        </w:numPr>
        <w:tabs>
          <w:tab w:val="left" w:pos="1417"/>
        </w:tabs>
        <w:spacing w:before="94" w:after="0" w:line="240" w:lineRule="auto"/>
        <w:ind w:left="1417" w:right="0" w:hanging="599"/>
        <w:jc w:val="left"/>
        <w:rPr>
          <w:sz w:val="24"/>
        </w:rPr>
      </w:pPr>
      <w:r>
        <w:rPr>
          <w:spacing w:val="-12"/>
          <w:sz w:val="24"/>
        </w:rPr>
        <w:t xml:space="preserve">按本章第 </w:t>
      </w:r>
      <w:r>
        <w:rPr>
          <w:rFonts w:hint="default" w:ascii="Times New Roman" w:hAnsi="Times New Roman" w:eastAsia="Times New Roman" w:cs="Times New Roman"/>
          <w:sz w:val="24"/>
        </w:rPr>
        <w:t>2</w:t>
      </w:r>
      <w:r>
        <w:rPr>
          <w:rFonts w:ascii="Times New Roman" w:eastAsia="Times New Roman"/>
          <w:sz w:val="24"/>
        </w:rPr>
        <w:t>.</w:t>
      </w:r>
      <w:r>
        <w:rPr>
          <w:rFonts w:hint="default" w:ascii="Times New Roman" w:hAnsi="Times New Roman" w:eastAsia="Times New Roman" w:cs="Times New Roman"/>
          <w:sz w:val="24"/>
        </w:rPr>
        <w:t>2</w:t>
      </w:r>
      <w:r>
        <w:rPr>
          <w:rFonts w:ascii="Times New Roman" w:eastAsia="Times New Roman"/>
          <w:sz w:val="24"/>
        </w:rPr>
        <w:t>.</w:t>
      </w:r>
      <w:r>
        <w:rPr>
          <w:rFonts w:hint="default" w:ascii="Times New Roman" w:hAnsi="Times New Roman" w:eastAsia="Times New Roman" w:cs="Times New Roman"/>
          <w:sz w:val="24"/>
        </w:rPr>
        <w:t>4</w:t>
      </w:r>
      <w:r>
        <w:rPr>
          <w:sz w:val="24"/>
        </w:rPr>
        <w:t>（</w:t>
      </w:r>
      <w:r>
        <w:rPr>
          <w:rFonts w:hint="default" w:ascii="Times New Roman" w:hAnsi="Times New Roman" w:eastAsia="Times New Roman" w:cs="Times New Roman"/>
          <w:sz w:val="24"/>
        </w:rPr>
        <w:t>3</w:t>
      </w:r>
      <w:r>
        <w:rPr>
          <w:sz w:val="24"/>
        </w:rPr>
        <w:t>）</w:t>
      </w:r>
      <w:r>
        <w:rPr>
          <w:spacing w:val="-3"/>
          <w:sz w:val="24"/>
        </w:rPr>
        <w:t xml:space="preserve">目规定的评审因素和分值对投标报价计算出得分 </w:t>
      </w:r>
      <w:r>
        <w:rPr>
          <w:rFonts w:ascii="Times New Roman" w:eastAsia="Times New Roman"/>
          <w:spacing w:val="-5"/>
          <w:sz w:val="24"/>
        </w:rPr>
        <w:t>C</w:t>
      </w:r>
      <w:r>
        <w:rPr>
          <w:spacing w:val="-5"/>
          <w:sz w:val="24"/>
        </w:rPr>
        <w:t>；</w:t>
      </w:r>
    </w:p>
    <w:p w14:paraId="10F9401A">
      <w:pPr>
        <w:pStyle w:val="15"/>
        <w:numPr>
          <w:ilvl w:val="0"/>
          <w:numId w:val="9"/>
        </w:numPr>
        <w:tabs>
          <w:tab w:val="left" w:pos="1417"/>
        </w:tabs>
        <w:spacing w:before="91" w:after="0" w:line="240" w:lineRule="auto"/>
        <w:ind w:left="1417" w:right="0" w:hanging="599"/>
        <w:jc w:val="left"/>
        <w:rPr>
          <w:sz w:val="24"/>
        </w:rPr>
      </w:pPr>
      <w:r>
        <w:rPr>
          <w:spacing w:val="-7"/>
          <w:sz w:val="24"/>
        </w:rPr>
        <w:t xml:space="preserve">按本章第 </w:t>
      </w:r>
      <w:r>
        <w:rPr>
          <w:rFonts w:hint="default" w:ascii="Times New Roman" w:hAnsi="Times New Roman" w:eastAsia="Times New Roman" w:cs="Times New Roman"/>
          <w:spacing w:val="-2"/>
          <w:sz w:val="24"/>
        </w:rPr>
        <w:t>2</w:t>
      </w:r>
      <w:r>
        <w:rPr>
          <w:rFonts w:ascii="Times New Roman" w:eastAsia="Times New Roman"/>
          <w:spacing w:val="-2"/>
          <w:sz w:val="24"/>
        </w:rPr>
        <w:t>.</w:t>
      </w:r>
      <w:r>
        <w:rPr>
          <w:rFonts w:hint="default" w:ascii="Times New Roman" w:hAnsi="Times New Roman" w:eastAsia="Times New Roman" w:cs="Times New Roman"/>
          <w:spacing w:val="-2"/>
          <w:sz w:val="24"/>
        </w:rPr>
        <w:t>2</w:t>
      </w:r>
      <w:r>
        <w:rPr>
          <w:rFonts w:ascii="Times New Roman" w:eastAsia="Times New Roman"/>
          <w:spacing w:val="-2"/>
          <w:sz w:val="24"/>
        </w:rPr>
        <w:t>.</w:t>
      </w:r>
      <w:r>
        <w:rPr>
          <w:rFonts w:hint="default" w:ascii="Times New Roman" w:hAnsi="Times New Roman" w:eastAsia="Times New Roman" w:cs="Times New Roman"/>
          <w:spacing w:val="-2"/>
          <w:sz w:val="24"/>
        </w:rPr>
        <w:t>4</w:t>
      </w:r>
      <w:r>
        <w:rPr>
          <w:spacing w:val="-2"/>
          <w:sz w:val="24"/>
        </w:rPr>
        <w:t>（</w:t>
      </w:r>
      <w:r>
        <w:rPr>
          <w:rFonts w:hint="default" w:ascii="Times New Roman" w:hAnsi="Times New Roman" w:eastAsia="Times New Roman" w:cs="Times New Roman"/>
          <w:spacing w:val="-2"/>
          <w:sz w:val="24"/>
        </w:rPr>
        <w:t>4</w:t>
      </w:r>
      <w:r>
        <w:rPr>
          <w:spacing w:val="-2"/>
          <w:sz w:val="24"/>
        </w:rPr>
        <w:t>）</w:t>
      </w:r>
      <w:r>
        <w:rPr>
          <w:spacing w:val="-4"/>
          <w:sz w:val="24"/>
        </w:rPr>
        <w:t xml:space="preserve">目规定的评审因素和分值对其他部分计算出得分 </w:t>
      </w:r>
      <w:r>
        <w:rPr>
          <w:rFonts w:ascii="Times New Roman" w:eastAsia="Times New Roman"/>
          <w:spacing w:val="-2"/>
          <w:sz w:val="24"/>
        </w:rPr>
        <w:t>D</w:t>
      </w:r>
      <w:r>
        <w:rPr>
          <w:rFonts w:hint="eastAsia" w:ascii="Times New Roman"/>
          <w:spacing w:val="-2"/>
          <w:sz w:val="24"/>
          <w:lang w:eastAsia="zh-CN"/>
        </w:rPr>
        <w:t>；</w:t>
      </w:r>
    </w:p>
    <w:p w14:paraId="7F45C871">
      <w:pPr>
        <w:pStyle w:val="15"/>
        <w:numPr>
          <w:ilvl w:val="2"/>
          <w:numId w:val="4"/>
        </w:numPr>
        <w:tabs>
          <w:tab w:val="left" w:pos="1417"/>
        </w:tabs>
        <w:spacing w:before="94" w:after="0" w:line="240" w:lineRule="auto"/>
        <w:ind w:left="1417" w:right="0" w:hanging="599"/>
        <w:jc w:val="left"/>
        <w:rPr>
          <w:sz w:val="24"/>
        </w:rPr>
      </w:pPr>
      <w:r>
        <w:rPr>
          <w:spacing w:val="-1"/>
          <w:sz w:val="24"/>
        </w:rPr>
        <w:t>评分分值计算保留小数点后两位，小数点后第三位“四舍五入”。</w:t>
      </w:r>
    </w:p>
    <w:p w14:paraId="0AB6954F">
      <w:pPr>
        <w:pStyle w:val="15"/>
        <w:numPr>
          <w:ilvl w:val="2"/>
          <w:numId w:val="4"/>
        </w:numPr>
        <w:tabs>
          <w:tab w:val="left" w:pos="1417"/>
        </w:tabs>
        <w:spacing w:before="93" w:after="0" w:line="240" w:lineRule="auto"/>
        <w:ind w:left="1417" w:right="0" w:hanging="599"/>
        <w:jc w:val="left"/>
        <w:rPr>
          <w:sz w:val="24"/>
        </w:rPr>
      </w:pPr>
      <w:r>
        <w:rPr>
          <w:spacing w:val="-2"/>
          <w:sz w:val="24"/>
        </w:rPr>
        <w:t>投标人得分</w:t>
      </w:r>
      <w:r>
        <w:rPr>
          <w:rFonts w:ascii="Times New Roman" w:eastAsia="Times New Roman"/>
          <w:spacing w:val="-2"/>
          <w:sz w:val="24"/>
        </w:rPr>
        <w:t>=A+B+C+D</w:t>
      </w:r>
      <w:r>
        <w:rPr>
          <w:spacing w:val="-12"/>
          <w:sz w:val="24"/>
        </w:rPr>
        <w:t>。</w:t>
      </w:r>
    </w:p>
    <w:p w14:paraId="5AFB0132">
      <w:pPr>
        <w:pStyle w:val="15"/>
        <w:numPr>
          <w:ilvl w:val="2"/>
          <w:numId w:val="4"/>
        </w:numPr>
        <w:tabs>
          <w:tab w:val="left" w:pos="1420"/>
        </w:tabs>
        <w:spacing w:before="91" w:after="0" w:line="312" w:lineRule="auto"/>
        <w:ind w:left="338" w:right="351" w:firstLine="480"/>
        <w:jc w:val="both"/>
        <w:rPr>
          <w:sz w:val="24"/>
        </w:rPr>
      </w:pPr>
      <w:r>
        <w:rPr>
          <w:spacing w:val="-2"/>
          <w:sz w:val="24"/>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B955B0B">
      <w:pPr>
        <w:spacing w:after="0" w:line="312" w:lineRule="auto"/>
        <w:jc w:val="both"/>
        <w:rPr>
          <w:sz w:val="24"/>
        </w:rPr>
        <w:sectPr>
          <w:pgSz w:w="11910" w:h="16850"/>
          <w:pgMar w:top="960" w:right="1062" w:bottom="900" w:left="1080" w:header="742" w:footer="719" w:gutter="0"/>
          <w:pgBorders>
            <w:top w:val="none" w:sz="0" w:space="0"/>
            <w:left w:val="none" w:sz="0" w:space="0"/>
            <w:bottom w:val="none" w:sz="0" w:space="0"/>
            <w:right w:val="none" w:sz="0" w:space="0"/>
          </w:pgBorders>
          <w:pgNumType w:fmt="decimal"/>
          <w:cols w:space="720" w:num="1"/>
        </w:sectPr>
      </w:pPr>
    </w:p>
    <w:p w14:paraId="2B71FC4A">
      <w:pPr>
        <w:pStyle w:val="6"/>
        <w:spacing w:before="81"/>
        <w:rPr>
          <w:sz w:val="28"/>
        </w:rPr>
      </w:pPr>
    </w:p>
    <w:p w14:paraId="6A0165ED">
      <w:pPr>
        <w:pStyle w:val="4"/>
        <w:numPr>
          <w:ilvl w:val="1"/>
          <w:numId w:val="4"/>
        </w:numPr>
        <w:tabs>
          <w:tab w:val="left" w:pos="966"/>
        </w:tabs>
        <w:spacing w:before="0" w:after="0" w:line="240" w:lineRule="auto"/>
        <w:ind w:left="966" w:right="0" w:hanging="491"/>
        <w:jc w:val="left"/>
        <w:outlineLvl w:val="2"/>
      </w:pPr>
      <w:bookmarkStart w:id="16" w:name="3.3 投标文件的澄清"/>
      <w:bookmarkEnd w:id="16"/>
      <w:bookmarkStart w:id="17" w:name="_Toc30445"/>
      <w:r>
        <w:rPr>
          <w:spacing w:val="-4"/>
        </w:rPr>
        <w:t>投标文件的澄清</w:t>
      </w:r>
      <w:bookmarkEnd w:id="17"/>
    </w:p>
    <w:p w14:paraId="7CC49124">
      <w:pPr>
        <w:pStyle w:val="15"/>
        <w:numPr>
          <w:ilvl w:val="2"/>
          <w:numId w:val="4"/>
        </w:numPr>
        <w:tabs>
          <w:tab w:val="left" w:pos="1420"/>
        </w:tabs>
        <w:spacing w:before="344" w:after="0" w:line="312" w:lineRule="auto"/>
        <w:ind w:left="338" w:right="301" w:firstLine="480"/>
        <w:jc w:val="both"/>
        <w:rPr>
          <w:sz w:val="24"/>
        </w:rPr>
      </w:pPr>
      <w:r>
        <w:rPr>
          <w:spacing w:val="-2"/>
          <w:sz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E951944">
      <w:pPr>
        <w:pStyle w:val="15"/>
        <w:numPr>
          <w:ilvl w:val="2"/>
          <w:numId w:val="4"/>
        </w:numPr>
        <w:tabs>
          <w:tab w:val="left" w:pos="1420"/>
        </w:tabs>
        <w:spacing w:before="2" w:after="0" w:line="312" w:lineRule="auto"/>
        <w:ind w:left="338" w:right="358" w:firstLine="480"/>
        <w:jc w:val="both"/>
        <w:rPr>
          <w:sz w:val="24"/>
        </w:rPr>
      </w:pPr>
      <w:r>
        <w:rPr>
          <w:spacing w:val="-2"/>
          <w:sz w:val="24"/>
        </w:rPr>
        <w:t>澄清、说明或补正不得超出投标文件的范围且不得改变投标文件的实质性内容，并构成投标文件的组成部分。</w:t>
      </w:r>
    </w:p>
    <w:p w14:paraId="0103EA7B">
      <w:pPr>
        <w:pStyle w:val="15"/>
        <w:numPr>
          <w:ilvl w:val="2"/>
          <w:numId w:val="4"/>
        </w:numPr>
        <w:tabs>
          <w:tab w:val="left" w:pos="1420"/>
        </w:tabs>
        <w:spacing w:before="0" w:after="0" w:line="312" w:lineRule="auto"/>
        <w:ind w:left="338" w:right="358" w:firstLine="480"/>
        <w:jc w:val="both"/>
        <w:rPr>
          <w:sz w:val="24"/>
        </w:rPr>
      </w:pPr>
      <w:r>
        <w:rPr>
          <w:spacing w:val="-2"/>
          <w:sz w:val="24"/>
        </w:rPr>
        <w:t>评标委员会对投标人提交的澄清、说明或补正有疑问的，可以要求投标人进一步澄清、说明或补正，直至满足评标委员会的要求。</w:t>
      </w:r>
    </w:p>
    <w:p w14:paraId="17705749">
      <w:pPr>
        <w:pStyle w:val="4"/>
        <w:numPr>
          <w:ilvl w:val="1"/>
          <w:numId w:val="4"/>
        </w:numPr>
        <w:tabs>
          <w:tab w:val="left" w:pos="966"/>
        </w:tabs>
        <w:spacing w:before="183" w:after="0" w:line="240" w:lineRule="auto"/>
        <w:ind w:left="966" w:right="0" w:hanging="491"/>
        <w:jc w:val="left"/>
        <w:outlineLvl w:val="2"/>
      </w:pPr>
      <w:bookmarkStart w:id="18" w:name="3.4 评标结果"/>
      <w:bookmarkEnd w:id="18"/>
      <w:bookmarkStart w:id="19" w:name="_Toc18829"/>
      <w:r>
        <w:rPr>
          <w:spacing w:val="-4"/>
        </w:rPr>
        <w:t>评标结果</w:t>
      </w:r>
      <w:bookmarkEnd w:id="19"/>
    </w:p>
    <w:p w14:paraId="322C2B6D">
      <w:pPr>
        <w:pStyle w:val="15"/>
        <w:numPr>
          <w:ilvl w:val="2"/>
          <w:numId w:val="4"/>
        </w:numPr>
        <w:tabs>
          <w:tab w:val="left" w:pos="1420"/>
        </w:tabs>
        <w:spacing w:before="341" w:after="0" w:line="360" w:lineRule="auto"/>
        <w:ind w:left="338" w:right="355" w:firstLine="480"/>
        <w:jc w:val="both"/>
        <w:rPr>
          <w:sz w:val="24"/>
        </w:rPr>
      </w:pPr>
      <w:r>
        <w:rPr>
          <w:spacing w:val="-2"/>
          <w:sz w:val="24"/>
        </w:rPr>
        <w:t>除第二章“投标人须知”前附表授权直接确定中标人外，评标委员会按照得分由高到低的顺序推荐中标候选人，并标明排序。</w:t>
      </w:r>
    </w:p>
    <w:p w14:paraId="34644565">
      <w:pPr>
        <w:pStyle w:val="15"/>
        <w:numPr>
          <w:ilvl w:val="2"/>
          <w:numId w:val="4"/>
        </w:numPr>
        <w:tabs>
          <w:tab w:val="left" w:pos="1417"/>
        </w:tabs>
        <w:spacing w:before="2" w:after="0" w:line="360" w:lineRule="auto"/>
        <w:ind w:left="1417" w:right="0" w:hanging="599"/>
        <w:jc w:val="left"/>
        <w:rPr>
          <w:sz w:val="24"/>
        </w:rPr>
        <w:sectPr>
          <w:pgSz w:w="11910" w:h="16850"/>
          <w:pgMar w:top="960" w:right="1062" w:bottom="900" w:left="1080" w:header="742" w:footer="719" w:gutter="0"/>
          <w:pgBorders>
            <w:top w:val="none" w:sz="0" w:space="0"/>
            <w:left w:val="none" w:sz="0" w:space="0"/>
            <w:bottom w:val="none" w:sz="0" w:space="0"/>
            <w:right w:val="none" w:sz="0" w:space="0"/>
          </w:pgBorders>
          <w:pgNumType w:fmt="decimal"/>
          <w:cols w:space="720" w:num="1"/>
        </w:sectPr>
      </w:pPr>
      <w:r>
        <w:rPr>
          <w:spacing w:val="-3"/>
          <w:sz w:val="24"/>
        </w:rPr>
        <w:t>评标委员会完成评标后，应当向招标人提交书面评标报告和中标候选人名单</w:t>
      </w:r>
      <w:r>
        <w:rPr>
          <w:rFonts w:hint="eastAsia"/>
          <w:spacing w:val="-3"/>
          <w:sz w:val="24"/>
          <w:lang w:eastAsia="zh-CN"/>
        </w:rPr>
        <w:t>。</w:t>
      </w:r>
      <w:bookmarkStart w:id="20" w:name="_GoBack"/>
      <w:bookmarkEnd w:id="20"/>
    </w:p>
    <w:p w14:paraId="34B251A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20A30"/>
    <w:multiLevelType w:val="multilevel"/>
    <w:tmpl w:val="9C620A30"/>
    <w:lvl w:ilvl="0" w:tentative="0">
      <w:start w:val="1"/>
      <w:numFmt w:val="decimal"/>
      <w:lvlText w:val="（%1）"/>
      <w:lvlJc w:val="left"/>
      <w:pPr>
        <w:ind w:left="1419" w:hanging="601"/>
        <w:jc w:val="lef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2254" w:hanging="601"/>
      </w:pPr>
      <w:rPr>
        <w:rFonts w:hint="default"/>
        <w:lang w:val="en-US" w:eastAsia="zh-CN" w:bidi="ar-SA"/>
      </w:rPr>
    </w:lvl>
    <w:lvl w:ilvl="2" w:tentative="0">
      <w:start w:val="0"/>
      <w:numFmt w:val="bullet"/>
      <w:lvlText w:val="•"/>
      <w:lvlJc w:val="left"/>
      <w:pPr>
        <w:ind w:left="3088"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57" w:hanging="601"/>
      </w:pPr>
      <w:rPr>
        <w:rFonts w:hint="default"/>
        <w:lang w:val="en-US" w:eastAsia="zh-CN" w:bidi="ar-SA"/>
      </w:rPr>
    </w:lvl>
    <w:lvl w:ilvl="5" w:tentative="0">
      <w:start w:val="0"/>
      <w:numFmt w:val="bullet"/>
      <w:lvlText w:val="•"/>
      <w:lvlJc w:val="left"/>
      <w:pPr>
        <w:ind w:left="5592" w:hanging="601"/>
      </w:pPr>
      <w:rPr>
        <w:rFonts w:hint="default"/>
        <w:lang w:val="en-US" w:eastAsia="zh-CN" w:bidi="ar-SA"/>
      </w:rPr>
    </w:lvl>
    <w:lvl w:ilvl="6" w:tentative="0">
      <w:start w:val="0"/>
      <w:numFmt w:val="bullet"/>
      <w:lvlText w:val="•"/>
      <w:lvlJc w:val="left"/>
      <w:pPr>
        <w:ind w:left="6426" w:hanging="601"/>
      </w:pPr>
      <w:rPr>
        <w:rFonts w:hint="default"/>
        <w:lang w:val="en-US" w:eastAsia="zh-CN" w:bidi="ar-SA"/>
      </w:rPr>
    </w:lvl>
    <w:lvl w:ilvl="7" w:tentative="0">
      <w:start w:val="0"/>
      <w:numFmt w:val="bullet"/>
      <w:lvlText w:val="•"/>
      <w:lvlJc w:val="left"/>
      <w:pPr>
        <w:ind w:left="7260" w:hanging="601"/>
      </w:pPr>
      <w:rPr>
        <w:rFonts w:hint="default"/>
        <w:lang w:val="en-US" w:eastAsia="zh-CN" w:bidi="ar-SA"/>
      </w:rPr>
    </w:lvl>
    <w:lvl w:ilvl="8" w:tentative="0">
      <w:start w:val="0"/>
      <w:numFmt w:val="bullet"/>
      <w:lvlText w:val="•"/>
      <w:lvlJc w:val="left"/>
      <w:pPr>
        <w:ind w:left="8095" w:hanging="601"/>
      </w:pPr>
      <w:rPr>
        <w:rFonts w:hint="default"/>
        <w:lang w:val="en-US" w:eastAsia="zh-CN" w:bidi="ar-SA"/>
      </w:rPr>
    </w:lvl>
  </w:abstractNum>
  <w:abstractNum w:abstractNumId="1">
    <w:nsid w:val="CA246818"/>
    <w:multiLevelType w:val="multilevel"/>
    <w:tmpl w:val="CA246818"/>
    <w:lvl w:ilvl="0" w:tentative="0">
      <w:start w:val="3"/>
      <w:numFmt w:val="decimal"/>
      <w:lvlText w:val="%1"/>
      <w:lvlJc w:val="left"/>
      <w:pPr>
        <w:ind w:left="1061" w:hanging="473"/>
        <w:jc w:val="left"/>
      </w:pPr>
      <w:rPr>
        <w:rFonts w:hint="default"/>
        <w:lang w:val="en-US" w:eastAsia="zh-CN" w:bidi="ar-SA"/>
      </w:rPr>
    </w:lvl>
    <w:lvl w:ilvl="1" w:tentative="0">
      <w:start w:val="4"/>
      <w:numFmt w:val="decimal"/>
      <w:lvlText w:val="%1.%2"/>
      <w:lvlJc w:val="left"/>
      <w:pPr>
        <w:ind w:left="1061" w:hanging="473"/>
        <w:jc w:val="left"/>
      </w:pPr>
      <w:rPr>
        <w:rFonts w:hint="default"/>
        <w:lang w:val="en-US" w:eastAsia="zh-CN" w:bidi="ar-SA"/>
      </w:rPr>
    </w:lvl>
    <w:lvl w:ilvl="2" w:tentative="0">
      <w:start w:val="1"/>
      <w:numFmt w:val="decimal"/>
      <w:lvlText w:val="%1.%2.%3"/>
      <w:lvlJc w:val="left"/>
      <w:pPr>
        <w:ind w:left="1061" w:hanging="473"/>
        <w:jc w:val="left"/>
      </w:pPr>
      <w:rPr>
        <w:rFonts w:hint="default" w:ascii="Times New Roman" w:hAnsi="Times New Roman" w:eastAsia="Times New Roman" w:cs="Times New Roman"/>
        <w:b w:val="0"/>
        <w:bCs w:val="0"/>
        <w:i w:val="0"/>
        <w:iCs w:val="0"/>
        <w:spacing w:val="0"/>
        <w:w w:val="100"/>
        <w:sz w:val="21"/>
        <w:szCs w:val="21"/>
        <w:lang w:val="en-US" w:eastAsia="zh-CN" w:bidi="ar-SA"/>
      </w:rPr>
    </w:lvl>
    <w:lvl w:ilvl="3" w:tentative="0">
      <w:start w:val="0"/>
      <w:numFmt w:val="bullet"/>
      <w:lvlText w:val="•"/>
      <w:lvlJc w:val="left"/>
      <w:pPr>
        <w:ind w:left="3236" w:hanging="473"/>
      </w:pPr>
      <w:rPr>
        <w:rFonts w:hint="default"/>
        <w:lang w:val="en-US" w:eastAsia="zh-CN" w:bidi="ar-SA"/>
      </w:rPr>
    </w:lvl>
    <w:lvl w:ilvl="4" w:tentative="0">
      <w:start w:val="0"/>
      <w:numFmt w:val="bullet"/>
      <w:lvlText w:val="•"/>
      <w:lvlJc w:val="left"/>
      <w:pPr>
        <w:ind w:left="3962" w:hanging="473"/>
      </w:pPr>
      <w:rPr>
        <w:rFonts w:hint="default"/>
        <w:lang w:val="en-US" w:eastAsia="zh-CN" w:bidi="ar-SA"/>
      </w:rPr>
    </w:lvl>
    <w:lvl w:ilvl="5" w:tentative="0">
      <w:start w:val="0"/>
      <w:numFmt w:val="bullet"/>
      <w:lvlText w:val="•"/>
      <w:lvlJc w:val="left"/>
      <w:pPr>
        <w:ind w:left="4688" w:hanging="473"/>
      </w:pPr>
      <w:rPr>
        <w:rFonts w:hint="default"/>
        <w:lang w:val="en-US" w:eastAsia="zh-CN" w:bidi="ar-SA"/>
      </w:rPr>
    </w:lvl>
    <w:lvl w:ilvl="6" w:tentative="0">
      <w:start w:val="0"/>
      <w:numFmt w:val="bullet"/>
      <w:lvlText w:val="•"/>
      <w:lvlJc w:val="left"/>
      <w:pPr>
        <w:ind w:left="5413" w:hanging="473"/>
      </w:pPr>
      <w:rPr>
        <w:rFonts w:hint="default"/>
        <w:lang w:val="en-US" w:eastAsia="zh-CN" w:bidi="ar-SA"/>
      </w:rPr>
    </w:lvl>
    <w:lvl w:ilvl="7" w:tentative="0">
      <w:start w:val="0"/>
      <w:numFmt w:val="bullet"/>
      <w:lvlText w:val="•"/>
      <w:lvlJc w:val="left"/>
      <w:pPr>
        <w:ind w:left="6139" w:hanging="473"/>
      </w:pPr>
      <w:rPr>
        <w:rFonts w:hint="default"/>
        <w:lang w:val="en-US" w:eastAsia="zh-CN" w:bidi="ar-SA"/>
      </w:rPr>
    </w:lvl>
    <w:lvl w:ilvl="8" w:tentative="0">
      <w:start w:val="0"/>
      <w:numFmt w:val="bullet"/>
      <w:lvlText w:val="•"/>
      <w:lvlJc w:val="left"/>
      <w:pPr>
        <w:ind w:left="6865" w:hanging="473"/>
      </w:pPr>
      <w:rPr>
        <w:rFonts w:hint="default"/>
        <w:lang w:val="en-US" w:eastAsia="zh-CN" w:bidi="ar-SA"/>
      </w:rPr>
    </w:lvl>
  </w:abstractNum>
  <w:abstractNum w:abstractNumId="2">
    <w:nsid w:val="D0ACFDB5"/>
    <w:multiLevelType w:val="multilevel"/>
    <w:tmpl w:val="D0ACFDB5"/>
    <w:lvl w:ilvl="0" w:tentative="0">
      <w:start w:val="1"/>
      <w:numFmt w:val="decimal"/>
      <w:lvlText w:val="（%1）"/>
      <w:lvlJc w:val="left"/>
      <w:pPr>
        <w:ind w:left="338" w:hanging="608"/>
        <w:jc w:val="left"/>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1282" w:hanging="608"/>
      </w:pPr>
      <w:rPr>
        <w:rFonts w:hint="default"/>
        <w:lang w:val="en-US" w:eastAsia="zh-CN" w:bidi="ar-SA"/>
      </w:rPr>
    </w:lvl>
    <w:lvl w:ilvl="2" w:tentative="0">
      <w:start w:val="0"/>
      <w:numFmt w:val="bullet"/>
      <w:lvlText w:val="•"/>
      <w:lvlJc w:val="left"/>
      <w:pPr>
        <w:ind w:left="2224" w:hanging="608"/>
      </w:pPr>
      <w:rPr>
        <w:rFonts w:hint="default"/>
        <w:lang w:val="en-US" w:eastAsia="zh-CN" w:bidi="ar-SA"/>
      </w:rPr>
    </w:lvl>
    <w:lvl w:ilvl="3" w:tentative="0">
      <w:start w:val="0"/>
      <w:numFmt w:val="bullet"/>
      <w:lvlText w:val="•"/>
      <w:lvlJc w:val="left"/>
      <w:pPr>
        <w:ind w:left="3167" w:hanging="608"/>
      </w:pPr>
      <w:rPr>
        <w:rFonts w:hint="default"/>
        <w:lang w:val="en-US" w:eastAsia="zh-CN" w:bidi="ar-SA"/>
      </w:rPr>
    </w:lvl>
    <w:lvl w:ilvl="4" w:tentative="0">
      <w:start w:val="0"/>
      <w:numFmt w:val="bullet"/>
      <w:lvlText w:val="•"/>
      <w:lvlJc w:val="left"/>
      <w:pPr>
        <w:ind w:left="4109" w:hanging="608"/>
      </w:pPr>
      <w:rPr>
        <w:rFonts w:hint="default"/>
        <w:lang w:val="en-US" w:eastAsia="zh-CN" w:bidi="ar-SA"/>
      </w:rPr>
    </w:lvl>
    <w:lvl w:ilvl="5" w:tentative="0">
      <w:start w:val="0"/>
      <w:numFmt w:val="bullet"/>
      <w:lvlText w:val="•"/>
      <w:lvlJc w:val="left"/>
      <w:pPr>
        <w:ind w:left="5052" w:hanging="608"/>
      </w:pPr>
      <w:rPr>
        <w:rFonts w:hint="default"/>
        <w:lang w:val="en-US" w:eastAsia="zh-CN" w:bidi="ar-SA"/>
      </w:rPr>
    </w:lvl>
    <w:lvl w:ilvl="6" w:tentative="0">
      <w:start w:val="0"/>
      <w:numFmt w:val="bullet"/>
      <w:lvlText w:val="•"/>
      <w:lvlJc w:val="left"/>
      <w:pPr>
        <w:ind w:left="5994" w:hanging="608"/>
      </w:pPr>
      <w:rPr>
        <w:rFonts w:hint="default"/>
        <w:lang w:val="en-US" w:eastAsia="zh-CN" w:bidi="ar-SA"/>
      </w:rPr>
    </w:lvl>
    <w:lvl w:ilvl="7" w:tentative="0">
      <w:start w:val="0"/>
      <w:numFmt w:val="bullet"/>
      <w:lvlText w:val="•"/>
      <w:lvlJc w:val="left"/>
      <w:pPr>
        <w:ind w:left="6936" w:hanging="608"/>
      </w:pPr>
      <w:rPr>
        <w:rFonts w:hint="default"/>
        <w:lang w:val="en-US" w:eastAsia="zh-CN" w:bidi="ar-SA"/>
      </w:rPr>
    </w:lvl>
    <w:lvl w:ilvl="8" w:tentative="0">
      <w:start w:val="0"/>
      <w:numFmt w:val="bullet"/>
      <w:lvlText w:val="•"/>
      <w:lvlJc w:val="left"/>
      <w:pPr>
        <w:ind w:left="7879" w:hanging="608"/>
      </w:pPr>
      <w:rPr>
        <w:rFonts w:hint="default"/>
        <w:lang w:val="en-US" w:eastAsia="zh-CN" w:bidi="ar-SA"/>
      </w:rPr>
    </w:lvl>
  </w:abstractNum>
  <w:abstractNum w:abstractNumId="3">
    <w:nsid w:val="DB0D67F0"/>
    <w:multiLevelType w:val="multilevel"/>
    <w:tmpl w:val="DB0D67F0"/>
    <w:lvl w:ilvl="0" w:tentative="0">
      <w:start w:val="1"/>
      <w:numFmt w:val="decimal"/>
      <w:lvlText w:val="%1."/>
      <w:lvlJc w:val="left"/>
      <w:pPr>
        <w:ind w:left="739" w:hanging="401"/>
        <w:jc w:val="left"/>
      </w:pPr>
      <w:rPr>
        <w:rFonts w:hint="default" w:ascii="Times New Roman" w:hAnsi="Times New Roman" w:eastAsia="Times New Roman" w:cs="Times New Roman"/>
        <w:b/>
        <w:bCs/>
        <w:i w:val="0"/>
        <w:iCs w:val="0"/>
        <w:spacing w:val="0"/>
        <w:w w:val="99"/>
        <w:sz w:val="32"/>
        <w:szCs w:val="32"/>
        <w:lang w:val="en-US" w:eastAsia="zh-CN" w:bidi="ar-SA"/>
      </w:rPr>
    </w:lvl>
    <w:lvl w:ilvl="1" w:tentative="0">
      <w:start w:val="1"/>
      <w:numFmt w:val="decimal"/>
      <w:lvlText w:val="%1.%2"/>
      <w:lvlJc w:val="left"/>
      <w:pPr>
        <w:ind w:left="967" w:hanging="492"/>
        <w:jc w:val="left"/>
      </w:pPr>
      <w:rPr>
        <w:rFonts w:hint="default" w:ascii="Times New Roman" w:hAnsi="Times New Roman" w:eastAsia="Times New Roman" w:cs="Times New Roman"/>
        <w:b w:val="0"/>
        <w:bCs w:val="0"/>
        <w:i w:val="0"/>
        <w:iCs w:val="0"/>
        <w:spacing w:val="0"/>
        <w:w w:val="100"/>
        <w:sz w:val="28"/>
        <w:szCs w:val="28"/>
        <w:lang w:val="en-US" w:eastAsia="zh-CN" w:bidi="ar-SA"/>
      </w:rPr>
    </w:lvl>
    <w:lvl w:ilvl="2" w:tentative="0">
      <w:start w:val="1"/>
      <w:numFmt w:val="decimal"/>
      <w:lvlText w:val="%1.%2.%3"/>
      <w:lvlJc w:val="left"/>
      <w:pPr>
        <w:ind w:left="1418" w:hanging="600"/>
        <w:jc w:val="left"/>
      </w:pPr>
      <w:rPr>
        <w:rFonts w:hint="default" w:ascii="Times New Roman" w:hAnsi="Times New Roman" w:eastAsia="Times New Roman" w:cs="Times New Roman"/>
        <w:b w:val="0"/>
        <w:bCs w:val="0"/>
        <w:i w:val="0"/>
        <w:iCs w:val="0"/>
        <w:spacing w:val="0"/>
        <w:w w:val="100"/>
        <w:sz w:val="24"/>
        <w:szCs w:val="24"/>
        <w:lang w:val="en-US" w:eastAsia="zh-CN" w:bidi="ar-SA"/>
      </w:rPr>
    </w:lvl>
    <w:lvl w:ilvl="3" w:tentative="0">
      <w:start w:val="0"/>
      <w:numFmt w:val="bullet"/>
      <w:lvlText w:val="•"/>
      <w:lvlJc w:val="left"/>
      <w:pPr>
        <w:ind w:left="1420" w:hanging="600"/>
      </w:pPr>
      <w:rPr>
        <w:rFonts w:hint="default"/>
        <w:lang w:val="en-US" w:eastAsia="zh-CN" w:bidi="ar-SA"/>
      </w:rPr>
    </w:lvl>
    <w:lvl w:ilvl="4" w:tentative="0">
      <w:start w:val="0"/>
      <w:numFmt w:val="bullet"/>
      <w:lvlText w:val="•"/>
      <w:lvlJc w:val="left"/>
      <w:pPr>
        <w:ind w:left="2612" w:hanging="600"/>
      </w:pPr>
      <w:rPr>
        <w:rFonts w:hint="default"/>
        <w:lang w:val="en-US" w:eastAsia="zh-CN" w:bidi="ar-SA"/>
      </w:rPr>
    </w:lvl>
    <w:lvl w:ilvl="5" w:tentative="0">
      <w:start w:val="0"/>
      <w:numFmt w:val="bullet"/>
      <w:lvlText w:val="•"/>
      <w:lvlJc w:val="left"/>
      <w:pPr>
        <w:ind w:left="3804" w:hanging="600"/>
      </w:pPr>
      <w:rPr>
        <w:rFonts w:hint="default"/>
        <w:lang w:val="en-US" w:eastAsia="zh-CN" w:bidi="ar-SA"/>
      </w:rPr>
    </w:lvl>
    <w:lvl w:ilvl="6" w:tentative="0">
      <w:start w:val="0"/>
      <w:numFmt w:val="bullet"/>
      <w:lvlText w:val="•"/>
      <w:lvlJc w:val="left"/>
      <w:pPr>
        <w:ind w:left="4996" w:hanging="600"/>
      </w:pPr>
      <w:rPr>
        <w:rFonts w:hint="default"/>
        <w:lang w:val="en-US" w:eastAsia="zh-CN" w:bidi="ar-SA"/>
      </w:rPr>
    </w:lvl>
    <w:lvl w:ilvl="7" w:tentative="0">
      <w:start w:val="0"/>
      <w:numFmt w:val="bullet"/>
      <w:lvlText w:val="•"/>
      <w:lvlJc w:val="left"/>
      <w:pPr>
        <w:ind w:left="6188" w:hanging="600"/>
      </w:pPr>
      <w:rPr>
        <w:rFonts w:hint="default"/>
        <w:lang w:val="en-US" w:eastAsia="zh-CN" w:bidi="ar-SA"/>
      </w:rPr>
    </w:lvl>
    <w:lvl w:ilvl="8" w:tentative="0">
      <w:start w:val="0"/>
      <w:numFmt w:val="bullet"/>
      <w:lvlText w:val="•"/>
      <w:lvlJc w:val="left"/>
      <w:pPr>
        <w:ind w:left="7380" w:hanging="600"/>
      </w:pPr>
      <w:rPr>
        <w:rFonts w:hint="default"/>
        <w:lang w:val="en-US" w:eastAsia="zh-CN" w:bidi="ar-SA"/>
      </w:rPr>
    </w:lvl>
  </w:abstractNum>
  <w:abstractNum w:abstractNumId="4">
    <w:nsid w:val="FF228B32"/>
    <w:multiLevelType w:val="multilevel"/>
    <w:tmpl w:val="FF228B32"/>
    <w:lvl w:ilvl="0" w:tentative="0">
      <w:start w:val="1"/>
      <w:numFmt w:val="decimal"/>
      <w:lvlText w:val="（%1）"/>
      <w:lvlJc w:val="left"/>
      <w:pPr>
        <w:ind w:left="1067"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527" w:hanging="529"/>
      </w:pPr>
      <w:rPr>
        <w:rFonts w:hint="default"/>
        <w:lang w:val="en-US" w:eastAsia="zh-CN" w:bidi="ar-SA"/>
      </w:rPr>
    </w:lvl>
    <w:lvl w:ilvl="2" w:tentative="0">
      <w:start w:val="0"/>
      <w:numFmt w:val="bullet"/>
      <w:lvlText w:val="•"/>
      <w:lvlJc w:val="left"/>
      <w:pPr>
        <w:ind w:left="1995" w:hanging="529"/>
      </w:pPr>
      <w:rPr>
        <w:rFonts w:hint="default"/>
        <w:lang w:val="en-US" w:eastAsia="zh-CN" w:bidi="ar-SA"/>
      </w:rPr>
    </w:lvl>
    <w:lvl w:ilvl="3" w:tentative="0">
      <w:start w:val="0"/>
      <w:numFmt w:val="bullet"/>
      <w:lvlText w:val="•"/>
      <w:lvlJc w:val="left"/>
      <w:pPr>
        <w:ind w:left="2462" w:hanging="529"/>
      </w:pPr>
      <w:rPr>
        <w:rFonts w:hint="default"/>
        <w:lang w:val="en-US" w:eastAsia="zh-CN" w:bidi="ar-SA"/>
      </w:rPr>
    </w:lvl>
    <w:lvl w:ilvl="4" w:tentative="0">
      <w:start w:val="0"/>
      <w:numFmt w:val="bullet"/>
      <w:lvlText w:val="•"/>
      <w:lvlJc w:val="left"/>
      <w:pPr>
        <w:ind w:left="2930" w:hanging="529"/>
      </w:pPr>
      <w:rPr>
        <w:rFonts w:hint="default"/>
        <w:lang w:val="en-US" w:eastAsia="zh-CN" w:bidi="ar-SA"/>
      </w:rPr>
    </w:lvl>
    <w:lvl w:ilvl="5" w:tentative="0">
      <w:start w:val="0"/>
      <w:numFmt w:val="bullet"/>
      <w:lvlText w:val="•"/>
      <w:lvlJc w:val="left"/>
      <w:pPr>
        <w:ind w:left="3398" w:hanging="529"/>
      </w:pPr>
      <w:rPr>
        <w:rFonts w:hint="default"/>
        <w:lang w:val="en-US" w:eastAsia="zh-CN" w:bidi="ar-SA"/>
      </w:rPr>
    </w:lvl>
    <w:lvl w:ilvl="6" w:tentative="0">
      <w:start w:val="0"/>
      <w:numFmt w:val="bullet"/>
      <w:lvlText w:val="•"/>
      <w:lvlJc w:val="left"/>
      <w:pPr>
        <w:ind w:left="3865" w:hanging="529"/>
      </w:pPr>
      <w:rPr>
        <w:rFonts w:hint="default"/>
        <w:lang w:val="en-US" w:eastAsia="zh-CN" w:bidi="ar-SA"/>
      </w:rPr>
    </w:lvl>
    <w:lvl w:ilvl="7" w:tentative="0">
      <w:start w:val="0"/>
      <w:numFmt w:val="bullet"/>
      <w:lvlText w:val="•"/>
      <w:lvlJc w:val="left"/>
      <w:pPr>
        <w:ind w:left="4333" w:hanging="529"/>
      </w:pPr>
      <w:rPr>
        <w:rFonts w:hint="default"/>
        <w:lang w:val="en-US" w:eastAsia="zh-CN" w:bidi="ar-SA"/>
      </w:rPr>
    </w:lvl>
    <w:lvl w:ilvl="8" w:tentative="0">
      <w:start w:val="0"/>
      <w:numFmt w:val="bullet"/>
      <w:lvlText w:val="•"/>
      <w:lvlJc w:val="left"/>
      <w:pPr>
        <w:ind w:left="4801" w:hanging="529"/>
      </w:pPr>
      <w:rPr>
        <w:rFonts w:hint="default"/>
        <w:lang w:val="en-US" w:eastAsia="zh-CN" w:bidi="ar-SA"/>
      </w:rPr>
    </w:lvl>
  </w:abstractNum>
  <w:abstractNum w:abstractNumId="5">
    <w:nsid w:val="0C47C555"/>
    <w:multiLevelType w:val="multilevel"/>
    <w:tmpl w:val="0C47C555"/>
    <w:lvl w:ilvl="0" w:tentative="0">
      <w:start w:val="1"/>
      <w:numFmt w:val="decimal"/>
      <w:lvlText w:val="（%1）"/>
      <w:lvlJc w:val="left"/>
      <w:pPr>
        <w:ind w:left="1419" w:hanging="601"/>
        <w:jc w:val="lef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2254" w:hanging="601"/>
      </w:pPr>
      <w:rPr>
        <w:rFonts w:hint="default"/>
        <w:lang w:val="en-US" w:eastAsia="zh-CN" w:bidi="ar-SA"/>
      </w:rPr>
    </w:lvl>
    <w:lvl w:ilvl="2" w:tentative="0">
      <w:start w:val="0"/>
      <w:numFmt w:val="bullet"/>
      <w:lvlText w:val="•"/>
      <w:lvlJc w:val="left"/>
      <w:pPr>
        <w:ind w:left="3088"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57" w:hanging="601"/>
      </w:pPr>
      <w:rPr>
        <w:rFonts w:hint="default"/>
        <w:lang w:val="en-US" w:eastAsia="zh-CN" w:bidi="ar-SA"/>
      </w:rPr>
    </w:lvl>
    <w:lvl w:ilvl="5" w:tentative="0">
      <w:start w:val="0"/>
      <w:numFmt w:val="bullet"/>
      <w:lvlText w:val="•"/>
      <w:lvlJc w:val="left"/>
      <w:pPr>
        <w:ind w:left="5592" w:hanging="601"/>
      </w:pPr>
      <w:rPr>
        <w:rFonts w:hint="default"/>
        <w:lang w:val="en-US" w:eastAsia="zh-CN" w:bidi="ar-SA"/>
      </w:rPr>
    </w:lvl>
    <w:lvl w:ilvl="6" w:tentative="0">
      <w:start w:val="0"/>
      <w:numFmt w:val="bullet"/>
      <w:lvlText w:val="•"/>
      <w:lvlJc w:val="left"/>
      <w:pPr>
        <w:ind w:left="6426" w:hanging="601"/>
      </w:pPr>
      <w:rPr>
        <w:rFonts w:hint="default"/>
        <w:lang w:val="en-US" w:eastAsia="zh-CN" w:bidi="ar-SA"/>
      </w:rPr>
    </w:lvl>
    <w:lvl w:ilvl="7" w:tentative="0">
      <w:start w:val="0"/>
      <w:numFmt w:val="bullet"/>
      <w:lvlText w:val="•"/>
      <w:lvlJc w:val="left"/>
      <w:pPr>
        <w:ind w:left="7260" w:hanging="601"/>
      </w:pPr>
      <w:rPr>
        <w:rFonts w:hint="default"/>
        <w:lang w:val="en-US" w:eastAsia="zh-CN" w:bidi="ar-SA"/>
      </w:rPr>
    </w:lvl>
    <w:lvl w:ilvl="8" w:tentative="0">
      <w:start w:val="0"/>
      <w:numFmt w:val="bullet"/>
      <w:lvlText w:val="•"/>
      <w:lvlJc w:val="left"/>
      <w:pPr>
        <w:ind w:left="8095" w:hanging="601"/>
      </w:pPr>
      <w:rPr>
        <w:rFonts w:hint="default"/>
        <w:lang w:val="en-US" w:eastAsia="zh-CN" w:bidi="ar-SA"/>
      </w:rPr>
    </w:lvl>
  </w:abstractNum>
  <w:abstractNum w:abstractNumId="6">
    <w:nsid w:val="28CDE028"/>
    <w:multiLevelType w:val="singleLevel"/>
    <w:tmpl w:val="28CDE028"/>
    <w:lvl w:ilvl="0" w:tentative="0">
      <w:start w:val="1"/>
      <w:numFmt w:val="decimal"/>
      <w:suff w:val="nothing"/>
      <w:lvlText w:val="%1、"/>
      <w:lvlJc w:val="left"/>
    </w:lvl>
  </w:abstractNum>
  <w:abstractNum w:abstractNumId="7">
    <w:nsid w:val="411FDCAB"/>
    <w:multiLevelType w:val="multilevel"/>
    <w:tmpl w:val="411FDCAB"/>
    <w:lvl w:ilvl="0" w:tentative="0">
      <w:start w:val="1"/>
      <w:numFmt w:val="decimal"/>
      <w:lvlText w:val="（%1）"/>
      <w:lvlJc w:val="left"/>
      <w:pPr>
        <w:ind w:left="1419" w:hanging="601"/>
        <w:jc w:val="lef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2254" w:hanging="601"/>
      </w:pPr>
      <w:rPr>
        <w:rFonts w:hint="default"/>
        <w:lang w:val="en-US" w:eastAsia="zh-CN" w:bidi="ar-SA"/>
      </w:rPr>
    </w:lvl>
    <w:lvl w:ilvl="2" w:tentative="0">
      <w:start w:val="0"/>
      <w:numFmt w:val="bullet"/>
      <w:lvlText w:val="•"/>
      <w:lvlJc w:val="left"/>
      <w:pPr>
        <w:ind w:left="3088"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57" w:hanging="601"/>
      </w:pPr>
      <w:rPr>
        <w:rFonts w:hint="default"/>
        <w:lang w:val="en-US" w:eastAsia="zh-CN" w:bidi="ar-SA"/>
      </w:rPr>
    </w:lvl>
    <w:lvl w:ilvl="5" w:tentative="0">
      <w:start w:val="0"/>
      <w:numFmt w:val="bullet"/>
      <w:lvlText w:val="•"/>
      <w:lvlJc w:val="left"/>
      <w:pPr>
        <w:ind w:left="5592" w:hanging="601"/>
      </w:pPr>
      <w:rPr>
        <w:rFonts w:hint="default"/>
        <w:lang w:val="en-US" w:eastAsia="zh-CN" w:bidi="ar-SA"/>
      </w:rPr>
    </w:lvl>
    <w:lvl w:ilvl="6" w:tentative="0">
      <w:start w:val="0"/>
      <w:numFmt w:val="bullet"/>
      <w:lvlText w:val="•"/>
      <w:lvlJc w:val="left"/>
      <w:pPr>
        <w:ind w:left="6426" w:hanging="601"/>
      </w:pPr>
      <w:rPr>
        <w:rFonts w:hint="default"/>
        <w:lang w:val="en-US" w:eastAsia="zh-CN" w:bidi="ar-SA"/>
      </w:rPr>
    </w:lvl>
    <w:lvl w:ilvl="7" w:tentative="0">
      <w:start w:val="0"/>
      <w:numFmt w:val="bullet"/>
      <w:lvlText w:val="•"/>
      <w:lvlJc w:val="left"/>
      <w:pPr>
        <w:ind w:left="7260" w:hanging="601"/>
      </w:pPr>
      <w:rPr>
        <w:rFonts w:hint="default"/>
        <w:lang w:val="en-US" w:eastAsia="zh-CN" w:bidi="ar-SA"/>
      </w:rPr>
    </w:lvl>
    <w:lvl w:ilvl="8" w:tentative="0">
      <w:start w:val="0"/>
      <w:numFmt w:val="bullet"/>
      <w:lvlText w:val="•"/>
      <w:lvlJc w:val="left"/>
      <w:pPr>
        <w:ind w:left="8095" w:hanging="601"/>
      </w:pPr>
      <w:rPr>
        <w:rFonts w:hint="default"/>
        <w:lang w:val="en-US" w:eastAsia="zh-CN" w:bidi="ar-SA"/>
      </w:rPr>
    </w:lvl>
  </w:abstractNum>
  <w:abstractNum w:abstractNumId="8">
    <w:nsid w:val="4873CC73"/>
    <w:multiLevelType w:val="multilevel"/>
    <w:tmpl w:val="4873CC73"/>
    <w:lvl w:ilvl="0" w:tentative="0">
      <w:start w:val="1"/>
      <w:numFmt w:val="decimal"/>
      <w:lvlText w:val="（%1）"/>
      <w:lvlJc w:val="left"/>
      <w:pPr>
        <w:ind w:left="1419" w:hanging="601"/>
        <w:jc w:val="lef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2254" w:hanging="601"/>
      </w:pPr>
      <w:rPr>
        <w:rFonts w:hint="default"/>
        <w:lang w:val="en-US" w:eastAsia="zh-CN" w:bidi="ar-SA"/>
      </w:rPr>
    </w:lvl>
    <w:lvl w:ilvl="2" w:tentative="0">
      <w:start w:val="0"/>
      <w:numFmt w:val="bullet"/>
      <w:lvlText w:val="•"/>
      <w:lvlJc w:val="left"/>
      <w:pPr>
        <w:ind w:left="3088"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57" w:hanging="601"/>
      </w:pPr>
      <w:rPr>
        <w:rFonts w:hint="default"/>
        <w:lang w:val="en-US" w:eastAsia="zh-CN" w:bidi="ar-SA"/>
      </w:rPr>
    </w:lvl>
    <w:lvl w:ilvl="5" w:tentative="0">
      <w:start w:val="0"/>
      <w:numFmt w:val="bullet"/>
      <w:lvlText w:val="•"/>
      <w:lvlJc w:val="left"/>
      <w:pPr>
        <w:ind w:left="5592" w:hanging="601"/>
      </w:pPr>
      <w:rPr>
        <w:rFonts w:hint="default"/>
        <w:lang w:val="en-US" w:eastAsia="zh-CN" w:bidi="ar-SA"/>
      </w:rPr>
    </w:lvl>
    <w:lvl w:ilvl="6" w:tentative="0">
      <w:start w:val="0"/>
      <w:numFmt w:val="bullet"/>
      <w:lvlText w:val="•"/>
      <w:lvlJc w:val="left"/>
      <w:pPr>
        <w:ind w:left="6426" w:hanging="601"/>
      </w:pPr>
      <w:rPr>
        <w:rFonts w:hint="default"/>
        <w:lang w:val="en-US" w:eastAsia="zh-CN" w:bidi="ar-SA"/>
      </w:rPr>
    </w:lvl>
    <w:lvl w:ilvl="7" w:tentative="0">
      <w:start w:val="0"/>
      <w:numFmt w:val="bullet"/>
      <w:lvlText w:val="•"/>
      <w:lvlJc w:val="left"/>
      <w:pPr>
        <w:ind w:left="7260" w:hanging="601"/>
      </w:pPr>
      <w:rPr>
        <w:rFonts w:hint="default"/>
        <w:lang w:val="en-US" w:eastAsia="zh-CN" w:bidi="ar-SA"/>
      </w:rPr>
    </w:lvl>
    <w:lvl w:ilvl="8" w:tentative="0">
      <w:start w:val="0"/>
      <w:numFmt w:val="bullet"/>
      <w:lvlText w:val="•"/>
      <w:lvlJc w:val="left"/>
      <w:pPr>
        <w:ind w:left="8095" w:hanging="601"/>
      </w:pPr>
      <w:rPr>
        <w:rFonts w:hint="default"/>
        <w:lang w:val="en-US" w:eastAsia="zh-CN" w:bidi="ar-SA"/>
      </w:rPr>
    </w:lvl>
  </w:abstractNum>
  <w:num w:numId="1">
    <w:abstractNumId w:val="6"/>
  </w:num>
  <w:num w:numId="2">
    <w:abstractNumId w:val="4"/>
  </w:num>
  <w:num w:numId="3">
    <w:abstractNumId w:val="1"/>
  </w:num>
  <w:num w:numId="4">
    <w:abstractNumId w:val="3"/>
  </w:num>
  <w:num w:numId="5">
    <w:abstractNumId w:val="5"/>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Y2JmNTg1MjM3YjljNWZiMjlkNGYwZTEwYzYxYmQifQ=="/>
  </w:docVars>
  <w:rsids>
    <w:rsidRoot w:val="00000000"/>
    <w:rsid w:val="42CD61EC"/>
    <w:rsid w:val="45795284"/>
    <w:rsid w:val="65112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1" w:semiHidden="0" w:name="heading 4"/>
    <w:lsdException w:qFormat="1" w:uiPriority="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3"/>
    <w:basedOn w:val="1"/>
    <w:next w:val="1"/>
    <w:qFormat/>
    <w:uiPriority w:val="1"/>
    <w:pPr>
      <w:spacing w:before="372"/>
      <w:jc w:val="center"/>
      <w:outlineLvl w:val="3"/>
    </w:pPr>
    <w:rPr>
      <w:rFonts w:ascii="宋体" w:hAnsi="宋体" w:eastAsia="宋体" w:cs="宋体"/>
      <w:sz w:val="42"/>
      <w:szCs w:val="42"/>
      <w:lang w:val="en-US" w:eastAsia="zh-CN" w:bidi="ar-SA"/>
    </w:rPr>
  </w:style>
  <w:style w:type="paragraph" w:styleId="3">
    <w:name w:val="heading 4"/>
    <w:basedOn w:val="1"/>
    <w:next w:val="1"/>
    <w:qFormat/>
    <w:uiPriority w:val="1"/>
    <w:pPr>
      <w:spacing w:before="335"/>
      <w:ind w:left="737" w:hanging="399"/>
      <w:outlineLvl w:val="4"/>
    </w:pPr>
    <w:rPr>
      <w:rFonts w:ascii="Microsoft JhengHei" w:hAnsi="Microsoft JhengHei" w:eastAsia="Microsoft JhengHei" w:cs="Microsoft JhengHei"/>
      <w:b/>
      <w:bCs/>
      <w:sz w:val="32"/>
      <w:szCs w:val="32"/>
      <w:lang w:val="en-US" w:eastAsia="zh-CN" w:bidi="ar-SA"/>
    </w:rPr>
  </w:style>
  <w:style w:type="paragraph" w:styleId="4">
    <w:name w:val="heading 6"/>
    <w:basedOn w:val="1"/>
    <w:next w:val="1"/>
    <w:qFormat/>
    <w:uiPriority w:val="1"/>
    <w:pPr>
      <w:ind w:left="782"/>
      <w:outlineLvl w:val="6"/>
    </w:pPr>
    <w:rPr>
      <w:rFonts w:ascii="宋体" w:hAnsi="宋体" w:eastAsia="宋体" w:cs="宋体"/>
      <w:sz w:val="28"/>
      <w:szCs w:val="28"/>
      <w:lang w:val="en-US" w:eastAsia="zh-CN" w:bidi="ar-SA"/>
    </w:rPr>
  </w:style>
  <w:style w:type="paragraph" w:styleId="5">
    <w:name w:val="heading 7"/>
    <w:basedOn w:val="1"/>
    <w:next w:val="1"/>
    <w:qFormat/>
    <w:uiPriority w:val="1"/>
    <w:pPr>
      <w:spacing w:before="50"/>
      <w:outlineLvl w:val="7"/>
    </w:pPr>
    <w:rPr>
      <w:rFonts w:ascii="Microsoft JhengHei" w:hAnsi="Microsoft JhengHei" w:eastAsia="Microsoft JhengHei" w:cs="Microsoft JhengHei"/>
      <w:b/>
      <w:bCs/>
      <w:sz w:val="24"/>
      <w:szCs w:val="24"/>
      <w:lang w:val="en-US" w:eastAsia="zh-CN" w:bidi="ar-SA"/>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6">
    <w:name w:val="Body Text"/>
    <w:basedOn w:val="1"/>
    <w:next w:val="7"/>
    <w:qFormat/>
    <w:uiPriority w:val="1"/>
    <w:rPr>
      <w:rFonts w:ascii="宋体" w:hAnsi="宋体" w:eastAsia="宋体" w:cs="宋体"/>
      <w:sz w:val="24"/>
      <w:szCs w:val="24"/>
      <w:lang w:val="en-US" w:eastAsia="zh-CN" w:bidi="ar-SA"/>
    </w:rPr>
  </w:style>
  <w:style w:type="paragraph" w:customStyle="1" w:styleId="7">
    <w:name w:val="Default"/>
    <w:basedOn w:val="1"/>
    <w:next w:val="8"/>
    <w:qFormat/>
    <w:uiPriority w:val="0"/>
    <w:pPr>
      <w:autoSpaceDE w:val="0"/>
      <w:autoSpaceDN w:val="0"/>
      <w:adjustRightInd w:val="0"/>
      <w:jc w:val="left"/>
    </w:pPr>
    <w:rPr>
      <w:rFonts w:ascii="Times New Roman" w:hAnsi="Times New Roman"/>
      <w:color w:val="000000"/>
      <w:kern w:val="0"/>
      <w:sz w:val="24"/>
    </w:rPr>
  </w:style>
  <w:style w:type="paragraph" w:customStyle="1" w:styleId="8">
    <w:name w:val="大标题"/>
    <w:basedOn w:val="1"/>
    <w:next w:val="9"/>
    <w:qFormat/>
    <w:uiPriority w:val="0"/>
    <w:pPr>
      <w:jc w:val="center"/>
    </w:pPr>
    <w:rPr>
      <w:rFonts w:ascii="Arial" w:hAnsi="Arial"/>
      <w:b/>
      <w:sz w:val="28"/>
    </w:rPr>
  </w:style>
  <w:style w:type="paragraph" w:styleId="9">
    <w:name w:val="Body Text First Indent 2"/>
    <w:basedOn w:val="10"/>
    <w:next w:val="1"/>
    <w:qFormat/>
    <w:uiPriority w:val="0"/>
    <w:pPr>
      <w:widowControl/>
      <w:ind w:firstLine="210"/>
    </w:pPr>
  </w:style>
  <w:style w:type="paragraph" w:styleId="10">
    <w:name w:val="Body Text Indent"/>
    <w:basedOn w:val="1"/>
    <w:qFormat/>
    <w:uiPriority w:val="0"/>
    <w:pPr>
      <w:spacing w:after="120"/>
      <w:ind w:left="420" w:leftChars="200"/>
    </w:pPr>
  </w:style>
  <w:style w:type="paragraph" w:customStyle="1" w:styleId="13">
    <w:name w:val="Table Paragraph"/>
    <w:basedOn w:val="1"/>
    <w:qFormat/>
    <w:uiPriority w:val="1"/>
    <w:rPr>
      <w:rFonts w:ascii="宋体" w:hAnsi="宋体" w:eastAsia="宋体" w:cs="宋体"/>
      <w:lang w:val="en-US" w:eastAsia="zh-CN" w:bidi="ar-SA"/>
    </w:rPr>
  </w:style>
  <w:style w:type="paragraph" w:customStyle="1" w:styleId="14">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15">
    <w:name w:val="List Paragraph"/>
    <w:basedOn w:val="1"/>
    <w:qFormat/>
    <w:uiPriority w:val="1"/>
    <w:pPr>
      <w:ind w:left="1417" w:hanging="599"/>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5711</Words>
  <Characters>5980</Characters>
  <Lines>0</Lines>
  <Paragraphs>0</Paragraphs>
  <TotalTime>2</TotalTime>
  <ScaleCrop>false</ScaleCrop>
  <LinksUpToDate>false</LinksUpToDate>
  <CharactersWithSpaces>6108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2024-09-26T04:09:00Z</dcterms:created>
  <dc:creator>Admin</dc:creator>
  <cp:lastModifiedBy>Admin</cp:lastModifiedBy>
  <cp:lastPrinted>2024-09-26T05:57:00Z</cp:lastPrinted>
  <dcterms:modified xsi:type="dcterms:W3CDTF">2024-10-21T04:04:15Z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F9C330ED09F84773816F7E1BF656D8E9_12</vt:lpwstr>
  </property>
</Properties>
</file>