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center"/>
        <w:rPr>
          <w:rFonts w:ascii="黑体" w:hAnsi="黑体" w:eastAsia="黑体"/>
          <w:b/>
          <w:bCs/>
          <w:sz w:val="36"/>
          <w:szCs w:val="36"/>
        </w:rPr>
      </w:pPr>
    </w:p>
    <w:p>
      <w:pPr>
        <w:widowControl/>
        <w:spacing w:line="240" w:lineRule="auto"/>
        <w:ind w:firstLine="0" w:firstLineChars="0"/>
        <w:jc w:val="center"/>
        <w:rPr>
          <w:rFonts w:ascii="黑体" w:hAnsi="黑体" w:eastAsia="黑体"/>
          <w:b/>
          <w:bCs/>
          <w:sz w:val="36"/>
          <w:szCs w:val="36"/>
        </w:rPr>
      </w:pPr>
    </w:p>
    <w:p>
      <w:pPr>
        <w:widowControl/>
        <w:spacing w:line="240" w:lineRule="auto"/>
        <w:ind w:firstLine="0" w:firstLineChars="0"/>
        <w:jc w:val="center"/>
        <w:rPr>
          <w:rFonts w:ascii="黑体" w:hAnsi="黑体" w:eastAsia="黑体"/>
          <w:b/>
          <w:bCs/>
          <w:sz w:val="36"/>
          <w:szCs w:val="36"/>
        </w:rPr>
      </w:pPr>
    </w:p>
    <w:p>
      <w:pPr>
        <w:widowControl/>
        <w:spacing w:line="240" w:lineRule="auto"/>
        <w:ind w:firstLine="0" w:firstLineChars="0"/>
        <w:jc w:val="center"/>
        <w:rPr>
          <w:rFonts w:eastAsia="黑体" w:cs="Times New Roman"/>
          <w:b/>
          <w:bCs/>
          <w:sz w:val="40"/>
          <w:szCs w:val="40"/>
        </w:rPr>
      </w:pPr>
      <w:r>
        <w:rPr>
          <w:rFonts w:eastAsia="黑体" w:cs="Times New Roman"/>
          <w:b/>
          <w:bCs/>
          <w:sz w:val="40"/>
          <w:szCs w:val="40"/>
        </w:rPr>
        <w:t>辽宁省本溪至集安高速公路本溪至桓仁（辽吉界）段</w:t>
      </w:r>
      <w:r>
        <w:rPr>
          <w:rFonts w:hint="eastAsia" w:eastAsia="黑体" w:cs="Times New Roman"/>
          <w:b/>
          <w:bCs/>
          <w:sz w:val="40"/>
          <w:szCs w:val="40"/>
        </w:rPr>
        <w:t>PPP项目、辽宁省赤峰至绥中高速公路（G4515）凌源（蒙辽界）至绥中段</w:t>
      </w:r>
      <w:r>
        <w:rPr>
          <w:rFonts w:eastAsia="黑体" w:cs="Times New Roman"/>
          <w:b/>
          <w:bCs/>
          <w:sz w:val="40"/>
          <w:szCs w:val="40"/>
        </w:rPr>
        <w:t>PPP项目</w:t>
      </w:r>
    </w:p>
    <w:p>
      <w:pPr>
        <w:widowControl/>
        <w:spacing w:line="240" w:lineRule="auto"/>
        <w:ind w:firstLine="0" w:firstLineChars="0"/>
        <w:jc w:val="center"/>
        <w:rPr>
          <w:rFonts w:ascii="黑体" w:hAnsi="黑体" w:eastAsia="黑体"/>
          <w:b/>
          <w:bCs/>
          <w:sz w:val="44"/>
          <w:szCs w:val="44"/>
        </w:rPr>
      </w:pPr>
    </w:p>
    <w:p>
      <w:pPr>
        <w:widowControl/>
        <w:spacing w:line="240" w:lineRule="auto"/>
        <w:ind w:firstLine="0" w:firstLineChars="0"/>
        <w:jc w:val="center"/>
        <w:rPr>
          <w:rFonts w:ascii="黑体" w:hAnsi="黑体" w:eastAsia="黑体"/>
          <w:b/>
          <w:bCs/>
          <w:sz w:val="44"/>
          <w:szCs w:val="44"/>
        </w:rPr>
      </w:pPr>
    </w:p>
    <w:p>
      <w:pPr>
        <w:widowControl/>
        <w:spacing w:line="240" w:lineRule="auto"/>
        <w:ind w:firstLine="0" w:firstLineChars="0"/>
        <w:jc w:val="center"/>
        <w:rPr>
          <w:rFonts w:ascii="黑体" w:hAnsi="黑体" w:eastAsia="黑体"/>
          <w:b/>
          <w:bCs/>
          <w:sz w:val="44"/>
          <w:szCs w:val="44"/>
        </w:rPr>
      </w:pPr>
    </w:p>
    <w:p>
      <w:pPr>
        <w:widowControl/>
        <w:spacing w:line="240" w:lineRule="auto"/>
        <w:ind w:firstLine="0" w:firstLineChars="0"/>
        <w:jc w:val="center"/>
        <w:rPr>
          <w:rFonts w:ascii="黑体" w:hAnsi="黑体" w:eastAsia="黑体"/>
          <w:b/>
          <w:bCs/>
          <w:sz w:val="56"/>
          <w:szCs w:val="56"/>
        </w:rPr>
      </w:pPr>
      <w:r>
        <w:rPr>
          <w:rFonts w:hint="eastAsia" w:ascii="黑体" w:hAnsi="黑体" w:eastAsia="黑体"/>
          <w:b/>
          <w:bCs/>
          <w:sz w:val="56"/>
          <w:szCs w:val="56"/>
        </w:rPr>
        <w:t>市场测试方案</w:t>
      </w: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rPr>
          <w:rFonts w:ascii="黑体" w:hAnsi="黑体" w:eastAsia="黑体"/>
          <w:sz w:val="28"/>
          <w:szCs w:val="24"/>
        </w:rPr>
      </w:pPr>
      <w:r>
        <w:rPr>
          <w:rFonts w:hint="eastAsia" w:ascii="黑体" w:hAnsi="黑体" w:eastAsia="黑体"/>
          <w:sz w:val="28"/>
          <w:szCs w:val="24"/>
        </w:rPr>
        <w:t>辽宁省交通运输厅</w:t>
      </w:r>
    </w:p>
    <w:p>
      <w:pPr>
        <w:ind w:firstLine="0" w:firstLineChars="0"/>
        <w:jc w:val="center"/>
        <w:rPr>
          <w:rFonts w:ascii="黑体" w:hAnsi="黑体" w:eastAsia="黑体"/>
          <w:sz w:val="28"/>
          <w:szCs w:val="24"/>
          <w:highlight w:val="lightGray"/>
        </w:rPr>
      </w:pPr>
      <w:r>
        <w:rPr>
          <w:rFonts w:hint="eastAsia" w:ascii="黑体" w:hAnsi="黑体" w:eastAsia="黑体"/>
          <w:sz w:val="28"/>
          <w:szCs w:val="24"/>
        </w:rPr>
        <w:t>二〇二二年一月</w:t>
      </w:r>
    </w:p>
    <w:p>
      <w:pPr>
        <w:widowControl/>
        <w:spacing w:line="240" w:lineRule="auto"/>
        <w:ind w:firstLine="0" w:firstLineChars="0"/>
        <w:jc w:val="left"/>
        <w:rPr>
          <w:color w:val="000000" w:themeColor="text1"/>
          <w:sz w:val="44"/>
          <w:szCs w:val="44"/>
          <w:highlight w:val="lightGray"/>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仿宋_GB2312" w:cstheme="minorBidi"/>
          <w:color w:val="auto"/>
          <w:kern w:val="2"/>
          <w:sz w:val="24"/>
          <w:szCs w:val="22"/>
          <w:lang w:val="zh-CN"/>
        </w:rPr>
        <w:id w:val="304438118"/>
        <w:docPartObj>
          <w:docPartGallery w:val="Table of Contents"/>
          <w:docPartUnique/>
        </w:docPartObj>
      </w:sdtPr>
      <w:sdtEndPr>
        <w:rPr>
          <w:rFonts w:ascii="Times New Roman" w:hAnsi="Times New Roman" w:eastAsia="仿宋_GB2312" w:cstheme="minorBidi"/>
          <w:b/>
          <w:bCs/>
          <w:color w:val="auto"/>
          <w:kern w:val="2"/>
          <w:sz w:val="24"/>
          <w:szCs w:val="22"/>
          <w:lang w:val="zh-CN"/>
        </w:rPr>
      </w:sdtEndPr>
      <w:sdtContent>
        <w:p>
          <w:pPr>
            <w:pStyle w:val="33"/>
            <w:ind w:firstLine="480"/>
            <w:jc w:val="center"/>
            <w:rPr>
              <w:rFonts w:ascii="方正小标宋简体" w:eastAsia="方正小标宋简体"/>
              <w:color w:val="000000" w:themeColor="text1"/>
              <w14:textFill>
                <w14:solidFill>
                  <w14:schemeClr w14:val="tx1"/>
                </w14:solidFill>
              </w14:textFill>
            </w:rPr>
          </w:pPr>
          <w:r>
            <w:rPr>
              <w:rFonts w:hint="eastAsia" w:ascii="方正小标宋简体" w:eastAsia="方正小标宋简体"/>
              <w:color w:val="000000" w:themeColor="text1"/>
              <w:lang w:val="zh-CN"/>
              <w14:textFill>
                <w14:solidFill>
                  <w14:schemeClr w14:val="tx1"/>
                </w14:solidFill>
              </w14:textFill>
            </w:rPr>
            <w:t>目 录</w:t>
          </w:r>
        </w:p>
        <w:p>
          <w:pPr>
            <w:pStyle w:val="12"/>
            <w:ind w:firstLine="0" w:firstLineChars="0"/>
            <w:rPr>
              <w:rFonts w:asciiTheme="minorHAnsi" w:hAnsiTheme="minorHAnsi" w:eastAsiaTheme="minorEastAsia"/>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"_Toc93135807" </w:instrText>
          </w:r>
          <w:r>
            <w:fldChar w:fldCharType="separate"/>
          </w:r>
          <w:r>
            <w:rPr>
              <w:rStyle w:val="19"/>
            </w:rPr>
            <w:t>一、 说明</w:t>
          </w:r>
          <w:r>
            <w:tab/>
          </w:r>
          <w:r>
            <w:fldChar w:fldCharType="begin"/>
          </w:r>
          <w:r>
            <w:instrText xml:space="preserve"> PAGEREF _Toc93135807 \h </w:instrText>
          </w:r>
          <w:r>
            <w:fldChar w:fldCharType="separate"/>
          </w:r>
          <w:r>
            <w:t>1</w:t>
          </w:r>
          <w:r>
            <w:fldChar w:fldCharType="end"/>
          </w:r>
          <w:r>
            <w:fldChar w:fldCharType="end"/>
          </w:r>
        </w:p>
        <w:p>
          <w:pPr>
            <w:pStyle w:val="12"/>
            <w:ind w:firstLine="0" w:firstLineChars="0"/>
            <w:rPr>
              <w:rFonts w:asciiTheme="minorHAnsi" w:hAnsiTheme="minorHAnsi" w:eastAsiaTheme="minorEastAsia"/>
              <w:sz w:val="21"/>
            </w:rPr>
          </w:pPr>
          <w:r>
            <w:fldChar w:fldCharType="begin"/>
          </w:r>
          <w:r>
            <w:instrText xml:space="preserve"> HYPERLINK \l "_Toc93135808" </w:instrText>
          </w:r>
          <w:r>
            <w:fldChar w:fldCharType="separate"/>
          </w:r>
          <w:r>
            <w:rPr>
              <w:rStyle w:val="19"/>
            </w:rPr>
            <w:t>二、 项目简介</w:t>
          </w:r>
          <w:r>
            <w:tab/>
          </w:r>
          <w:r>
            <w:fldChar w:fldCharType="begin"/>
          </w:r>
          <w:r>
            <w:instrText xml:space="preserve"> PAGEREF _Toc93135808 \h </w:instrText>
          </w:r>
          <w:r>
            <w:fldChar w:fldCharType="separate"/>
          </w:r>
          <w:r>
            <w:t>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"_Toc93135809" </w:instrText>
          </w:r>
          <w:r>
            <w:fldChar w:fldCharType="separate"/>
          </w:r>
          <w:r>
            <w:rPr>
              <w:rStyle w:val="19"/>
            </w:rPr>
            <w:t>（一）项目名称</w:t>
          </w:r>
          <w:r>
            <w:tab/>
          </w:r>
          <w:r>
            <w:fldChar w:fldCharType="begin"/>
          </w:r>
          <w:r>
            <w:instrText xml:space="preserve"> PAGEREF _Toc93135809 \h </w:instrText>
          </w:r>
          <w:r>
            <w:fldChar w:fldCharType="separate"/>
          </w:r>
          <w:r>
            <w:t>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"_Toc93135810" </w:instrText>
          </w:r>
          <w:r>
            <w:fldChar w:fldCharType="separate"/>
          </w:r>
          <w:r>
            <w:rPr>
              <w:rStyle w:val="19"/>
            </w:rPr>
            <w:t>（二）项目背景</w:t>
          </w:r>
          <w:r>
            <w:tab/>
          </w:r>
          <w:r>
            <w:fldChar w:fldCharType="begin"/>
          </w:r>
          <w:r>
            <w:instrText xml:space="preserve"> PAGEREF _Toc93135810 \h </w:instrText>
          </w:r>
          <w:r>
            <w:fldChar w:fldCharType="separate"/>
          </w:r>
          <w:r>
            <w:t>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"_Toc93135811" </w:instrText>
          </w:r>
          <w:r>
            <w:fldChar w:fldCharType="separate"/>
          </w:r>
          <w:r>
            <w:rPr>
              <w:rStyle w:val="19"/>
            </w:rPr>
            <w:t>（三）项目总投资</w:t>
          </w:r>
          <w:r>
            <w:tab/>
          </w:r>
          <w:r>
            <w:fldChar w:fldCharType="begin"/>
          </w:r>
          <w:r>
            <w:instrText xml:space="preserve"> PAGEREF _Toc93135811 \h </w:instrText>
          </w:r>
          <w:r>
            <w:fldChar w:fldCharType="separate"/>
          </w:r>
          <w:r>
            <w:t>3</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"_Toc93135812" </w:instrText>
          </w:r>
          <w:r>
            <w:fldChar w:fldCharType="separate"/>
          </w:r>
          <w:r>
            <w:rPr>
              <w:rStyle w:val="19"/>
            </w:rPr>
            <w:t>1. 本桓高速PPP项目</w:t>
          </w:r>
          <w:r>
            <w:tab/>
          </w:r>
          <w:r>
            <w:fldChar w:fldCharType="begin"/>
          </w:r>
          <w:r>
            <w:instrText xml:space="preserve"> PAGEREF _Toc93135812 \h </w:instrText>
          </w:r>
          <w:r>
            <w:fldChar w:fldCharType="separate"/>
          </w:r>
          <w:r>
            <w:t>3</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"_Toc93135813" </w:instrText>
          </w:r>
          <w:r>
            <w:fldChar w:fldCharType="separate"/>
          </w:r>
          <w:r>
            <w:rPr>
              <w:rStyle w:val="19"/>
            </w:rPr>
            <w:t>2. 凌绥高速PPP项目</w:t>
          </w:r>
          <w:r>
            <w:tab/>
          </w:r>
          <w:r>
            <w:fldChar w:fldCharType="begin"/>
          </w:r>
          <w:r>
            <w:instrText xml:space="preserve"> PAGEREF _Toc93135813 \h </w:instrText>
          </w:r>
          <w:r>
            <w:fldChar w:fldCharType="separate"/>
          </w:r>
          <w:r>
            <w:t>4</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"_Toc93135814" </w:instrText>
          </w:r>
          <w:r>
            <w:fldChar w:fldCharType="separate"/>
          </w:r>
          <w:r>
            <w:rPr>
              <w:rStyle w:val="19"/>
            </w:rPr>
            <w:t>（四）项目区位</w:t>
          </w:r>
          <w:r>
            <w:tab/>
          </w:r>
          <w:r>
            <w:fldChar w:fldCharType="begin"/>
          </w:r>
          <w:r>
            <w:instrText xml:space="preserve"> PAGEREF _Toc93135814 \h </w:instrText>
          </w:r>
          <w:r>
            <w:fldChar w:fldCharType="separate"/>
          </w:r>
          <w:r>
            <w:t>4</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"_Toc93135815" </w:instrText>
          </w:r>
          <w:r>
            <w:fldChar w:fldCharType="separate"/>
          </w:r>
          <w:r>
            <w:rPr>
              <w:rStyle w:val="19"/>
            </w:rPr>
            <w:t>1. 本桓高速PPP项目</w:t>
          </w:r>
          <w:r>
            <w:tab/>
          </w:r>
          <w:r>
            <w:fldChar w:fldCharType="begin"/>
          </w:r>
          <w:r>
            <w:instrText xml:space="preserve"> PAGEREF _Toc93135815 \h </w:instrText>
          </w:r>
          <w:r>
            <w:fldChar w:fldCharType="separate"/>
          </w:r>
          <w:r>
            <w:t>4</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"_Toc93135816" </w:instrText>
          </w:r>
          <w:r>
            <w:fldChar w:fldCharType="separate"/>
          </w:r>
          <w:r>
            <w:rPr>
              <w:rStyle w:val="19"/>
            </w:rPr>
            <w:t>2. 凌绥高速PPP项目</w:t>
          </w:r>
          <w:r>
            <w:tab/>
          </w:r>
          <w:r>
            <w:fldChar w:fldCharType="begin"/>
          </w:r>
          <w:r>
            <w:instrText xml:space="preserve"> PAGEREF _Toc93135816 \h </w:instrText>
          </w:r>
          <w:r>
            <w:fldChar w:fldCharType="separate"/>
          </w:r>
          <w:r>
            <w:t>5</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"_Toc93135817" </w:instrText>
          </w:r>
          <w:r>
            <w:fldChar w:fldCharType="separate"/>
          </w:r>
          <w:r>
            <w:rPr>
              <w:rStyle w:val="19"/>
            </w:rPr>
            <w:t>（五）建设内容</w:t>
          </w:r>
          <w:r>
            <w:tab/>
          </w:r>
          <w:r>
            <w:fldChar w:fldCharType="begin"/>
          </w:r>
          <w:r>
            <w:instrText xml:space="preserve"> PAGEREF _Toc93135817 \h </w:instrText>
          </w:r>
          <w:r>
            <w:fldChar w:fldCharType="separate"/>
          </w:r>
          <w:r>
            <w:t>5</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"_Toc93135818" </w:instrText>
          </w:r>
          <w:r>
            <w:fldChar w:fldCharType="separate"/>
          </w:r>
          <w:r>
            <w:rPr>
              <w:rStyle w:val="19"/>
            </w:rPr>
            <w:t>1. 本桓高速PPP项目</w:t>
          </w:r>
          <w:r>
            <w:tab/>
          </w:r>
          <w:r>
            <w:fldChar w:fldCharType="begin"/>
          </w:r>
          <w:r>
            <w:instrText xml:space="preserve"> PAGEREF _Toc93135818 \h </w:instrText>
          </w:r>
          <w:r>
            <w:fldChar w:fldCharType="separate"/>
          </w:r>
          <w:r>
            <w:t>5</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"_Toc93135819" </w:instrText>
          </w:r>
          <w:r>
            <w:fldChar w:fldCharType="separate"/>
          </w:r>
          <w:r>
            <w:rPr>
              <w:rStyle w:val="19"/>
            </w:rPr>
            <w:t>2. 凌绥高速PPP项目</w:t>
          </w:r>
          <w:r>
            <w:tab/>
          </w:r>
          <w:r>
            <w:fldChar w:fldCharType="begin"/>
          </w:r>
          <w:r>
            <w:instrText xml:space="preserve"> PAGEREF _Toc93135819 \h </w:instrText>
          </w:r>
          <w:r>
            <w:fldChar w:fldCharType="separate"/>
          </w:r>
          <w:r>
            <w:t>6</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"_Toc93135820" </w:instrText>
          </w:r>
          <w:r>
            <w:fldChar w:fldCharType="separate"/>
          </w:r>
          <w:r>
            <w:rPr>
              <w:rStyle w:val="19"/>
            </w:rPr>
            <w:t>（六）项目运作思路</w:t>
          </w:r>
          <w:r>
            <w:tab/>
          </w:r>
          <w:r>
            <w:fldChar w:fldCharType="begin"/>
          </w:r>
          <w:r>
            <w:instrText xml:space="preserve"> PAGEREF _Toc93135820 \h </w:instrText>
          </w:r>
          <w:r>
            <w:fldChar w:fldCharType="separate"/>
          </w:r>
          <w:r>
            <w:t>6</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"_Toc93135821" </w:instrText>
          </w:r>
          <w:r>
            <w:fldChar w:fldCharType="separate"/>
          </w:r>
          <w:r>
            <w:rPr>
              <w:rStyle w:val="19"/>
            </w:rPr>
            <w:t>1. 实施机构</w:t>
          </w:r>
          <w:r>
            <w:tab/>
          </w:r>
          <w:r>
            <w:fldChar w:fldCharType="begin"/>
          </w:r>
          <w:r>
            <w:instrText xml:space="preserve"> PAGEREF _Toc93135821 \h </w:instrText>
          </w:r>
          <w:r>
            <w:fldChar w:fldCharType="separate"/>
          </w:r>
          <w:r>
            <w:t>6</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"_Toc93135822" </w:instrText>
          </w:r>
          <w:r>
            <w:fldChar w:fldCharType="separate"/>
          </w:r>
          <w:r>
            <w:rPr>
              <w:rStyle w:val="19"/>
            </w:rPr>
            <w:t>2. 政府方出资代表</w:t>
          </w:r>
          <w:r>
            <w:tab/>
          </w:r>
          <w:r>
            <w:fldChar w:fldCharType="begin"/>
          </w:r>
          <w:r>
            <w:instrText xml:space="preserve"> PAGEREF _Toc93135822 \h </w:instrText>
          </w:r>
          <w:r>
            <w:fldChar w:fldCharType="separate"/>
          </w:r>
          <w:r>
            <w:t>6</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"_Toc93135823" </w:instrText>
          </w:r>
          <w:r>
            <w:fldChar w:fldCharType="separate"/>
          </w:r>
          <w:r>
            <w:rPr>
              <w:rStyle w:val="19"/>
            </w:rPr>
            <w:t>3. 具体运作方式</w:t>
          </w:r>
          <w:r>
            <w:tab/>
          </w:r>
          <w:r>
            <w:fldChar w:fldCharType="begin"/>
          </w:r>
          <w:r>
            <w:instrText xml:space="preserve"> PAGEREF _Toc93135823 \h </w:instrText>
          </w:r>
          <w:r>
            <w:fldChar w:fldCharType="separate"/>
          </w:r>
          <w:r>
            <w:t>6</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"_Toc93135824" </w:instrText>
          </w:r>
          <w:r>
            <w:fldChar w:fldCharType="separate"/>
          </w:r>
          <w:r>
            <w:rPr>
              <w:rStyle w:val="19"/>
            </w:rPr>
            <w:t>（七）项目公司股权结构</w:t>
          </w:r>
          <w:r>
            <w:tab/>
          </w:r>
          <w:r>
            <w:fldChar w:fldCharType="begin"/>
          </w:r>
          <w:r>
            <w:instrText xml:space="preserve"> PAGEREF _Toc93135824 \h </w:instrText>
          </w:r>
          <w:r>
            <w:fldChar w:fldCharType="separate"/>
          </w:r>
          <w:r>
            <w:t>8</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"_Toc93135825" </w:instrText>
          </w:r>
          <w:r>
            <w:fldChar w:fldCharType="separate"/>
          </w:r>
          <w:r>
            <w:rPr>
              <w:rStyle w:val="19"/>
            </w:rPr>
            <w:t>1. 本桓高速PPP项目</w:t>
          </w:r>
          <w:r>
            <w:tab/>
          </w:r>
          <w:r>
            <w:fldChar w:fldCharType="begin"/>
          </w:r>
          <w:r>
            <w:instrText xml:space="preserve"> PAGEREF _Toc93135825 \h </w:instrText>
          </w:r>
          <w:r>
            <w:fldChar w:fldCharType="separate"/>
          </w:r>
          <w:r>
            <w:t>8</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"_Toc93135826" </w:instrText>
          </w:r>
          <w:r>
            <w:fldChar w:fldCharType="separate"/>
          </w:r>
          <w:r>
            <w:rPr>
              <w:rStyle w:val="19"/>
            </w:rPr>
            <w:t>2. 凌绥高速PPP项目</w:t>
          </w:r>
          <w:r>
            <w:tab/>
          </w:r>
          <w:r>
            <w:fldChar w:fldCharType="begin"/>
          </w:r>
          <w:r>
            <w:instrText xml:space="preserve"> PAGEREF _Toc93135826 \h </w:instrText>
          </w:r>
          <w:r>
            <w:fldChar w:fldCharType="separate"/>
          </w:r>
          <w:r>
            <w:t>8</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"_Toc93135827" </w:instrText>
          </w:r>
          <w:r>
            <w:fldChar w:fldCharType="separate"/>
          </w:r>
          <w:r>
            <w:rPr>
              <w:rStyle w:val="19"/>
            </w:rPr>
            <w:t>（八）项目投融资结构</w:t>
          </w:r>
          <w:r>
            <w:tab/>
          </w:r>
          <w:r>
            <w:fldChar w:fldCharType="begin"/>
          </w:r>
          <w:r>
            <w:instrText xml:space="preserve"> PAGEREF _Toc93135827 \h </w:instrText>
          </w:r>
          <w:r>
            <w:fldChar w:fldCharType="separate"/>
          </w:r>
          <w:r>
            <w:t>8</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"_Toc93135828" </w:instrText>
          </w:r>
          <w:r>
            <w:fldChar w:fldCharType="separate"/>
          </w:r>
          <w:r>
            <w:rPr>
              <w:rStyle w:val="19"/>
            </w:rPr>
            <w:t>1. 本桓高速PPP项目</w:t>
          </w:r>
          <w:r>
            <w:tab/>
          </w:r>
          <w:r>
            <w:fldChar w:fldCharType="begin"/>
          </w:r>
          <w:r>
            <w:instrText xml:space="preserve"> PAGEREF _Toc93135828 \h </w:instrText>
          </w:r>
          <w:r>
            <w:fldChar w:fldCharType="separate"/>
          </w:r>
          <w:r>
            <w:t>8</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"_Toc93135829" </w:instrText>
          </w:r>
          <w:r>
            <w:fldChar w:fldCharType="separate"/>
          </w:r>
          <w:r>
            <w:rPr>
              <w:rStyle w:val="19"/>
            </w:rPr>
            <w:t>2. 凌绥高速PPP项目</w:t>
          </w:r>
          <w:r>
            <w:tab/>
          </w:r>
          <w:r>
            <w:fldChar w:fldCharType="begin"/>
          </w:r>
          <w:r>
            <w:instrText xml:space="preserve"> PAGEREF _Toc93135829 \h </w:instrText>
          </w:r>
          <w:r>
            <w:fldChar w:fldCharType="separate"/>
          </w:r>
          <w:r>
            <w:t>9</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"_Toc93135830" </w:instrText>
          </w:r>
          <w:r>
            <w:fldChar w:fldCharType="separate"/>
          </w:r>
          <w:r>
            <w:rPr>
              <w:rStyle w:val="19"/>
            </w:rPr>
            <w:t>（九）回报机制</w:t>
          </w:r>
          <w:r>
            <w:tab/>
          </w:r>
          <w:r>
            <w:fldChar w:fldCharType="begin"/>
          </w:r>
          <w:r>
            <w:instrText xml:space="preserve"> PAGEREF _Toc93135830 \h </w:instrText>
          </w:r>
          <w:r>
            <w:fldChar w:fldCharType="separate"/>
          </w:r>
          <w:r>
            <w:t>9</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"_Toc93135831" </w:instrText>
          </w:r>
          <w:r>
            <w:fldChar w:fldCharType="separate"/>
          </w:r>
          <w:r>
            <w:rPr>
              <w:rStyle w:val="19"/>
            </w:rPr>
            <w:t>1. 项目回报机制</w:t>
          </w:r>
          <w:r>
            <w:tab/>
          </w:r>
          <w:r>
            <w:fldChar w:fldCharType="begin"/>
          </w:r>
          <w:r>
            <w:instrText xml:space="preserve"> PAGEREF _Toc93135831 \h </w:instrText>
          </w:r>
          <w:r>
            <w:fldChar w:fldCharType="separate"/>
          </w:r>
          <w:r>
            <w:t>9</w:t>
          </w:r>
          <w:r>
            <w:fldChar w:fldCharType="end"/>
          </w:r>
          <w:r>
            <w:fldChar w:fldCharType="end"/>
          </w:r>
        </w:p>
        <w:p>
          <w:pPr>
            <w:pStyle w:val="9"/>
            <w:tabs>
              <w:tab w:val="right" w:leader="dot" w:pos="8296"/>
            </w:tabs>
            <w:ind w:left="960" w:firstLine="480"/>
            <w:rPr>
              <w:rFonts w:asciiTheme="minorHAnsi" w:hAnsiTheme="minorHAnsi" w:eastAsiaTheme="minorEastAsia"/>
              <w:sz w:val="21"/>
            </w:rPr>
          </w:pPr>
          <w:r>
            <w:fldChar w:fldCharType="begin"/>
          </w:r>
          <w:r>
            <w:instrText xml:space="preserve"> HYPERLINK \l "_Toc93135832" </w:instrText>
          </w:r>
          <w:r>
            <w:fldChar w:fldCharType="separate"/>
          </w:r>
          <w:r>
            <w:rPr>
              <w:rStyle w:val="19"/>
            </w:rPr>
            <w:t>2. 股东回报机制</w:t>
          </w:r>
          <w:r>
            <w:tab/>
          </w:r>
          <w:r>
            <w:fldChar w:fldCharType="begin"/>
          </w:r>
          <w:r>
            <w:instrText xml:space="preserve"> PAGEREF _Toc93135832 \h </w:instrText>
          </w:r>
          <w:r>
            <w:fldChar w:fldCharType="separate"/>
          </w:r>
          <w:r>
            <w:t>10</w:t>
          </w:r>
          <w:r>
            <w:fldChar w:fldCharType="end"/>
          </w:r>
          <w:r>
            <w:fldChar w:fldCharType="end"/>
          </w:r>
        </w:p>
        <w:p>
          <w:pPr>
            <w:pStyle w:val="12"/>
            <w:ind w:firstLine="0" w:firstLineChars="0"/>
            <w:rPr>
              <w:rFonts w:asciiTheme="minorHAnsi" w:hAnsiTheme="minorHAnsi" w:eastAsiaTheme="minorEastAsia"/>
              <w:sz w:val="21"/>
            </w:rPr>
          </w:pPr>
          <w:r>
            <w:fldChar w:fldCharType="begin"/>
          </w:r>
          <w:r>
            <w:instrText xml:space="preserve"> HYPERLINK \l "_Toc93135833" </w:instrText>
          </w:r>
          <w:r>
            <w:fldChar w:fldCharType="separate"/>
          </w:r>
          <w:r>
            <w:rPr>
              <w:rStyle w:val="19"/>
            </w:rPr>
            <w:t>三、 测试内容</w:t>
          </w:r>
          <w:r>
            <w:tab/>
          </w:r>
          <w:r>
            <w:fldChar w:fldCharType="begin"/>
          </w:r>
          <w:r>
            <w:instrText xml:space="preserve"> PAGEREF _Toc93135833 \h </w:instrText>
          </w:r>
          <w:r>
            <w:fldChar w:fldCharType="separate"/>
          </w:r>
          <w:r>
            <w:t>10</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"_Toc93135834" </w:instrText>
          </w:r>
          <w:r>
            <w:fldChar w:fldCharType="separate"/>
          </w:r>
          <w:r>
            <w:rPr>
              <w:rStyle w:val="19"/>
            </w:rPr>
            <w:t>（一）PPP合作期</w:t>
          </w:r>
          <w:r>
            <w:tab/>
          </w:r>
          <w:r>
            <w:fldChar w:fldCharType="begin"/>
          </w:r>
          <w:r>
            <w:instrText xml:space="preserve"> PAGEREF _Toc93135834 \h </w:instrText>
          </w:r>
          <w:r>
            <w:fldChar w:fldCharType="separate"/>
          </w:r>
          <w:r>
            <w:t>10</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"_Toc93135835" </w:instrText>
          </w:r>
          <w:r>
            <w:fldChar w:fldCharType="separate"/>
          </w:r>
          <w:r>
            <w:rPr>
              <w:rStyle w:val="19"/>
              <w:rFonts w:cs="Times New Roman"/>
            </w:rPr>
            <w:t>（二）PPP项目社会资本采购与京哈高速绥盘段改扩建项目施工总承包采购合并实施</w:t>
          </w:r>
          <w:r>
            <w:t>………………………………………………………………………..</w:t>
          </w:r>
          <w:r>
            <w:fldChar w:fldCharType="begin"/>
          </w:r>
          <w:r>
            <w:instrText xml:space="preserve"> PAGEREF _Toc93135835 \h </w:instrText>
          </w:r>
          <w:r>
            <w:fldChar w:fldCharType="separate"/>
          </w:r>
          <w:r>
            <w:t>10</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"_Toc93135836" </w:instrText>
          </w:r>
          <w:r>
            <w:fldChar w:fldCharType="separate"/>
          </w:r>
          <w:r>
            <w:rPr>
              <w:rStyle w:val="19"/>
            </w:rPr>
            <w:t>（三）基准车流量和基准收费标准的取值、车辆通行费收入不足的风险分担机制</w:t>
          </w:r>
          <w:r>
            <w:t>……………………………………………………………………………..</w:t>
          </w:r>
          <w:r>
            <w:fldChar w:fldCharType="begin"/>
          </w:r>
          <w:r>
            <w:instrText xml:space="preserve"> PAGEREF _Toc93135836 \h </w:instrText>
          </w:r>
          <w:r>
            <w:fldChar w:fldCharType="separate"/>
          </w:r>
          <w:r>
            <w:t>11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"_Toc93135837" </w:instrText>
          </w:r>
          <w:r>
            <w:fldChar w:fldCharType="separate"/>
          </w:r>
          <w:r>
            <w:rPr>
              <w:rStyle w:val="19"/>
            </w:rPr>
            <w:t>（四）长期贷款利率取值、贷款利率变化的风险分担机制</w:t>
          </w:r>
          <w:r>
            <w:tab/>
          </w:r>
          <w:r>
            <w:fldChar w:fldCharType="begin"/>
          </w:r>
          <w:r>
            <w:instrText xml:space="preserve"> PAGEREF _Toc93135837 \h </w:instrText>
          </w:r>
          <w:r>
            <w:fldChar w:fldCharType="separate"/>
          </w:r>
          <w:r>
            <w:t>11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"_Toc93135838" </w:instrText>
          </w:r>
          <w:r>
            <w:fldChar w:fldCharType="separate"/>
          </w:r>
          <w:r>
            <w:rPr>
              <w:rStyle w:val="19"/>
            </w:rPr>
            <w:t>（五）资本金（社会资本）财务内部收益率</w:t>
          </w:r>
          <w:r>
            <w:tab/>
          </w:r>
          <w:r>
            <w:fldChar w:fldCharType="begin"/>
          </w:r>
          <w:r>
            <w:instrText xml:space="preserve"> PAGEREF _Toc93135838 \h </w:instrText>
          </w:r>
          <w:r>
            <w:fldChar w:fldCharType="separate"/>
          </w:r>
          <w:r>
            <w:t>12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"_Toc93135839" </w:instrText>
          </w:r>
          <w:r>
            <w:fldChar w:fldCharType="separate"/>
          </w:r>
          <w:r>
            <w:rPr>
              <w:rStyle w:val="19"/>
            </w:rPr>
            <w:t>（六）项目公司组织架构</w:t>
          </w:r>
          <w:r>
            <w:tab/>
          </w:r>
          <w:r>
            <w:fldChar w:fldCharType="begin"/>
          </w:r>
          <w:r>
            <w:instrText xml:space="preserve"> PAGEREF _Toc93135839 \h </w:instrText>
          </w:r>
          <w:r>
            <w:fldChar w:fldCharType="separate"/>
          </w:r>
          <w:r>
            <w:t>12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"_Toc93135840" </w:instrText>
          </w:r>
          <w:r>
            <w:fldChar w:fldCharType="separate"/>
          </w:r>
          <w:r>
            <w:rPr>
              <w:rStyle w:val="19"/>
            </w:rPr>
            <w:t>（七）违约及争议解决</w:t>
          </w:r>
          <w:r>
            <w:tab/>
          </w:r>
          <w:r>
            <w:fldChar w:fldCharType="begin"/>
          </w:r>
          <w:r>
            <w:instrText xml:space="preserve"> PAGEREF _Toc93135840 \h </w:instrText>
          </w:r>
          <w:r>
            <w:fldChar w:fldCharType="separate"/>
          </w:r>
          <w:r>
            <w:t>12</w:t>
          </w:r>
          <w:r>
            <w:fldChar w:fldCharType="end"/>
          </w:r>
          <w:r>
            <w:fldChar w:fldCharType="end"/>
          </w:r>
        </w:p>
        <w:p>
          <w:pPr>
            <w:pStyle w:val="12"/>
            <w:ind w:firstLine="0" w:firstLineChars="0"/>
            <w:rPr>
              <w:rFonts w:asciiTheme="minorHAnsi" w:hAnsiTheme="minorHAnsi" w:eastAsiaTheme="minorEastAsia"/>
              <w:sz w:val="21"/>
            </w:rPr>
          </w:pPr>
          <w:r>
            <w:fldChar w:fldCharType="begin"/>
          </w:r>
          <w:r>
            <w:instrText xml:space="preserve"> HYPERLINK \l "_Toc93135841" </w:instrText>
          </w:r>
          <w:r>
            <w:fldChar w:fldCharType="separate"/>
          </w:r>
          <w:r>
            <w:rPr>
              <w:rStyle w:val="19"/>
            </w:rPr>
            <w:t>附件一 项目参与意向函</w:t>
          </w:r>
          <w:r>
            <w:tab/>
          </w:r>
          <w:r>
            <w:fldChar w:fldCharType="begin"/>
          </w:r>
          <w:r>
            <w:instrText xml:space="preserve"> PAGEREF _Toc93135841 \h </w:instrText>
          </w:r>
          <w:r>
            <w:fldChar w:fldCharType="separate"/>
          </w:r>
          <w:r>
            <w:t>13</w:t>
          </w:r>
          <w:r>
            <w:fldChar w:fldCharType="end"/>
          </w:r>
          <w:r>
            <w:fldChar w:fldCharType="end"/>
          </w:r>
        </w:p>
        <w:p>
          <w:pPr>
            <w:pStyle w:val="12"/>
            <w:ind w:firstLine="0" w:firstLineChars="0"/>
            <w:rPr>
              <w:rFonts w:asciiTheme="minorHAnsi" w:hAnsiTheme="minorHAnsi" w:eastAsiaTheme="minorEastAsia"/>
              <w:sz w:val="21"/>
            </w:rPr>
          </w:pPr>
          <w:r>
            <w:fldChar w:fldCharType="begin"/>
          </w:r>
          <w:r>
            <w:instrText xml:space="preserve"> HYPERLINK \l "_Toc93135842" </w:instrText>
          </w:r>
          <w:r>
            <w:fldChar w:fldCharType="separate"/>
          </w:r>
          <w:r>
            <w:rPr>
              <w:rStyle w:val="19"/>
            </w:rPr>
            <w:t>附件二 社会资本基本信息表</w:t>
          </w:r>
          <w:r>
            <w:tab/>
          </w:r>
          <w:r>
            <w:fldChar w:fldCharType="begin"/>
          </w:r>
          <w:r>
            <w:instrText xml:space="preserve"> PAGEREF _Toc93135842 \h </w:instrText>
          </w:r>
          <w:r>
            <w:fldChar w:fldCharType="separate"/>
          </w:r>
          <w:r>
            <w:t>14</w:t>
          </w:r>
          <w:r>
            <w:fldChar w:fldCharType="end"/>
          </w:r>
          <w:r>
            <w:fldChar w:fldCharType="end"/>
          </w:r>
        </w:p>
        <w:p>
          <w:pPr>
            <w:pStyle w:val="12"/>
            <w:ind w:firstLine="0" w:firstLineChars="0"/>
            <w:rPr>
              <w:rFonts w:asciiTheme="minorHAnsi" w:hAnsiTheme="minorHAnsi" w:eastAsiaTheme="minorEastAsia"/>
              <w:sz w:val="21"/>
            </w:rPr>
          </w:pPr>
          <w:r>
            <w:fldChar w:fldCharType="begin"/>
          </w:r>
          <w:r>
            <w:instrText xml:space="preserve"> HYPERLINK \l "_Toc93135843" </w:instrText>
          </w:r>
          <w:r>
            <w:fldChar w:fldCharType="separate"/>
          </w:r>
          <w:r>
            <w:rPr>
              <w:rStyle w:val="19"/>
            </w:rPr>
            <w:t>附件三 市场测试意见的反馈</w:t>
          </w:r>
          <w:r>
            <w:tab/>
          </w:r>
          <w:r>
            <w:fldChar w:fldCharType="begin"/>
          </w:r>
          <w:r>
            <w:instrText xml:space="preserve"> PAGEREF _Toc93135843 \h </w:instrText>
          </w:r>
          <w:r>
            <w:fldChar w:fldCharType="separate"/>
          </w:r>
          <w:r>
            <w:t>15</w:t>
          </w:r>
          <w:r>
            <w:fldChar w:fldCharType="end"/>
          </w:r>
          <w:r>
            <w:fldChar w:fldCharType="end"/>
          </w:r>
        </w:p>
        <w:p>
          <w:pPr>
            <w:ind w:firstLine="0" w:firstLineChars="0"/>
          </w:pPr>
          <w:r>
            <w:rPr>
              <w:rFonts w:cs="Times New Roman"/>
              <w:b/>
              <w:bCs/>
              <w:lang w:val="zh-CN"/>
            </w:rPr>
            <w:fldChar w:fldCharType="end"/>
          </w:r>
        </w:p>
      </w:sdtContent>
    </w:sdt>
    <w:p>
      <w:pPr>
        <w:widowControl/>
        <w:spacing w:line="240" w:lineRule="auto"/>
        <w:ind w:firstLine="0" w:firstLineChars="0"/>
        <w:jc w:val="left"/>
        <w:rPr>
          <w:color w:val="000000" w:themeColor="text1"/>
          <w:sz w:val="44"/>
          <w:szCs w:val="44"/>
          <w:highlight w:val="lightGray"/>
          <w14:textFill>
            <w14:solidFill>
              <w14:schemeClr w14:val="tx1"/>
            </w14:solidFill>
          </w14:textFill>
        </w:rPr>
        <w:sectPr>
          <w:headerReference r:id="rId11" w:type="default"/>
          <w:pgSz w:w="11906" w:h="16838"/>
          <w:pgMar w:top="1440" w:right="1800" w:bottom="1440" w:left="1800" w:header="851" w:footer="992" w:gutter="0"/>
          <w:cols w:space="425" w:num="1"/>
          <w:docGrid w:type="lines" w:linePitch="312" w:charSpace="0"/>
        </w:sectPr>
      </w:pPr>
    </w:p>
    <w:p>
      <w:pPr>
        <w:pStyle w:val="2"/>
      </w:pPr>
      <w:bookmarkStart w:id="0" w:name="_Toc93135807"/>
      <w:r>
        <w:rPr>
          <w:rFonts w:hint="eastAsia"/>
        </w:rPr>
        <w:t>说明</w:t>
      </w:r>
      <w:bookmarkEnd w:id="0"/>
    </w:p>
    <w:p>
      <w:pPr>
        <w:ind w:firstLine="0" w:firstLineChars="0"/>
      </w:pPr>
      <w:r>
        <w:rPr>
          <w:rFonts w:hint="eastAsia"/>
        </w:rPr>
        <w:t>致潜在社会资本：</w:t>
      </w:r>
    </w:p>
    <w:p>
      <w:pPr>
        <w:ind w:firstLine="480"/>
      </w:pPr>
      <w:r>
        <w:rPr>
          <w:rFonts w:hint="eastAsia"/>
        </w:rPr>
        <w:t>辽宁省人民政府拟采用政府和社会资本合作（PPP）模式实施辽宁省本溪至集安高速公路本溪至桓仁（辽吉界）段项目和辽宁省赤峰至绥中高速公路（G4515）凌源（蒙辽界）至绥中段项目（以下简称“本项目/项目”）。为加快推进本项目的实施，使得项目获得社会资本的充分响应</w:t>
      </w:r>
      <w:r>
        <w:t>,</w:t>
      </w:r>
      <w:r>
        <w:rPr>
          <w:rFonts w:hint="eastAsia"/>
        </w:rPr>
        <w:t>辽宁省交通运输厅（以下简称“省交通运输厅”）特邀请潜在社会资本进行市场测试。</w:t>
      </w:r>
    </w:p>
    <w:p>
      <w:pPr>
        <w:ind w:firstLine="480"/>
      </w:pPr>
      <w:r>
        <w:t>1.</w:t>
      </w:r>
      <w:r>
        <w:rPr>
          <w:rFonts w:hint="eastAsia"/>
        </w:rPr>
        <w:t>本次市场测试并非项目正式采购程序的组成部分，本次市场测试提供的方案信息仍可能进一步修改，对各方并不具有约束力；</w:t>
      </w:r>
    </w:p>
    <w:p>
      <w:pPr>
        <w:ind w:firstLine="480"/>
      </w:pPr>
      <w:r>
        <w:t>2.</w:t>
      </w:r>
      <w:r>
        <w:rPr>
          <w:rFonts w:hint="eastAsia"/>
        </w:rPr>
        <w:t>本次市场测试邀请潜在社会资本参与市场测试，即使不参加市场测试的社会资本仍然有资格参与项目的正式采购程序；</w:t>
      </w:r>
    </w:p>
    <w:p>
      <w:pPr>
        <w:ind w:firstLine="480"/>
      </w:pPr>
      <w:r>
        <w:t>3.</w:t>
      </w:r>
      <w:r>
        <w:rPr>
          <w:rFonts w:hint="eastAsia"/>
        </w:rPr>
        <w:t>参与本次市场测试的社会资本并不会因此在项目正式采购程序中得到特别的优待；</w:t>
      </w:r>
    </w:p>
    <w:p>
      <w:pPr>
        <w:ind w:firstLine="480"/>
      </w:pPr>
      <w:r>
        <w:t>4.</w:t>
      </w:r>
      <w:r>
        <w:rPr>
          <w:rFonts w:hint="eastAsia"/>
        </w:rPr>
        <w:t>参与本次市场测试的社会资本不会因参与市场测试中提出的问题而遭到政府方的歧视；</w:t>
      </w:r>
    </w:p>
    <w:p>
      <w:pPr>
        <w:ind w:firstLine="480"/>
      </w:pPr>
      <w:r>
        <w:t>5.</w:t>
      </w:r>
      <w:r>
        <w:rPr>
          <w:rFonts w:hint="eastAsia"/>
        </w:rPr>
        <w:t>如参与本次市场测试的社会资本提供的反馈意见涉及到公司的商业机密内容，省交通运输厅可以安排一对一的沟通。</w:t>
      </w:r>
    </w:p>
    <w:p>
      <w:pPr>
        <w:ind w:firstLine="480"/>
      </w:pPr>
      <w:r>
        <w:rPr>
          <w:rFonts w:hint="eastAsia"/>
        </w:rPr>
        <w:t>请潜在社会资本在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21</w:t>
      </w:r>
      <w:r>
        <w:rPr>
          <w:rFonts w:hint="eastAsia"/>
        </w:rPr>
        <w:t>日</w:t>
      </w:r>
      <w:r>
        <w:rPr>
          <w:rFonts w:hint="eastAsia"/>
          <w:lang w:val="en-US" w:eastAsia="zh-CN"/>
        </w:rPr>
        <w:t>17：00</w:t>
      </w:r>
      <w:r>
        <w:rPr>
          <w:rFonts w:hint="eastAsia"/>
        </w:rPr>
        <w:t>之前以</w:t>
      </w:r>
      <w:r>
        <w:rPr>
          <w:rFonts w:hint="eastAsia"/>
          <w:lang w:eastAsia="zh-CN"/>
        </w:rPr>
        <w:t>盖章形式</w:t>
      </w:r>
      <w:r>
        <w:rPr>
          <w:rFonts w:hint="eastAsia"/>
        </w:rPr>
        <w:t>将相关测试内容发送至下列指定邮箱：</w:t>
      </w:r>
    </w:p>
    <w:p>
      <w:pPr>
        <w:ind w:firstLine="480"/>
        <w:rPr>
          <w:rFonts w:hint="eastAsia" w:eastAsia="仿宋_GB2312"/>
          <w:lang w:eastAsia="zh-CN"/>
        </w:rPr>
      </w:pPr>
      <w:r>
        <w:rPr>
          <w:rFonts w:hint="eastAsia"/>
        </w:rPr>
        <w:t>联</w:t>
      </w:r>
      <w:r>
        <w:rPr>
          <w:rFonts w:hint="eastAsia"/>
          <w:lang w:val="en-US" w:eastAsia="zh-CN"/>
        </w:rPr>
        <w:t xml:space="preserve"> </w:t>
      </w:r>
      <w:r>
        <w:rPr>
          <w:rFonts w:hint="eastAsia"/>
        </w:rPr>
        <w:t>系</w:t>
      </w:r>
      <w:r>
        <w:rPr>
          <w:rFonts w:hint="eastAsia"/>
          <w:lang w:val="en-US" w:eastAsia="zh-CN"/>
        </w:rPr>
        <w:t xml:space="preserve"> </w:t>
      </w:r>
      <w:r>
        <w:rPr>
          <w:rFonts w:hint="eastAsia"/>
        </w:rPr>
        <w:t>人：</w:t>
      </w:r>
      <w:r>
        <w:rPr>
          <w:rFonts w:hint="eastAsia"/>
          <w:lang w:eastAsia="zh-CN"/>
        </w:rPr>
        <w:t>王岩</w:t>
      </w:r>
    </w:p>
    <w:p>
      <w:pPr>
        <w:ind w:firstLine="480"/>
        <w:rPr>
          <w:rFonts w:hint="default" w:eastAsia="仿宋_GB2312"/>
          <w:lang w:val="en-US" w:eastAsia="zh-CN"/>
        </w:rPr>
      </w:pPr>
      <w:r>
        <w:rPr>
          <w:rFonts w:hint="eastAsia"/>
        </w:rPr>
        <w:t>联系手机：</w:t>
      </w:r>
      <w:r>
        <w:rPr>
          <w:rFonts w:hint="eastAsia"/>
          <w:lang w:val="en-US" w:eastAsia="zh-CN"/>
        </w:rPr>
        <w:t>024-23239044</w:t>
      </w:r>
    </w:p>
    <w:p>
      <w:pPr>
        <w:ind w:firstLine="480"/>
        <w:rPr>
          <w:rFonts w:hint="default" w:eastAsia="仿宋_GB2312"/>
          <w:lang w:val="en-US" w:eastAsia="zh-CN"/>
        </w:rPr>
      </w:pPr>
      <w:r>
        <w:rPr>
          <w:rFonts w:hint="eastAsia"/>
        </w:rPr>
        <w:t>联系邮箱：</w:t>
      </w:r>
      <w:r>
        <w:rPr>
          <w:rFonts w:hint="eastAsia"/>
          <w:lang w:val="en-US" w:eastAsia="zh-CN"/>
        </w:rPr>
        <w:t>jttghc@126.com</w:t>
      </w:r>
    </w:p>
    <w:p>
      <w:pPr>
        <w:ind w:firstLine="480"/>
        <w:jc w:val="right"/>
      </w:pPr>
    </w:p>
    <w:p>
      <w:pPr>
        <w:ind w:firstLine="480"/>
        <w:jc w:val="right"/>
      </w:pPr>
    </w:p>
    <w:p>
      <w:pPr>
        <w:ind w:firstLine="480"/>
        <w:jc w:val="right"/>
      </w:pPr>
    </w:p>
    <w:p>
      <w:pPr>
        <w:ind w:firstLine="480"/>
        <w:jc w:val="right"/>
      </w:pPr>
      <w:r>
        <w:rPr>
          <w:rFonts w:hint="eastAsia"/>
        </w:rPr>
        <w:t>辽宁省交通运输厅</w:t>
      </w:r>
    </w:p>
    <w:p>
      <w:pPr>
        <w:ind w:firstLine="720" w:firstLineChars="300"/>
        <w:jc w:val="right"/>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w:t>
      </w:r>
    </w:p>
    <w:p>
      <w:pPr>
        <w:widowControl/>
        <w:spacing w:line="240" w:lineRule="auto"/>
        <w:ind w:firstLine="0" w:firstLineChars="0"/>
        <w:jc w:val="left"/>
      </w:pPr>
      <w:r>
        <w:br w:type="page"/>
      </w:r>
    </w:p>
    <w:p>
      <w:pPr>
        <w:pStyle w:val="2"/>
      </w:pPr>
      <w:bookmarkStart w:id="1" w:name="_Toc93135808"/>
      <w:r>
        <w:rPr>
          <w:rFonts w:hint="eastAsia"/>
        </w:rPr>
        <w:t>项目简介</w:t>
      </w:r>
      <w:bookmarkEnd w:id="1"/>
    </w:p>
    <w:p>
      <w:pPr>
        <w:pStyle w:val="4"/>
      </w:pPr>
      <w:bookmarkStart w:id="2" w:name="_Toc93135809"/>
      <w:r>
        <w:rPr>
          <w:rFonts w:hint="eastAsia"/>
        </w:rPr>
        <w:t>项目名称</w:t>
      </w:r>
      <w:bookmarkEnd w:id="2"/>
    </w:p>
    <w:p>
      <w:pPr>
        <w:ind w:firstLine="480"/>
      </w:pPr>
      <w:r>
        <w:rPr>
          <w:rFonts w:hint="eastAsia"/>
        </w:rPr>
        <w:t>辽宁省本溪至集安高速公路本溪至桓仁（辽吉界）段PPP项目（以下简称“本桓高速PPP项目”），</w:t>
      </w:r>
      <w:bookmarkStart w:id="3" w:name="_Hlk92625925"/>
      <w:r>
        <w:rPr>
          <w:rFonts w:hint="eastAsia"/>
        </w:rPr>
        <w:t>辽宁省赤峰至绥中高速公路（G4515）凌源（蒙辽界）至绥中段PPP项目</w:t>
      </w:r>
      <w:bookmarkEnd w:id="3"/>
      <w:r>
        <w:rPr>
          <w:rFonts w:hint="eastAsia"/>
        </w:rPr>
        <w:t>（以下简称“凌绥高速PPP项目”）。上述为两个PPP项目，两个PPP项目分别采购，两个PPP项目以下合称“本项目/项目”。</w:t>
      </w:r>
    </w:p>
    <w:p>
      <w:pPr>
        <w:pStyle w:val="4"/>
      </w:pPr>
      <w:bookmarkStart w:id="4" w:name="_Toc93135810"/>
      <w:r>
        <w:rPr>
          <w:rFonts w:hint="eastAsia"/>
        </w:rPr>
        <w:t>项目背景</w:t>
      </w:r>
      <w:bookmarkEnd w:id="4"/>
    </w:p>
    <w:p>
      <w:pPr>
        <w:widowControl/>
        <w:ind w:firstLine="480"/>
      </w:pPr>
      <w:r>
        <w:rPr>
          <w:rFonts w:hint="eastAsia"/>
        </w:rPr>
        <w:t>为加快建设综合交通运输体系，促进现代物流业发展，构建布局合理、功能完善、覆盖广泛、安全可靠的国家公路网络，交通运输部会同国家发展和改革委员会共同编制完成《国家公路网规划（2013年-2030年）》，本项目是国家高速公路网络的组成部分。</w:t>
      </w:r>
    </w:p>
    <w:p>
      <w:pPr>
        <w:widowControl/>
        <w:ind w:firstLine="480"/>
      </w:pPr>
      <w:r>
        <w:rPr>
          <w:rFonts w:hint="eastAsia"/>
        </w:rPr>
        <w:t>本溪至集安高速公路本溪至桓仁（辽吉界）段（以下简称“本桓高速”）包括本溪至桓仁（辽吉界）段（以下简称“本桓主线”）和本溪至宽甸段（以下简称“宽甸支线”）。本桓主线是辽宁中部环线高速公路（G91）本溪至集安联络线（G9111）的组成部分，也是本溪市至其所辖县的快速通道；宽甸支线是本溪至集安高速公路（G9111）与鹤岗至大连高速公路（G11）两条国高网项目的纵向连接线。本桓高速是辽东绿色经济区的重要交通基础设施，同时也具有完善高速网络、促进地区经济发展和保障国防建设的重要意义。</w:t>
      </w:r>
    </w:p>
    <w:p>
      <w:pPr>
        <w:widowControl/>
        <w:ind w:firstLine="480"/>
      </w:pPr>
      <w:r>
        <w:rPr>
          <w:rFonts w:hint="eastAsia"/>
        </w:rPr>
        <w:t>赤峰至绥中高速公路（G4515）凌源（蒙辽界）至绥中段（以下简称“凌绥高速”）是大庆至广州高速（G45）赤峰至绥中联络线（G4515）的辽宁段。大庆至广州高速赤峰至绥中联络线是连接国家高速公路网中大庆—广州、长春—深圳、北京—哈尔滨等三条国家高速公路的省际间大通道。凌绥高速将改善辽宁西部及内蒙古东部地区交通落后的情况并促进两地域的经济发展，同时也将解决辽宁省境内没有与内蒙古赤峰至凌源一级公路连接的道路的问题，并打通一条赤峰至绥中港的便捷通道。</w:t>
      </w:r>
    </w:p>
    <w:p>
      <w:pPr>
        <w:widowControl/>
        <w:ind w:firstLine="480"/>
      </w:pPr>
      <w:r>
        <w:rPr>
          <w:rFonts w:hint="eastAsia"/>
        </w:rPr>
        <w:t>2014年以来，国务院和国家发改委、财政部等部委纷纷出台了《关于在公共服务领域推广政府和社会资本合作模式指导意见的通知》（国办发〔2015〕42号）、《关于切实做好传统基础设施领域政府和社会资本合作有关工作的通知》（发改投资〔2016〕1744号）、《关于鼓励民间资本参与政府和社会资本合作(PPP)项目的指导意见》（发改投资〔2017〕2059号）、《关于推广运用政府和社会资本合作模式有关问题的通知》（财金〔2014〕76号）、《关于在公共服务领域深入推进政府和社会资本合作工作的通知》（财金〔2016〕90号）等政策，推动在基础设施及公共服务领域引入政府和社会资本合作（以下简称“PPP”）模式。同时，国家发改委和交通运输部联合发布《关于进一步做好收费公路政府和社会资本合作项目前期工作的通知》（发改办基础〔2016〕2851号），财政部和交通运输部联合发布《关于在收费公路领域推广运用政府和社会资本合作模式的实施意见》（财建〔2015〕111号），交通运输部发布《关于印发&lt;收费公路政府和社会资本合作操作指南&gt;的通知》（交办财审〔2017〕173号），鼓励在收费公路领域推广PPP模式。</w:t>
      </w:r>
    </w:p>
    <w:p>
      <w:pPr>
        <w:widowControl/>
        <w:ind w:firstLine="480"/>
      </w:pPr>
      <w:r>
        <w:rPr>
          <w:rFonts w:hint="eastAsia"/>
        </w:rPr>
        <w:t>为进一步提高本项目的建设、运营效率，积极响应中央各部委关于推广PPP模式的政策及倡导，吸收成熟社会资本在交通运输基础设施建设和运营领域的先进技术和成功管理经验，提高公共服务质量，辽宁省人民政府（以下简称“省政府”）决定采用PPP模式实施本项目，以充分吸引社会资本参与本项目的投融资、建设、运营、维护等工作，并授权辽宁省交通运输厅（以下简称“省交通运输厅”）作为本项目的实施机构，负责本项目准备、采购、签约、执行、监管和移交等实施工作。</w:t>
      </w:r>
    </w:p>
    <w:p>
      <w:pPr>
        <w:pStyle w:val="4"/>
      </w:pPr>
      <w:bookmarkStart w:id="5" w:name="_Toc93135811"/>
      <w:r>
        <w:rPr>
          <w:rFonts w:hint="eastAsia"/>
        </w:rPr>
        <w:t>项目总投资</w:t>
      </w:r>
      <w:bookmarkEnd w:id="5"/>
    </w:p>
    <w:p>
      <w:pPr>
        <w:pStyle w:val="5"/>
        <w:ind w:firstLine="562"/>
      </w:pPr>
      <w:bookmarkStart w:id="6" w:name="_Toc93135812"/>
      <w:bookmarkStart w:id="7" w:name="_Hlk84921860"/>
      <w:bookmarkStart w:id="8" w:name="_Hlk85025378"/>
      <w:bookmarkStart w:id="9" w:name="_Hlk41916177"/>
      <w:r>
        <w:rPr>
          <w:rFonts w:hint="eastAsia"/>
        </w:rPr>
        <w:t>本桓高速PPP项目</w:t>
      </w:r>
      <w:bookmarkEnd w:id="6"/>
    </w:p>
    <w:p>
      <w:pPr>
        <w:ind w:firstLine="480"/>
      </w:pPr>
      <w:r>
        <w:rPr>
          <w:rFonts w:hint="eastAsia"/>
        </w:rPr>
        <w:t>本桓高速PPP项目批复的概算总投资</w:t>
      </w:r>
      <w:r>
        <w:t>为人民币269</w:t>
      </w:r>
      <w:r>
        <w:rPr>
          <w:rFonts w:hint="eastAsia"/>
        </w:rPr>
        <w:t>亿</w:t>
      </w:r>
      <w:r>
        <w:t>元。</w:t>
      </w:r>
      <w:r>
        <w:rPr>
          <w:rFonts w:hint="eastAsia"/>
        </w:rPr>
        <w:t>结合当前投融资结构以及贷款利率假设重新计算建设期利息后，实施方案总投资为人民币</w:t>
      </w:r>
      <w:r>
        <w:t>264</w:t>
      </w:r>
      <w:r>
        <w:rPr>
          <w:rFonts w:hint="eastAsia"/>
        </w:rPr>
        <w:t>亿元。</w:t>
      </w:r>
      <w:bookmarkEnd w:id="7"/>
      <w:r>
        <w:rPr>
          <w:rFonts w:hint="eastAsia"/>
        </w:rPr>
        <w:t>本桓高速PPP项目</w:t>
      </w:r>
      <w:r>
        <w:t>总投资</w:t>
      </w:r>
      <w:r>
        <w:rPr>
          <w:rFonts w:hint="eastAsia"/>
        </w:rPr>
        <w:t>构成</w:t>
      </w:r>
      <w:r>
        <w:t>如</w:t>
      </w:r>
      <w:r>
        <w:rPr>
          <w:rFonts w:hint="eastAsia"/>
        </w:rPr>
        <w:t>下表</w:t>
      </w:r>
      <w:r>
        <w:t>所示：</w:t>
      </w:r>
      <w:bookmarkStart w:id="10" w:name="_Hlk68271643"/>
      <w:r>
        <w:t xml:space="preserve"> </w:t>
      </w:r>
      <w:bookmarkEnd w:id="8"/>
      <w:bookmarkEnd w:id="10"/>
    </w:p>
    <w:p>
      <w:pPr>
        <w:widowControl/>
        <w:spacing w:line="240" w:lineRule="auto"/>
        <w:ind w:firstLine="0" w:firstLineChars="0"/>
        <w:jc w:val="left"/>
        <w:rPr>
          <w:rFonts w:ascii="黑体" w:hAnsi="黑体" w:eastAsia="黑体" w:cs="Times New Roman"/>
          <w:b/>
          <w:bCs/>
          <w:sz w:val="21"/>
          <w:szCs w:val="21"/>
        </w:rPr>
      </w:pPr>
      <w:bookmarkStart w:id="11" w:name="_Toc86332464"/>
      <w:r>
        <w:rPr>
          <w:rFonts w:ascii="黑体" w:hAnsi="黑体" w:eastAsia="黑体"/>
          <w:b/>
          <w:bCs/>
          <w:sz w:val="21"/>
          <w:szCs w:val="21"/>
        </w:rPr>
        <w:br w:type="page"/>
      </w:r>
    </w:p>
    <w:p>
      <w:pPr>
        <w:pStyle w:val="31"/>
        <w:spacing w:before="312" w:beforeLines="100" w:after="156" w:afterLines="50"/>
        <w:ind w:firstLine="0" w:firstLineChars="0"/>
        <w:jc w:val="center"/>
        <w:rPr>
          <w:rFonts w:ascii="黑体" w:hAnsi="黑体" w:eastAsia="黑体"/>
          <w:b/>
          <w:bCs/>
          <w:sz w:val="21"/>
          <w:szCs w:val="21"/>
        </w:rPr>
      </w:pPr>
      <w:r>
        <w:rPr>
          <w:rFonts w:ascii="黑体" w:hAnsi="黑体" w:eastAsia="黑体"/>
          <w:b/>
          <w:bCs/>
          <w:sz w:val="21"/>
          <w:szCs w:val="21"/>
        </w:rPr>
        <w:t xml:space="preserve">表1 </w:t>
      </w:r>
      <w:r>
        <w:rPr>
          <w:rFonts w:hint="eastAsia" w:ascii="黑体" w:hAnsi="黑体" w:eastAsia="黑体"/>
          <w:b/>
          <w:bCs/>
          <w:sz w:val="21"/>
          <w:szCs w:val="21"/>
        </w:rPr>
        <w:t>本桓高速PPP项目</w:t>
      </w:r>
      <w:r>
        <w:rPr>
          <w:rFonts w:ascii="黑体" w:hAnsi="黑体" w:eastAsia="黑体"/>
          <w:b/>
          <w:bCs/>
          <w:sz w:val="21"/>
          <w:szCs w:val="21"/>
        </w:rPr>
        <w:t>总投资</w:t>
      </w:r>
      <w:r>
        <w:rPr>
          <w:rFonts w:hint="eastAsia" w:ascii="黑体" w:hAnsi="黑体" w:eastAsia="黑体"/>
          <w:b/>
          <w:bCs/>
          <w:sz w:val="21"/>
          <w:szCs w:val="21"/>
        </w:rPr>
        <w:t>构成</w:t>
      </w:r>
      <w:r>
        <w:rPr>
          <w:rFonts w:ascii="黑体" w:hAnsi="黑体" w:eastAsia="黑体"/>
          <w:b/>
          <w:bCs/>
          <w:sz w:val="21"/>
          <w:szCs w:val="21"/>
        </w:rPr>
        <w:t>表（单位：万元）</w:t>
      </w:r>
      <w:bookmarkEnd w:id="11"/>
    </w:p>
    <w:bookmarkEnd w:id="9"/>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903"/>
        <w:gridCol w:w="251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7"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bookmarkStart w:id="12" w:name="_Hlk36119901"/>
            <w:r>
              <w:rPr>
                <w:b/>
                <w:sz w:val="21"/>
                <w:szCs w:val="20"/>
              </w:rPr>
              <w:t>序号</w:t>
            </w:r>
          </w:p>
        </w:tc>
        <w:tc>
          <w:tcPr>
            <w:tcW w:w="1703"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b/>
                <w:sz w:val="21"/>
                <w:szCs w:val="20"/>
              </w:rPr>
              <w:t>项目</w:t>
            </w:r>
          </w:p>
        </w:tc>
        <w:tc>
          <w:tcPr>
            <w:tcW w:w="1478"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b/>
                <w:sz w:val="21"/>
                <w:szCs w:val="20"/>
              </w:rPr>
              <w:t>金额</w:t>
            </w:r>
          </w:p>
        </w:tc>
        <w:tc>
          <w:tcPr>
            <w:tcW w:w="1332"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rFonts w:hint="eastAsia"/>
                <w:b/>
                <w:sz w:val="21"/>
                <w:szCs w:val="20"/>
              </w:rPr>
              <w:t>占总投资比例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w:t>
            </w:r>
          </w:p>
        </w:tc>
        <w:tc>
          <w:tcPr>
            <w:tcW w:w="1703" w:type="pct"/>
            <w:shd w:val="clear" w:color="auto" w:fill="auto"/>
            <w:vAlign w:val="center"/>
          </w:tcPr>
          <w:p>
            <w:pPr>
              <w:spacing w:line="240" w:lineRule="auto"/>
              <w:ind w:firstLine="0" w:firstLineChars="0"/>
              <w:jc w:val="center"/>
              <w:rPr>
                <w:bCs/>
                <w:sz w:val="21"/>
                <w:szCs w:val="20"/>
              </w:rPr>
            </w:pPr>
            <w:r>
              <w:rPr>
                <w:bCs/>
                <w:sz w:val="21"/>
                <w:szCs w:val="20"/>
              </w:rPr>
              <w:t>静态投资</w:t>
            </w:r>
          </w:p>
        </w:tc>
        <w:tc>
          <w:tcPr>
            <w:tcW w:w="1478" w:type="pct"/>
            <w:shd w:val="clear" w:color="auto" w:fill="auto"/>
            <w:vAlign w:val="center"/>
          </w:tcPr>
          <w:p>
            <w:pPr>
              <w:spacing w:line="240" w:lineRule="auto"/>
              <w:ind w:firstLine="0" w:firstLineChars="0"/>
              <w:jc w:val="center"/>
              <w:rPr>
                <w:sz w:val="21"/>
                <w:szCs w:val="20"/>
              </w:rPr>
            </w:pPr>
            <w:r>
              <w:rPr>
                <w:sz w:val="21"/>
                <w:szCs w:val="20"/>
              </w:rPr>
              <w:t>2511082.19</w:t>
            </w:r>
          </w:p>
        </w:tc>
        <w:tc>
          <w:tcPr>
            <w:tcW w:w="1332" w:type="pct"/>
            <w:vAlign w:val="center"/>
          </w:tcPr>
          <w:p>
            <w:pPr>
              <w:spacing w:line="240" w:lineRule="auto"/>
              <w:ind w:firstLine="0" w:firstLineChars="0"/>
              <w:jc w:val="center"/>
              <w:rPr>
                <w:sz w:val="21"/>
                <w:szCs w:val="20"/>
              </w:rPr>
            </w:pPr>
            <w:r>
              <w:rPr>
                <w:sz w:val="21"/>
                <w:szCs w:val="20"/>
              </w:rPr>
              <w:t>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1.1</w:t>
            </w:r>
          </w:p>
        </w:tc>
        <w:tc>
          <w:tcPr>
            <w:tcW w:w="1703" w:type="pct"/>
            <w:shd w:val="clear" w:color="auto" w:fill="auto"/>
            <w:vAlign w:val="center"/>
          </w:tcPr>
          <w:p>
            <w:pPr>
              <w:spacing w:line="240" w:lineRule="auto"/>
              <w:ind w:firstLine="0" w:firstLineChars="0"/>
              <w:jc w:val="center"/>
              <w:rPr>
                <w:bCs/>
                <w:sz w:val="21"/>
                <w:szCs w:val="20"/>
              </w:rPr>
            </w:pPr>
            <w:r>
              <w:rPr>
                <w:rFonts w:hint="eastAsia"/>
                <w:bCs/>
                <w:sz w:val="21"/>
                <w:szCs w:val="20"/>
              </w:rPr>
              <w:t>建筑安装工程费</w:t>
            </w:r>
          </w:p>
          <w:p>
            <w:pPr>
              <w:spacing w:line="240" w:lineRule="auto"/>
              <w:ind w:firstLine="0" w:firstLineChars="0"/>
              <w:jc w:val="center"/>
              <w:rPr>
                <w:bCs/>
                <w:sz w:val="21"/>
                <w:szCs w:val="20"/>
              </w:rPr>
            </w:pPr>
            <w:r>
              <w:rPr>
                <w:rFonts w:hint="eastAsia"/>
                <w:bCs/>
                <w:sz w:val="21"/>
                <w:szCs w:val="20"/>
              </w:rPr>
              <w:t>（含设备购置费）</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1953009.77</w:t>
            </w:r>
          </w:p>
        </w:tc>
        <w:tc>
          <w:tcPr>
            <w:tcW w:w="1332" w:type="pct"/>
            <w:vAlign w:val="center"/>
          </w:tcPr>
          <w:p>
            <w:pPr>
              <w:adjustRightInd w:val="0"/>
              <w:snapToGrid w:val="0"/>
              <w:spacing w:line="240" w:lineRule="auto"/>
              <w:ind w:firstLine="0" w:firstLineChars="0"/>
              <w:jc w:val="center"/>
              <w:rPr>
                <w:sz w:val="21"/>
                <w:szCs w:val="20"/>
              </w:rPr>
            </w:pPr>
            <w:r>
              <w:rPr>
                <w:sz w:val="21"/>
                <w:szCs w:val="20"/>
              </w:rPr>
              <w:t>74.06%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1.2</w:t>
            </w:r>
          </w:p>
        </w:tc>
        <w:tc>
          <w:tcPr>
            <w:tcW w:w="1703" w:type="pct"/>
            <w:shd w:val="clear" w:color="auto" w:fill="auto"/>
            <w:vAlign w:val="center"/>
          </w:tcPr>
          <w:p>
            <w:pPr>
              <w:spacing w:line="240" w:lineRule="auto"/>
              <w:ind w:firstLine="0" w:firstLineChars="0"/>
              <w:jc w:val="center"/>
              <w:rPr>
                <w:bCs/>
                <w:sz w:val="21"/>
                <w:szCs w:val="20"/>
              </w:rPr>
            </w:pPr>
            <w:r>
              <w:rPr>
                <w:bCs/>
                <w:sz w:val="21"/>
                <w:szCs w:val="20"/>
              </w:rPr>
              <w:t>土地使用及拆迁补偿费</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341506.73</w:t>
            </w:r>
          </w:p>
        </w:tc>
        <w:tc>
          <w:tcPr>
            <w:tcW w:w="1332" w:type="pct"/>
            <w:vAlign w:val="center"/>
          </w:tcPr>
          <w:p>
            <w:pPr>
              <w:adjustRightInd w:val="0"/>
              <w:snapToGrid w:val="0"/>
              <w:spacing w:line="240" w:lineRule="auto"/>
              <w:ind w:firstLine="0" w:firstLineChars="0"/>
              <w:jc w:val="center"/>
              <w:rPr>
                <w:sz w:val="21"/>
                <w:szCs w:val="20"/>
              </w:rPr>
            </w:pPr>
            <w:r>
              <w:rPr>
                <w:sz w:val="21"/>
                <w:szCs w:val="20"/>
              </w:rPr>
              <w:t>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1.3</w:t>
            </w:r>
          </w:p>
        </w:tc>
        <w:tc>
          <w:tcPr>
            <w:tcW w:w="1703" w:type="pct"/>
            <w:shd w:val="clear" w:color="auto" w:fill="auto"/>
            <w:vAlign w:val="center"/>
          </w:tcPr>
          <w:p>
            <w:pPr>
              <w:adjustRightInd w:val="0"/>
              <w:snapToGrid w:val="0"/>
              <w:spacing w:line="240" w:lineRule="auto"/>
              <w:ind w:firstLine="0" w:firstLineChars="0"/>
              <w:jc w:val="center"/>
              <w:rPr>
                <w:bCs/>
                <w:sz w:val="21"/>
                <w:szCs w:val="20"/>
              </w:rPr>
            </w:pPr>
            <w:r>
              <w:rPr>
                <w:bCs/>
                <w:sz w:val="21"/>
                <w:szCs w:val="20"/>
              </w:rPr>
              <w:t>工程建设其他费</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91219.82</w:t>
            </w:r>
          </w:p>
        </w:tc>
        <w:tc>
          <w:tcPr>
            <w:tcW w:w="1332" w:type="pct"/>
            <w:vAlign w:val="center"/>
          </w:tcPr>
          <w:p>
            <w:pPr>
              <w:adjustRightInd w:val="0"/>
              <w:snapToGrid w:val="0"/>
              <w:spacing w:line="240" w:lineRule="auto"/>
              <w:ind w:firstLine="0" w:firstLineChars="0"/>
              <w:jc w:val="center"/>
              <w:rPr>
                <w:sz w:val="21"/>
                <w:szCs w:val="20"/>
              </w:rPr>
            </w:pPr>
            <w:r>
              <w:rPr>
                <w:sz w:val="21"/>
                <w:szCs w:val="20"/>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1.4</w:t>
            </w:r>
          </w:p>
        </w:tc>
        <w:tc>
          <w:tcPr>
            <w:tcW w:w="170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bCs/>
                <w:sz w:val="21"/>
                <w:szCs w:val="20"/>
              </w:rPr>
            </w:pPr>
            <w:r>
              <w:rPr>
                <w:bCs/>
                <w:sz w:val="21"/>
                <w:szCs w:val="20"/>
              </w:rPr>
              <w:t>预备费</w:t>
            </w:r>
          </w:p>
        </w:tc>
        <w:tc>
          <w:tcPr>
            <w:tcW w:w="147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119286.82</w:t>
            </w:r>
          </w:p>
        </w:tc>
        <w:tc>
          <w:tcPr>
            <w:tcW w:w="13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z w:val="21"/>
                <w:szCs w:val="20"/>
              </w:rPr>
            </w:pPr>
            <w:r>
              <w:rPr>
                <w:sz w:val="21"/>
                <w:szCs w:val="20"/>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2</w:t>
            </w:r>
          </w:p>
        </w:tc>
        <w:tc>
          <w:tcPr>
            <w:tcW w:w="170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bCs/>
                <w:sz w:val="21"/>
                <w:szCs w:val="20"/>
              </w:rPr>
            </w:pPr>
            <w:r>
              <w:rPr>
                <w:bCs/>
                <w:sz w:val="21"/>
                <w:szCs w:val="20"/>
              </w:rPr>
              <w:t>建设期利息</w:t>
            </w:r>
          </w:p>
        </w:tc>
        <w:tc>
          <w:tcPr>
            <w:tcW w:w="147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132121.43</w:t>
            </w:r>
          </w:p>
        </w:tc>
        <w:tc>
          <w:tcPr>
            <w:tcW w:w="13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z w:val="21"/>
                <w:szCs w:val="20"/>
              </w:rPr>
            </w:pPr>
            <w:r>
              <w:rPr>
                <w:sz w:val="21"/>
                <w:szCs w:val="20"/>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pct"/>
            <w:gridSpan w:val="2"/>
            <w:shd w:val="clear" w:color="auto" w:fill="auto"/>
            <w:vAlign w:val="center"/>
          </w:tcPr>
          <w:p>
            <w:pPr>
              <w:adjustRightInd w:val="0"/>
              <w:snapToGrid w:val="0"/>
              <w:spacing w:line="240" w:lineRule="auto"/>
              <w:ind w:firstLine="0" w:firstLineChars="0"/>
              <w:jc w:val="center"/>
              <w:rPr>
                <w:b/>
                <w:sz w:val="21"/>
                <w:szCs w:val="20"/>
              </w:rPr>
            </w:pPr>
            <w:r>
              <w:rPr>
                <w:rFonts w:hint="eastAsia"/>
                <w:b/>
                <w:sz w:val="21"/>
                <w:szCs w:val="20"/>
              </w:rPr>
              <w:t>总投资</w:t>
            </w:r>
          </w:p>
        </w:tc>
        <w:tc>
          <w:tcPr>
            <w:tcW w:w="1478" w:type="pct"/>
            <w:shd w:val="clear" w:color="auto" w:fill="auto"/>
            <w:vAlign w:val="center"/>
          </w:tcPr>
          <w:p>
            <w:pPr>
              <w:spacing w:line="240" w:lineRule="auto"/>
              <w:ind w:firstLine="0" w:firstLineChars="0"/>
              <w:jc w:val="center"/>
              <w:rPr>
                <w:b/>
                <w:bCs/>
                <w:color w:val="000000"/>
                <w:sz w:val="21"/>
                <w:szCs w:val="20"/>
              </w:rPr>
            </w:pPr>
            <w:r>
              <w:rPr>
                <w:b/>
                <w:bCs/>
                <w:sz w:val="21"/>
                <w:szCs w:val="20"/>
              </w:rPr>
              <w:t>2637144.55</w:t>
            </w:r>
          </w:p>
        </w:tc>
        <w:tc>
          <w:tcPr>
            <w:tcW w:w="1332" w:type="pct"/>
            <w:vAlign w:val="center"/>
          </w:tcPr>
          <w:p>
            <w:pPr>
              <w:spacing w:line="240" w:lineRule="auto"/>
              <w:ind w:firstLine="0" w:firstLineChars="0"/>
              <w:jc w:val="center"/>
              <w:rPr>
                <w:b/>
                <w:color w:val="000000"/>
                <w:sz w:val="21"/>
                <w:szCs w:val="20"/>
              </w:rPr>
            </w:pPr>
            <w:r>
              <w:rPr>
                <w:rFonts w:hint="eastAsia"/>
                <w:b/>
                <w:bCs/>
                <w:sz w:val="21"/>
                <w:szCs w:val="20"/>
              </w:rPr>
              <w:t>-</w:t>
            </w:r>
          </w:p>
        </w:tc>
      </w:tr>
      <w:bookmarkEnd w:id="12"/>
    </w:tbl>
    <w:p>
      <w:pPr>
        <w:pStyle w:val="5"/>
        <w:ind w:firstLine="562" w:firstLineChars="200"/>
      </w:pPr>
      <w:bookmarkStart w:id="13" w:name="_Toc93135813"/>
      <w:r>
        <w:rPr>
          <w:rFonts w:hint="eastAsia"/>
        </w:rPr>
        <w:t>凌绥高速PPP项目</w:t>
      </w:r>
      <w:bookmarkEnd w:id="13"/>
    </w:p>
    <w:p>
      <w:pPr>
        <w:ind w:firstLine="480"/>
        <w:rPr>
          <w:rFonts w:ascii="黑体" w:hAnsi="黑体" w:eastAsia="黑体" w:cs="Times New Roman"/>
          <w:b/>
          <w:bCs/>
          <w:sz w:val="21"/>
          <w:szCs w:val="21"/>
        </w:rPr>
      </w:pPr>
      <w:r>
        <w:rPr>
          <w:rFonts w:hint="eastAsia"/>
        </w:rPr>
        <w:t>凌绥高速PPP项目批复的概算总投资</w:t>
      </w:r>
      <w:r>
        <w:t>为人民币168</w:t>
      </w:r>
      <w:r>
        <w:rPr>
          <w:rFonts w:hint="eastAsia"/>
        </w:rPr>
        <w:t>亿</w:t>
      </w:r>
      <w:r>
        <w:t>元。</w:t>
      </w:r>
      <w:r>
        <w:rPr>
          <w:rFonts w:hint="eastAsia"/>
        </w:rPr>
        <w:t>结合当前投融资结构以及贷款利率假设重新计算建设期利息后，实施方案总投资为人民币</w:t>
      </w:r>
      <w:r>
        <w:t>164</w:t>
      </w:r>
      <w:r>
        <w:rPr>
          <w:rFonts w:hint="eastAsia"/>
        </w:rPr>
        <w:t>亿元。凌绥高速PPP项目</w:t>
      </w:r>
      <w:r>
        <w:t>总投资</w:t>
      </w:r>
      <w:r>
        <w:rPr>
          <w:rFonts w:hint="eastAsia"/>
        </w:rPr>
        <w:t>构成</w:t>
      </w:r>
      <w:r>
        <w:t>如</w:t>
      </w:r>
      <w:r>
        <w:rPr>
          <w:rFonts w:hint="eastAsia"/>
        </w:rPr>
        <w:t>下表</w:t>
      </w:r>
      <w:r>
        <w:t xml:space="preserve">所示： </w:t>
      </w:r>
    </w:p>
    <w:p>
      <w:pPr>
        <w:pStyle w:val="31"/>
        <w:spacing w:before="312" w:beforeLines="100" w:after="156" w:afterLines="50"/>
        <w:ind w:firstLine="0" w:firstLineChars="0"/>
        <w:jc w:val="center"/>
        <w:rPr>
          <w:rFonts w:ascii="黑体" w:hAnsi="黑体" w:eastAsia="黑体"/>
          <w:b/>
          <w:bCs/>
          <w:sz w:val="21"/>
          <w:szCs w:val="21"/>
        </w:rPr>
      </w:pPr>
      <w:r>
        <w:rPr>
          <w:rFonts w:ascii="黑体" w:hAnsi="黑体" w:eastAsia="黑体"/>
          <w:b/>
          <w:bCs/>
          <w:sz w:val="21"/>
          <w:szCs w:val="21"/>
        </w:rPr>
        <w:t>表</w:t>
      </w:r>
      <w:r>
        <w:rPr>
          <w:rFonts w:hint="eastAsia" w:ascii="黑体" w:hAnsi="黑体" w:eastAsia="黑体"/>
          <w:b/>
          <w:bCs/>
          <w:sz w:val="21"/>
          <w:szCs w:val="21"/>
        </w:rPr>
        <w:t>2</w:t>
      </w:r>
      <w:r>
        <w:rPr>
          <w:rFonts w:ascii="黑体" w:hAnsi="黑体" w:eastAsia="黑体"/>
          <w:b/>
          <w:bCs/>
          <w:sz w:val="21"/>
          <w:szCs w:val="21"/>
        </w:rPr>
        <w:t xml:space="preserve"> </w:t>
      </w:r>
      <w:r>
        <w:rPr>
          <w:rFonts w:hint="eastAsia" w:ascii="黑体" w:hAnsi="黑体" w:eastAsia="黑体"/>
          <w:b/>
          <w:bCs/>
          <w:sz w:val="21"/>
          <w:szCs w:val="21"/>
        </w:rPr>
        <w:t>凌绥高速PPP项目</w:t>
      </w:r>
      <w:r>
        <w:rPr>
          <w:rFonts w:ascii="黑体" w:hAnsi="黑体" w:eastAsia="黑体"/>
          <w:b/>
          <w:bCs/>
          <w:sz w:val="21"/>
          <w:szCs w:val="21"/>
        </w:rPr>
        <w:t>总投资</w:t>
      </w:r>
      <w:r>
        <w:rPr>
          <w:rFonts w:hint="eastAsia" w:ascii="黑体" w:hAnsi="黑体" w:eastAsia="黑体"/>
          <w:b/>
          <w:bCs/>
          <w:sz w:val="21"/>
          <w:szCs w:val="21"/>
        </w:rPr>
        <w:t>构成</w:t>
      </w:r>
      <w:r>
        <w:rPr>
          <w:rFonts w:ascii="黑体" w:hAnsi="黑体" w:eastAsia="黑体"/>
          <w:b/>
          <w:bCs/>
          <w:sz w:val="21"/>
          <w:szCs w:val="21"/>
        </w:rPr>
        <w:t>表（单位：万元）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903"/>
        <w:gridCol w:w="251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7"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b/>
                <w:sz w:val="21"/>
                <w:szCs w:val="20"/>
              </w:rPr>
              <w:t>序号</w:t>
            </w:r>
          </w:p>
        </w:tc>
        <w:tc>
          <w:tcPr>
            <w:tcW w:w="1703"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b/>
                <w:sz w:val="21"/>
                <w:szCs w:val="20"/>
              </w:rPr>
              <w:t>项目</w:t>
            </w:r>
          </w:p>
        </w:tc>
        <w:tc>
          <w:tcPr>
            <w:tcW w:w="1478"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b/>
                <w:sz w:val="21"/>
                <w:szCs w:val="20"/>
              </w:rPr>
              <w:t>金额</w:t>
            </w:r>
          </w:p>
        </w:tc>
        <w:tc>
          <w:tcPr>
            <w:tcW w:w="1332" w:type="pct"/>
            <w:shd w:val="clear" w:color="auto" w:fill="D9E2F3" w:themeFill="accent1" w:themeFillTint="33"/>
            <w:vAlign w:val="center"/>
          </w:tcPr>
          <w:p>
            <w:pPr>
              <w:adjustRightInd w:val="0"/>
              <w:snapToGrid w:val="0"/>
              <w:spacing w:line="240" w:lineRule="auto"/>
              <w:ind w:firstLine="0" w:firstLineChars="0"/>
              <w:jc w:val="center"/>
              <w:rPr>
                <w:b/>
                <w:sz w:val="21"/>
                <w:szCs w:val="20"/>
              </w:rPr>
            </w:pPr>
            <w:r>
              <w:rPr>
                <w:rFonts w:hint="eastAsia"/>
                <w:b/>
                <w:sz w:val="21"/>
                <w:szCs w:val="20"/>
              </w:rPr>
              <w:t>占总投资比例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w:t>
            </w:r>
          </w:p>
        </w:tc>
        <w:tc>
          <w:tcPr>
            <w:tcW w:w="1703" w:type="pct"/>
            <w:shd w:val="clear" w:color="auto" w:fill="auto"/>
            <w:vAlign w:val="center"/>
          </w:tcPr>
          <w:p>
            <w:pPr>
              <w:spacing w:line="240" w:lineRule="auto"/>
              <w:ind w:firstLine="0" w:firstLineChars="0"/>
              <w:jc w:val="center"/>
              <w:rPr>
                <w:bCs/>
                <w:sz w:val="21"/>
                <w:szCs w:val="20"/>
              </w:rPr>
            </w:pPr>
            <w:r>
              <w:rPr>
                <w:bCs/>
                <w:sz w:val="21"/>
                <w:szCs w:val="20"/>
              </w:rPr>
              <w:t>静态投资</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1557706.00</w:t>
            </w:r>
          </w:p>
        </w:tc>
        <w:tc>
          <w:tcPr>
            <w:tcW w:w="1332" w:type="pct"/>
            <w:vAlign w:val="center"/>
          </w:tcPr>
          <w:p>
            <w:pPr>
              <w:adjustRightInd w:val="0"/>
              <w:snapToGrid w:val="0"/>
              <w:spacing w:line="240" w:lineRule="auto"/>
              <w:ind w:firstLine="0" w:firstLineChars="0"/>
              <w:jc w:val="center"/>
              <w:rPr>
                <w:sz w:val="21"/>
                <w:szCs w:val="20"/>
              </w:rPr>
            </w:pPr>
            <w:r>
              <w:rPr>
                <w:sz w:val="21"/>
                <w:szCs w:val="20"/>
              </w:rPr>
              <w:t>95.16%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1.1</w:t>
            </w:r>
          </w:p>
        </w:tc>
        <w:tc>
          <w:tcPr>
            <w:tcW w:w="1703" w:type="pct"/>
            <w:shd w:val="clear" w:color="auto" w:fill="auto"/>
            <w:vAlign w:val="center"/>
          </w:tcPr>
          <w:p>
            <w:pPr>
              <w:spacing w:line="240" w:lineRule="auto"/>
              <w:ind w:firstLine="0" w:firstLineChars="0"/>
              <w:jc w:val="center"/>
              <w:rPr>
                <w:bCs/>
                <w:sz w:val="21"/>
                <w:szCs w:val="20"/>
              </w:rPr>
            </w:pPr>
            <w:r>
              <w:rPr>
                <w:rFonts w:hint="eastAsia"/>
                <w:bCs/>
                <w:sz w:val="21"/>
                <w:szCs w:val="20"/>
              </w:rPr>
              <w:t>建筑安装工程费</w:t>
            </w:r>
          </w:p>
          <w:p>
            <w:pPr>
              <w:spacing w:line="240" w:lineRule="auto"/>
              <w:ind w:firstLine="0" w:firstLineChars="0"/>
              <w:jc w:val="center"/>
              <w:rPr>
                <w:bCs/>
                <w:sz w:val="21"/>
                <w:szCs w:val="20"/>
              </w:rPr>
            </w:pPr>
            <w:r>
              <w:rPr>
                <w:rFonts w:hint="eastAsia"/>
                <w:bCs/>
                <w:sz w:val="21"/>
                <w:szCs w:val="20"/>
              </w:rPr>
              <w:t>（含设备购置费）</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1197550.20</w:t>
            </w:r>
          </w:p>
        </w:tc>
        <w:tc>
          <w:tcPr>
            <w:tcW w:w="1332" w:type="pct"/>
            <w:vAlign w:val="center"/>
          </w:tcPr>
          <w:p>
            <w:pPr>
              <w:adjustRightInd w:val="0"/>
              <w:snapToGrid w:val="0"/>
              <w:spacing w:line="240" w:lineRule="auto"/>
              <w:ind w:firstLine="0" w:firstLineChars="0"/>
              <w:jc w:val="center"/>
              <w:rPr>
                <w:sz w:val="21"/>
                <w:szCs w:val="20"/>
              </w:rPr>
            </w:pPr>
            <w:r>
              <w:rPr>
                <w:sz w:val="21"/>
                <w:szCs w:val="20"/>
              </w:rPr>
              <w:t>73.15%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1.2</w:t>
            </w:r>
          </w:p>
        </w:tc>
        <w:tc>
          <w:tcPr>
            <w:tcW w:w="1703" w:type="pct"/>
            <w:shd w:val="clear" w:color="auto" w:fill="auto"/>
            <w:vAlign w:val="center"/>
          </w:tcPr>
          <w:p>
            <w:pPr>
              <w:spacing w:line="240" w:lineRule="auto"/>
              <w:ind w:firstLine="0" w:firstLineChars="0"/>
              <w:jc w:val="center"/>
              <w:rPr>
                <w:bCs/>
                <w:sz w:val="21"/>
                <w:szCs w:val="20"/>
              </w:rPr>
            </w:pPr>
            <w:r>
              <w:rPr>
                <w:bCs/>
                <w:sz w:val="21"/>
                <w:szCs w:val="20"/>
              </w:rPr>
              <w:t>土地使用及拆迁补偿费</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224636.44</w:t>
            </w:r>
          </w:p>
        </w:tc>
        <w:tc>
          <w:tcPr>
            <w:tcW w:w="1332" w:type="pct"/>
            <w:vAlign w:val="center"/>
          </w:tcPr>
          <w:p>
            <w:pPr>
              <w:adjustRightInd w:val="0"/>
              <w:snapToGrid w:val="0"/>
              <w:spacing w:line="240" w:lineRule="auto"/>
              <w:ind w:firstLine="0" w:firstLineChars="0"/>
              <w:jc w:val="center"/>
              <w:rPr>
                <w:sz w:val="21"/>
                <w:szCs w:val="20"/>
              </w:rPr>
            </w:pPr>
            <w:r>
              <w:rPr>
                <w:sz w:val="21"/>
                <w:szCs w:val="20"/>
              </w:rPr>
              <w:t>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shd w:val="clear" w:color="auto" w:fill="auto"/>
            <w:vAlign w:val="center"/>
          </w:tcPr>
          <w:p>
            <w:pPr>
              <w:adjustRightInd w:val="0"/>
              <w:snapToGrid w:val="0"/>
              <w:spacing w:line="240" w:lineRule="auto"/>
              <w:ind w:firstLine="0" w:firstLineChars="0"/>
              <w:jc w:val="center"/>
              <w:rPr>
                <w:sz w:val="21"/>
                <w:szCs w:val="20"/>
              </w:rPr>
            </w:pPr>
            <w:r>
              <w:rPr>
                <w:sz w:val="21"/>
                <w:szCs w:val="20"/>
              </w:rPr>
              <w:t>1.3</w:t>
            </w:r>
          </w:p>
        </w:tc>
        <w:tc>
          <w:tcPr>
            <w:tcW w:w="1703" w:type="pct"/>
            <w:shd w:val="clear" w:color="auto" w:fill="auto"/>
            <w:vAlign w:val="center"/>
          </w:tcPr>
          <w:p>
            <w:pPr>
              <w:adjustRightInd w:val="0"/>
              <w:snapToGrid w:val="0"/>
              <w:spacing w:line="240" w:lineRule="auto"/>
              <w:ind w:firstLine="0" w:firstLineChars="0"/>
              <w:jc w:val="center"/>
              <w:rPr>
                <w:bCs/>
                <w:sz w:val="21"/>
                <w:szCs w:val="20"/>
              </w:rPr>
            </w:pPr>
            <w:r>
              <w:rPr>
                <w:bCs/>
                <w:sz w:val="21"/>
                <w:szCs w:val="20"/>
              </w:rPr>
              <w:t>工程建设其他费</w:t>
            </w:r>
          </w:p>
        </w:tc>
        <w:tc>
          <w:tcPr>
            <w:tcW w:w="1478" w:type="pct"/>
            <w:shd w:val="clear" w:color="auto" w:fill="auto"/>
            <w:vAlign w:val="center"/>
          </w:tcPr>
          <w:p>
            <w:pPr>
              <w:adjustRightInd w:val="0"/>
              <w:snapToGrid w:val="0"/>
              <w:spacing w:line="240" w:lineRule="auto"/>
              <w:ind w:firstLine="0" w:firstLineChars="0"/>
              <w:jc w:val="center"/>
              <w:rPr>
                <w:sz w:val="21"/>
                <w:szCs w:val="20"/>
              </w:rPr>
            </w:pPr>
            <w:r>
              <w:rPr>
                <w:sz w:val="21"/>
                <w:szCs w:val="20"/>
              </w:rPr>
              <w:t>61342.88</w:t>
            </w:r>
          </w:p>
        </w:tc>
        <w:tc>
          <w:tcPr>
            <w:tcW w:w="1332" w:type="pct"/>
            <w:vAlign w:val="center"/>
          </w:tcPr>
          <w:p>
            <w:pPr>
              <w:adjustRightInd w:val="0"/>
              <w:snapToGrid w:val="0"/>
              <w:spacing w:line="240" w:lineRule="auto"/>
              <w:ind w:firstLine="0" w:firstLineChars="0"/>
              <w:jc w:val="center"/>
              <w:rPr>
                <w:sz w:val="21"/>
                <w:szCs w:val="20"/>
              </w:rPr>
            </w:pPr>
            <w:r>
              <w:rPr>
                <w:sz w:val="21"/>
                <w:szCs w:val="20"/>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1.4</w:t>
            </w:r>
          </w:p>
        </w:tc>
        <w:tc>
          <w:tcPr>
            <w:tcW w:w="170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bCs/>
                <w:sz w:val="21"/>
                <w:szCs w:val="20"/>
              </w:rPr>
            </w:pPr>
            <w:r>
              <w:rPr>
                <w:bCs/>
                <w:sz w:val="21"/>
                <w:szCs w:val="20"/>
              </w:rPr>
              <w:t>预备费</w:t>
            </w:r>
          </w:p>
        </w:tc>
        <w:tc>
          <w:tcPr>
            <w:tcW w:w="147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74176.48</w:t>
            </w:r>
          </w:p>
        </w:tc>
        <w:tc>
          <w:tcPr>
            <w:tcW w:w="13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z w:val="21"/>
                <w:szCs w:val="20"/>
              </w:rPr>
            </w:pPr>
            <w:r>
              <w:rPr>
                <w:sz w:val="21"/>
                <w:szCs w:val="20"/>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2</w:t>
            </w:r>
          </w:p>
        </w:tc>
        <w:tc>
          <w:tcPr>
            <w:tcW w:w="170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bCs/>
                <w:sz w:val="21"/>
                <w:szCs w:val="20"/>
              </w:rPr>
            </w:pPr>
            <w:r>
              <w:rPr>
                <w:bCs/>
                <w:sz w:val="21"/>
                <w:szCs w:val="20"/>
              </w:rPr>
              <w:t>建设期利息</w:t>
            </w:r>
          </w:p>
        </w:tc>
        <w:tc>
          <w:tcPr>
            <w:tcW w:w="147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sz w:val="21"/>
                <w:szCs w:val="20"/>
              </w:rPr>
            </w:pPr>
            <w:r>
              <w:rPr>
                <w:sz w:val="21"/>
                <w:szCs w:val="20"/>
              </w:rPr>
              <w:t>79298.70</w:t>
            </w:r>
          </w:p>
        </w:tc>
        <w:tc>
          <w:tcPr>
            <w:tcW w:w="13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z w:val="21"/>
                <w:szCs w:val="20"/>
              </w:rPr>
            </w:pPr>
            <w:r>
              <w:rPr>
                <w:sz w:val="21"/>
                <w:szCs w:val="20"/>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pct"/>
            <w:gridSpan w:val="2"/>
            <w:shd w:val="clear" w:color="auto" w:fill="auto"/>
            <w:vAlign w:val="center"/>
          </w:tcPr>
          <w:p>
            <w:pPr>
              <w:adjustRightInd w:val="0"/>
              <w:snapToGrid w:val="0"/>
              <w:spacing w:line="240" w:lineRule="auto"/>
              <w:ind w:firstLine="0" w:firstLineChars="0"/>
              <w:jc w:val="center"/>
              <w:rPr>
                <w:b/>
                <w:sz w:val="21"/>
                <w:szCs w:val="20"/>
              </w:rPr>
            </w:pPr>
            <w:r>
              <w:rPr>
                <w:rFonts w:hint="eastAsia"/>
                <w:b/>
                <w:sz w:val="21"/>
                <w:szCs w:val="20"/>
              </w:rPr>
              <w:t>总投资</w:t>
            </w:r>
          </w:p>
        </w:tc>
        <w:tc>
          <w:tcPr>
            <w:tcW w:w="1478" w:type="pct"/>
            <w:shd w:val="clear" w:color="auto" w:fill="auto"/>
            <w:vAlign w:val="center"/>
          </w:tcPr>
          <w:p>
            <w:pPr>
              <w:spacing w:line="240" w:lineRule="auto"/>
              <w:ind w:firstLine="0" w:firstLineChars="0"/>
              <w:jc w:val="center"/>
              <w:rPr>
                <w:b/>
                <w:bCs/>
                <w:color w:val="000000"/>
                <w:sz w:val="21"/>
                <w:szCs w:val="20"/>
              </w:rPr>
            </w:pPr>
            <w:r>
              <w:rPr>
                <w:b/>
                <w:bCs/>
                <w:sz w:val="21"/>
                <w:szCs w:val="20"/>
              </w:rPr>
              <w:t>1637004.69</w:t>
            </w:r>
          </w:p>
        </w:tc>
        <w:tc>
          <w:tcPr>
            <w:tcW w:w="1332" w:type="pct"/>
            <w:vAlign w:val="center"/>
          </w:tcPr>
          <w:p>
            <w:pPr>
              <w:spacing w:line="240" w:lineRule="auto"/>
              <w:ind w:firstLine="0" w:firstLineChars="0"/>
              <w:jc w:val="center"/>
              <w:rPr>
                <w:b/>
                <w:color w:val="000000"/>
                <w:sz w:val="21"/>
                <w:szCs w:val="20"/>
              </w:rPr>
            </w:pPr>
            <w:r>
              <w:rPr>
                <w:rFonts w:hint="eastAsia"/>
                <w:b/>
                <w:color w:val="000000"/>
                <w:sz w:val="21"/>
                <w:szCs w:val="20"/>
              </w:rPr>
              <w:t>-</w:t>
            </w:r>
          </w:p>
        </w:tc>
      </w:tr>
    </w:tbl>
    <w:p>
      <w:pPr>
        <w:pStyle w:val="4"/>
        <w:spacing w:before="156" w:after="156"/>
      </w:pPr>
      <w:bookmarkStart w:id="14" w:name="_Toc93135814"/>
      <w:r>
        <w:rPr>
          <w:rFonts w:hint="eastAsia"/>
        </w:rPr>
        <w:t>项目区位</w:t>
      </w:r>
      <w:bookmarkEnd w:id="14"/>
    </w:p>
    <w:p>
      <w:pPr>
        <w:pStyle w:val="5"/>
        <w:numPr>
          <w:ilvl w:val="0"/>
          <w:numId w:val="5"/>
        </w:numPr>
        <w:ind w:firstLine="562" w:firstLineChars="200"/>
      </w:pPr>
      <w:bookmarkStart w:id="15" w:name="_Toc93135815"/>
      <w:r>
        <w:rPr>
          <w:rFonts w:hint="eastAsia"/>
        </w:rPr>
        <w:t>本桓高速PPP项目</w:t>
      </w:r>
      <w:bookmarkEnd w:id="15"/>
    </w:p>
    <w:p>
      <w:pPr>
        <w:ind w:firstLine="480"/>
      </w:pPr>
      <w:r>
        <w:rPr>
          <w:rFonts w:hint="eastAsia"/>
        </w:rPr>
        <w:t>本桓主线起自本溪市明山区威宁村附近，经本溪县城、田师傅镇、碱厂镇、东营坊乡、桓仁县八里甸子镇、华来镇，完全利用已建成的永桓高速、鹤大高速部分路段，经桓仁县二棚甸子镇、五里甸子镇，止于挂牌岭（辽吉界）。宽甸支线起自桓仁县八里甸子镇龙爪沟村附近，经双山子镇，止于宽甸县梨树园村附近。</w:t>
      </w:r>
    </w:p>
    <w:p>
      <w:pPr>
        <w:pStyle w:val="5"/>
        <w:ind w:firstLine="562" w:firstLineChars="200"/>
      </w:pPr>
      <w:bookmarkStart w:id="16" w:name="_Toc93135816"/>
      <w:r>
        <w:rPr>
          <w:rFonts w:hint="eastAsia"/>
        </w:rPr>
        <w:t>凌绥高速PPP项目</w:t>
      </w:r>
      <w:bookmarkEnd w:id="16"/>
    </w:p>
    <w:p>
      <w:pPr>
        <w:ind w:firstLine="480"/>
      </w:pPr>
      <w:r>
        <w:rPr>
          <w:rFonts w:hint="eastAsia"/>
        </w:rPr>
        <w:t>凌绥高速主线起自凌源市热水汤街道北沟村（蒙辽界），接拟改造的内蒙古自治区赤峰至凌源（蒙辽界）公路，止于绥中县王宝镇小冯屯村规划渤海大街。绥中港连接线起自主线终点，止于王宝镇平坊村，接国道G228线（滨海公路）。</w:t>
      </w:r>
    </w:p>
    <w:p>
      <w:pPr>
        <w:pStyle w:val="4"/>
      </w:pPr>
      <w:bookmarkStart w:id="17" w:name="_Toc93135817"/>
      <w:r>
        <w:rPr>
          <w:rFonts w:hint="eastAsia"/>
        </w:rPr>
        <w:t>建设内容</w:t>
      </w:r>
      <w:bookmarkEnd w:id="17"/>
    </w:p>
    <w:p>
      <w:pPr>
        <w:pStyle w:val="5"/>
        <w:numPr>
          <w:ilvl w:val="0"/>
          <w:numId w:val="6"/>
        </w:numPr>
        <w:ind w:firstLine="562" w:firstLineChars="200"/>
      </w:pPr>
      <w:bookmarkStart w:id="18" w:name="_Hlk92624745"/>
      <w:bookmarkStart w:id="19" w:name="_Toc93135818"/>
      <w:r>
        <w:rPr>
          <w:rFonts w:hint="eastAsia"/>
        </w:rPr>
        <w:t>本桓高速PPP项目</w:t>
      </w:r>
      <w:bookmarkEnd w:id="18"/>
      <w:bookmarkEnd w:id="19"/>
    </w:p>
    <w:p>
      <w:pPr>
        <w:ind w:firstLine="480"/>
      </w:pPr>
      <w:r>
        <w:rPr>
          <w:rFonts w:hint="eastAsia"/>
        </w:rPr>
        <w:t>根据《交通运输部关于本溪至集安国家高速公路辽宁省本溪至桓仁（辽吉界）段初步设计的批复》，本桓高速包括本桓主线和宽甸支线，本桓主线路线全长208.105公里，其中新建176.105公里、完全利用32.000公里；宽甸支线路线全长46.752公里。</w:t>
      </w:r>
    </w:p>
    <w:p>
      <w:pPr>
        <w:ind w:firstLine="480"/>
      </w:pPr>
      <w:r>
        <w:rPr>
          <w:rFonts w:hint="eastAsia"/>
        </w:rPr>
        <w:t>本桓主线新建段设置威宁（枢纽）、卧龙、水洞、小市、田师傅、碱厂、八里甸子、华来（枢纽）、桓仁南（枢纽）、二棚甸子、五里甸子11处互通式立交；宽甸支线设置龙爪沟（枢纽）、天桥沟、双子山、梨树园（枢纽）4处互通式立交。主线新建段和宽甸支线均采用双向四车道高速公路标准建设，设计速度采用100公里/小时，路基宽度26米，桥涵设计汽车荷载等级采用公路-I级，其他技术指标按《公路工程技术标准》（JTGB01-2014）执行。本桓主线完全利用段维持原技术标准。</w:t>
      </w:r>
    </w:p>
    <w:p>
      <w:pPr>
        <w:ind w:firstLine="480"/>
      </w:pPr>
      <w:r>
        <w:rPr>
          <w:rFonts w:hint="eastAsia"/>
        </w:rPr>
        <w:t>全线设置监控通信分中心1处，监控通信站4处（本桓主线3处、宽甸支线1处），养护工区5处（本桓主线4处、宽甸支线1处），匝道收费站11处（本桓主线新建8处、改建1处，宽甸支线2处），服务区4处（本桓主线3处、宽甸支线1处），停车区4处（本桓主线3处、宽甸支线1处）。核定全线管理、养护及服务设施总建筑面积74586平方米（本桓主线59999平方米、宽甸支线14587平方米）、占地面积839亩（主线661亩、宽甸支线178亩）。</w:t>
      </w:r>
    </w:p>
    <w:p>
      <w:pPr>
        <w:spacing w:before="312" w:beforeLines="100" w:after="156" w:afterLines="50" w:line="240" w:lineRule="auto"/>
        <w:ind w:firstLine="0" w:firstLineChars="0"/>
        <w:jc w:val="center"/>
        <w:rPr>
          <w:rFonts w:ascii="黑体" w:hAnsi="黑体" w:eastAsia="黑体" w:cs="Times New Roman"/>
          <w:b/>
          <w:bCs/>
        </w:rPr>
      </w:pPr>
      <w:bookmarkStart w:id="20" w:name="_Toc86332463"/>
      <w:r>
        <w:rPr>
          <w:rFonts w:ascii="黑体" w:hAnsi="黑体" w:eastAsia="黑体" w:cs="Times New Roman"/>
          <w:b/>
          <w:bCs/>
        </w:rPr>
        <w:br w:type="page"/>
      </w:r>
    </w:p>
    <w:bookmarkEnd w:id="20"/>
    <w:p>
      <w:pPr>
        <w:pStyle w:val="5"/>
        <w:ind w:firstLine="562" w:firstLineChars="200"/>
      </w:pPr>
      <w:bookmarkStart w:id="21" w:name="_Hlk92624824"/>
      <w:bookmarkStart w:id="22" w:name="_Toc93135819"/>
      <w:r>
        <w:rPr>
          <w:rFonts w:hint="eastAsia"/>
        </w:rPr>
        <w:t>凌绥高速PPP项目</w:t>
      </w:r>
      <w:bookmarkEnd w:id="21"/>
      <w:bookmarkEnd w:id="22"/>
    </w:p>
    <w:p>
      <w:pPr>
        <w:ind w:firstLine="480"/>
      </w:pPr>
      <w:r>
        <w:rPr>
          <w:rFonts w:hint="eastAsia"/>
        </w:rPr>
        <w:t>根据《交通运输部关于赤峰至绥中国家高速公路辽宁省凌源（蒙辽界）至绥中段初步设计的批复》</w:t>
      </w:r>
      <w:r>
        <w:t>，</w:t>
      </w:r>
      <w:r>
        <w:rPr>
          <w:rFonts w:hint="eastAsia"/>
        </w:rPr>
        <w:t>凌绥高速包括高速公路主线和连接线，其中高速公路主线路线全长172.200公里，连接线路线全长3.117公里。</w:t>
      </w:r>
    </w:p>
    <w:p>
      <w:pPr>
        <w:ind w:firstLine="480"/>
      </w:pPr>
      <w:r>
        <w:rPr>
          <w:rFonts w:hint="eastAsia"/>
        </w:rPr>
        <w:t>高速公路主线采用双向四车道高速公路标准建设，设计速度采用100公里/小时，路基宽度26米。连接线采用双向四车道一级公路标准建设，设计速度采用80公里/小时，路基宽度25.5米。</w:t>
      </w:r>
    </w:p>
    <w:p>
      <w:pPr>
        <w:ind w:firstLine="480"/>
        <w:rPr>
          <w:rFonts w:ascii="黑体" w:hAnsi="黑体" w:eastAsia="黑体"/>
          <w:b/>
          <w:bCs/>
        </w:rPr>
      </w:pPr>
      <w:r>
        <w:rPr>
          <w:rFonts w:hint="eastAsia"/>
        </w:rPr>
        <w:t>全线设置监控通信分中心1处、监控通信站2处、匝道收费站9处、终点主线收费站1处、养护工区3处、服务区3处。核定全线管理、养护及服务设施总建筑面积45464平方米，占地面积524亩。</w:t>
      </w:r>
    </w:p>
    <w:p>
      <w:pPr>
        <w:pStyle w:val="4"/>
        <w:spacing w:before="120" w:after="120"/>
      </w:pPr>
      <w:bookmarkStart w:id="23" w:name="_Toc93135820"/>
      <w:r>
        <w:rPr>
          <w:rFonts w:hint="eastAsia"/>
        </w:rPr>
        <w:t>项目运作思路</w:t>
      </w:r>
      <w:bookmarkEnd w:id="23"/>
    </w:p>
    <w:p>
      <w:pPr>
        <w:pStyle w:val="5"/>
        <w:numPr>
          <w:ilvl w:val="0"/>
          <w:numId w:val="7"/>
        </w:numPr>
        <w:ind w:firstLine="562" w:firstLineChars="200"/>
      </w:pPr>
      <w:bookmarkStart w:id="24" w:name="_Toc93135821"/>
      <w:r>
        <w:rPr>
          <w:rFonts w:hint="eastAsia"/>
        </w:rPr>
        <w:t>实施机构</w:t>
      </w:r>
      <w:bookmarkEnd w:id="24"/>
    </w:p>
    <w:p>
      <w:pPr>
        <w:ind w:firstLine="480"/>
      </w:pPr>
      <w:r>
        <w:rPr>
          <w:rFonts w:hint="eastAsia"/>
        </w:rPr>
        <w:t>省政府授权省交通运输厅作为本项目实施机构，具体负责本项目准备、采购、签约、执行及监管等各项工作，并作为签约主体与中选社会资本签订《投资协议》，与项目公司签订《PPP项目合同》。</w:t>
      </w:r>
    </w:p>
    <w:p>
      <w:pPr>
        <w:pStyle w:val="5"/>
        <w:ind w:firstLine="562"/>
      </w:pPr>
      <w:bookmarkStart w:id="25" w:name="_Toc93135822"/>
      <w:r>
        <w:rPr>
          <w:rFonts w:hint="eastAsia"/>
        </w:rPr>
        <w:t>政府方出资代表</w:t>
      </w:r>
      <w:bookmarkEnd w:id="25"/>
    </w:p>
    <w:p>
      <w:pPr>
        <w:ind w:firstLine="480"/>
      </w:pPr>
      <w:r>
        <w:rPr>
          <w:rFonts w:hint="eastAsia"/>
        </w:rPr>
        <w:t>省政府指定</w:t>
      </w:r>
      <w:r>
        <w:t>辽宁省交通建设投资集团有限公司（以下简称</w:t>
      </w:r>
      <w:r>
        <w:rPr>
          <w:rFonts w:hint="eastAsia" w:ascii="仿宋_GB2312"/>
        </w:rPr>
        <w:t>“辽宁交投集团”</w:t>
      </w:r>
      <w:r>
        <w:t>）</w:t>
      </w:r>
      <w:r>
        <w:rPr>
          <w:rFonts w:hint="eastAsia"/>
        </w:rPr>
        <w:t>作为本项目政府方出资代表，与中选社会资本签订《合资经营合同》成立项目公司，并由项目公司负责本项目的投融资、建设、运营、维护及移交等工作。</w:t>
      </w:r>
    </w:p>
    <w:p>
      <w:pPr>
        <w:pStyle w:val="5"/>
        <w:ind w:firstLine="562"/>
      </w:pPr>
      <w:bookmarkStart w:id="26" w:name="_Toc93135823"/>
      <w:r>
        <w:rPr>
          <w:rFonts w:hint="eastAsia"/>
        </w:rPr>
        <w:t>具体运作方式</w:t>
      </w:r>
      <w:bookmarkEnd w:id="26"/>
    </w:p>
    <w:p>
      <w:pPr>
        <w:ind w:firstLine="480"/>
      </w:pPr>
      <w:r>
        <w:rPr>
          <w:rFonts w:hint="eastAsia"/>
        </w:rPr>
        <w:t>本项目采用PPP模式中“建设—运营—移交（BOT）”的运作方式实施，项目运作流程如下图所示：</w:t>
      </w:r>
    </w:p>
    <w:p>
      <w:pPr>
        <w:ind w:firstLine="0" w:firstLineChars="0"/>
      </w:pPr>
      <w:r>
        <w:drawing>
          <wp:inline distT="0" distB="0" distL="0" distR="0">
            <wp:extent cx="5274310" cy="3173730"/>
            <wp:effectExtent l="0" t="0" r="2540" b="7620"/>
            <wp:docPr id="24" name="图片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true"/>
                    </pic:cNvPicPr>
                  </pic:nvPicPr>
                  <pic:blipFill>
                    <a:blip r:embed="rId14"/>
                    <a:stretch>
                      <a:fillRect/>
                    </a:stretch>
                  </pic:blipFill>
                  <pic:spPr>
                    <a:xfrm>
                      <a:off x="0" y="0"/>
                      <a:ext cx="5274310" cy="3173977"/>
                    </a:xfrm>
                    <a:prstGeom prst="rect">
                      <a:avLst/>
                    </a:prstGeom>
                  </pic:spPr>
                </pic:pic>
              </a:graphicData>
            </a:graphic>
          </wp:inline>
        </w:drawing>
      </w:r>
    </w:p>
    <w:p>
      <w:pPr>
        <w:pStyle w:val="31"/>
        <w:spacing w:before="156" w:beforeLines="50" w:after="312" w:afterLines="100"/>
        <w:ind w:firstLine="0" w:firstLineChars="0"/>
        <w:jc w:val="center"/>
        <w:rPr>
          <w:rFonts w:ascii="黑体" w:hAnsi="黑体" w:eastAsia="黑体"/>
          <w:b/>
          <w:bCs/>
          <w:sz w:val="21"/>
          <w:szCs w:val="20"/>
        </w:rPr>
      </w:pPr>
      <w:bookmarkStart w:id="27" w:name="_Toc85041886"/>
      <w:r>
        <w:rPr>
          <w:rFonts w:hint="eastAsia" w:ascii="黑体" w:hAnsi="黑体" w:eastAsia="黑体"/>
          <w:b/>
          <w:bCs/>
          <w:sz w:val="21"/>
          <w:szCs w:val="20"/>
        </w:rPr>
        <w:t>图</w:t>
      </w:r>
      <w:r>
        <w:rPr>
          <w:rFonts w:ascii="黑体" w:hAnsi="黑体" w:eastAsia="黑体"/>
          <w:b/>
          <w:bCs/>
          <w:sz w:val="21"/>
          <w:szCs w:val="20"/>
        </w:rPr>
        <w:t>1 项目运作方式图</w:t>
      </w:r>
      <w:bookmarkEnd w:id="27"/>
      <w:r>
        <w:rPr>
          <w:rFonts w:hint="eastAsia" w:ascii="黑体" w:hAnsi="黑体" w:eastAsia="黑体"/>
          <w:b/>
          <w:bCs/>
          <w:sz w:val="21"/>
          <w:szCs w:val="20"/>
        </w:rPr>
        <w:t>（以本桓高速PPP项目为例）</w:t>
      </w:r>
    </w:p>
    <w:p>
      <w:pPr>
        <w:ind w:firstLine="480"/>
      </w:pPr>
      <w:r>
        <w:rPr>
          <w:rFonts w:hint="eastAsia"/>
        </w:rPr>
        <w:t>项目运作方式具体说明如下：</w:t>
      </w:r>
    </w:p>
    <w:p>
      <w:pPr>
        <w:ind w:firstLine="480"/>
      </w:pPr>
      <w:r>
        <w:rPr>
          <w:rFonts w:hint="eastAsia"/>
        </w:rPr>
        <w:t>（1）</w:t>
      </w:r>
      <w:r>
        <w:rPr>
          <w:rFonts w:hint="eastAsia"/>
        </w:rPr>
        <w:tab/>
      </w:r>
      <w:r>
        <w:rPr>
          <w:rFonts w:hint="eastAsia"/>
        </w:rPr>
        <w:t>省政府授权省交通运输厅作为本项目的实施机构，牵头负责组织本项目的准备、采购、签约、执行及监管等各项工作；省政府指定辽宁交投集团作为本项目政府方出资代表；</w:t>
      </w:r>
    </w:p>
    <w:p>
      <w:pPr>
        <w:ind w:firstLine="480"/>
      </w:pPr>
      <w:r>
        <w:rPr>
          <w:rFonts w:hint="eastAsia"/>
        </w:rPr>
        <w:t>（2）</w:t>
      </w:r>
      <w:r>
        <w:rPr>
          <w:rFonts w:hint="eastAsia"/>
        </w:rPr>
        <w:tab/>
      </w:r>
      <w:r>
        <w:rPr>
          <w:rFonts w:hint="eastAsia"/>
        </w:rPr>
        <w:t>实施机构按照公开、公平、公正和诚实信用的原则，通过公开招标方式选择本项目社会资本；</w:t>
      </w:r>
    </w:p>
    <w:p>
      <w:pPr>
        <w:ind w:firstLine="480"/>
      </w:pPr>
      <w:r>
        <w:rPr>
          <w:rFonts w:hint="eastAsia"/>
        </w:rPr>
        <w:t>（3）</w:t>
      </w:r>
      <w:r>
        <w:rPr>
          <w:rFonts w:hint="eastAsia"/>
        </w:rPr>
        <w:tab/>
      </w:r>
      <w:r>
        <w:rPr>
          <w:rFonts w:hint="eastAsia"/>
        </w:rPr>
        <w:t>实施机构与中选社会资本签订《投资协议》，约定其在规定期限内注册成立项目公司；</w:t>
      </w:r>
    </w:p>
    <w:p>
      <w:pPr>
        <w:ind w:firstLine="480"/>
      </w:pPr>
      <w:r>
        <w:rPr>
          <w:rFonts w:hint="eastAsia"/>
        </w:rPr>
        <w:t>（4）</w:t>
      </w:r>
      <w:r>
        <w:rPr>
          <w:rFonts w:hint="eastAsia"/>
        </w:rPr>
        <w:tab/>
      </w:r>
      <w:r>
        <w:rPr>
          <w:rFonts w:hint="eastAsia"/>
        </w:rPr>
        <w:t>政府方出资代表与中选社会资本签订《合资经营合同》并组建项目公司，双方持股比例为49%和51%；</w:t>
      </w:r>
    </w:p>
    <w:p>
      <w:pPr>
        <w:ind w:firstLine="480"/>
      </w:pPr>
      <w:r>
        <w:rPr>
          <w:rFonts w:hint="eastAsia"/>
        </w:rPr>
        <w:t>（5）</w:t>
      </w:r>
      <w:r>
        <w:rPr>
          <w:rFonts w:hint="eastAsia"/>
        </w:rPr>
        <w:tab/>
      </w:r>
      <w:r>
        <w:rPr>
          <w:rFonts w:hint="eastAsia"/>
        </w:rPr>
        <w:t>实施机构与项目公司签订《PPP项目合同》，授予项目公司PPP经营权。在合作期内，项目公司负责本项目的投融资、建设、运营、维护工作；</w:t>
      </w:r>
    </w:p>
    <w:p>
      <w:pPr>
        <w:ind w:firstLine="480"/>
      </w:pPr>
      <w:r>
        <w:rPr>
          <w:rFonts w:hint="eastAsia"/>
        </w:rPr>
        <w:t>（6）</w:t>
      </w:r>
      <w:r>
        <w:rPr>
          <w:rFonts w:hint="eastAsia"/>
        </w:rPr>
        <w:tab/>
      </w:r>
      <w:r>
        <w:rPr>
          <w:rFonts w:hint="eastAsia"/>
        </w:rPr>
        <w:t>在PPP合作期间，项目公司有权根据《PPP项目合同》的约定，获得车辆通行费收入、服务设施经营收入、广告经营收入等，并结合绩效评价结果，获得可行性缺口补助；可行性缺口补助纳入辽宁省本级财政预算，具体由实施机构或省政府指定的其他单位支付；</w:t>
      </w:r>
    </w:p>
    <w:p>
      <w:pPr>
        <w:ind w:firstLine="480"/>
      </w:pPr>
      <w:r>
        <w:rPr>
          <w:rFonts w:hint="eastAsia"/>
        </w:rPr>
        <w:t>（7）</w:t>
      </w:r>
      <w:r>
        <w:rPr>
          <w:rFonts w:hint="eastAsia"/>
        </w:rPr>
        <w:tab/>
      </w:r>
      <w:r>
        <w:rPr>
          <w:rFonts w:hint="eastAsia"/>
        </w:rPr>
        <w:t>在PPP合作期限届满后，项目公司将本项目设施及相关权益完好、无偿、不设任何权利负担地移交给政府方，省政府指定政府方出资代表收回上述设施及相关权益。</w:t>
      </w:r>
    </w:p>
    <w:p>
      <w:pPr>
        <w:pStyle w:val="4"/>
      </w:pPr>
      <w:bookmarkStart w:id="28" w:name="_Toc93135824"/>
      <w:r>
        <w:rPr>
          <w:rFonts w:hint="eastAsia"/>
        </w:rPr>
        <w:t>项目公司股权结构</w:t>
      </w:r>
      <w:bookmarkEnd w:id="28"/>
    </w:p>
    <w:p>
      <w:pPr>
        <w:pStyle w:val="5"/>
        <w:numPr>
          <w:ilvl w:val="0"/>
          <w:numId w:val="8"/>
        </w:numPr>
        <w:ind w:firstLine="562" w:firstLineChars="200"/>
      </w:pPr>
      <w:bookmarkStart w:id="29" w:name="_Toc93135825"/>
      <w:bookmarkStart w:id="30" w:name="_Hlk92625112"/>
      <w:r>
        <w:rPr>
          <w:rFonts w:hint="eastAsia"/>
        </w:rPr>
        <w:t>本桓高速PPP项目</w:t>
      </w:r>
      <w:bookmarkEnd w:id="29"/>
      <w:bookmarkEnd w:id="30"/>
    </w:p>
    <w:p>
      <w:pPr>
        <w:pStyle w:val="31"/>
        <w:spacing w:line="360" w:lineRule="auto"/>
        <w:ind w:firstLine="480"/>
        <w:rPr>
          <w:rFonts w:cstheme="minorBidi"/>
          <w:sz w:val="24"/>
          <w:szCs w:val="22"/>
        </w:rPr>
      </w:pPr>
      <w:r>
        <w:rPr>
          <w:rFonts w:hint="eastAsia" w:cstheme="minorBidi"/>
          <w:sz w:val="24"/>
          <w:szCs w:val="22"/>
        </w:rPr>
        <w:t>本桓高速PPP项目</w:t>
      </w:r>
      <w:r>
        <w:rPr>
          <w:rFonts w:cstheme="minorBidi"/>
          <w:sz w:val="24"/>
          <w:szCs w:val="22"/>
        </w:rPr>
        <w:t>项目公司的</w:t>
      </w:r>
      <w:r>
        <w:rPr>
          <w:rFonts w:hint="eastAsia" w:cstheme="minorBidi"/>
          <w:sz w:val="24"/>
          <w:szCs w:val="22"/>
        </w:rPr>
        <w:t>注册资本金额取总投资的20%，为人民币 527428.91 万元，其中政府方出资人民币 258440.17 万元，占股49%；社会资本出资人民币 268988.74 万元，占股51%。</w:t>
      </w:r>
    </w:p>
    <w:p>
      <w:pPr>
        <w:pStyle w:val="5"/>
        <w:ind w:firstLine="562" w:firstLineChars="200"/>
      </w:pPr>
      <w:bookmarkStart w:id="31" w:name="_Toc93135826"/>
      <w:r>
        <w:rPr>
          <w:rFonts w:hint="eastAsia"/>
        </w:rPr>
        <w:t>凌绥高速PPP项目</w:t>
      </w:r>
      <w:bookmarkEnd w:id="31"/>
    </w:p>
    <w:p>
      <w:pPr>
        <w:pStyle w:val="31"/>
        <w:spacing w:line="360" w:lineRule="auto"/>
        <w:ind w:firstLine="480"/>
        <w:rPr>
          <w:rFonts w:cstheme="minorBidi"/>
          <w:sz w:val="24"/>
          <w:szCs w:val="22"/>
        </w:rPr>
      </w:pPr>
      <w:r>
        <w:rPr>
          <w:rFonts w:hint="eastAsia" w:cstheme="minorBidi"/>
          <w:sz w:val="24"/>
          <w:szCs w:val="22"/>
        </w:rPr>
        <w:t>凌绥高速PPP项目</w:t>
      </w:r>
      <w:r>
        <w:rPr>
          <w:rFonts w:cstheme="minorBidi"/>
          <w:sz w:val="24"/>
          <w:szCs w:val="22"/>
        </w:rPr>
        <w:t>项目公司的</w:t>
      </w:r>
      <w:r>
        <w:rPr>
          <w:rFonts w:hint="eastAsia" w:cstheme="minorBidi"/>
          <w:sz w:val="24"/>
          <w:szCs w:val="22"/>
        </w:rPr>
        <w:t>注册资本金额取总投资的20%，为人民币327400.94万元，其中政府方出资人民币160426.46万元，占股49%；社会资本出资人民币166974.48万元，占股51%。</w:t>
      </w:r>
    </w:p>
    <w:p>
      <w:pPr>
        <w:pStyle w:val="4"/>
        <w:spacing w:before="120" w:after="120"/>
      </w:pPr>
      <w:bookmarkStart w:id="32" w:name="_Toc93135827"/>
      <w:r>
        <w:rPr>
          <w:rFonts w:hint="eastAsia"/>
        </w:rPr>
        <w:t>项目投融资结构</w:t>
      </w:r>
      <w:bookmarkEnd w:id="32"/>
    </w:p>
    <w:p>
      <w:pPr>
        <w:pStyle w:val="5"/>
        <w:numPr>
          <w:ilvl w:val="0"/>
          <w:numId w:val="9"/>
        </w:numPr>
        <w:ind w:firstLine="562" w:firstLineChars="200"/>
      </w:pPr>
      <w:bookmarkStart w:id="33" w:name="_Toc93135828"/>
      <w:bookmarkStart w:id="34" w:name="_Hlk92625214"/>
      <w:r>
        <w:rPr>
          <w:rFonts w:hint="eastAsia"/>
        </w:rPr>
        <w:t>本桓高速PPP项目</w:t>
      </w:r>
      <w:bookmarkEnd w:id="33"/>
      <w:bookmarkEnd w:id="34"/>
    </w:p>
    <w:p>
      <w:pPr>
        <w:ind w:firstLine="480"/>
      </w:pPr>
      <w:r>
        <w:rPr>
          <w:rFonts w:hint="eastAsia"/>
        </w:rPr>
        <w:t>本桓高速PPP项目总投资约为人民币2637144.55万元。项目资本金约人民币 527428.91 万元，占项目总投资的20%，其中政府方出资人民币 258440.17 万元，中选社会资本出资人民币 268988.74 万元；建设期投资补助约人民币 490359.83 万元，占项目总投资的18.59%；其余建设资金由项目公司作为融资主体通过多种渠道依法筹集，约人民币 1619355.81 万元，占项目总投资的61.41%。</w:t>
      </w:r>
    </w:p>
    <w:p>
      <w:pPr>
        <w:ind w:firstLine="480"/>
      </w:pPr>
      <w:r>
        <w:rPr>
          <w:rFonts w:hint="eastAsia"/>
        </w:rPr>
        <w:t>本桓高速PPP项目</w:t>
      </w:r>
      <w:r>
        <w:t>投融资结构如</w:t>
      </w:r>
      <w:r>
        <w:rPr>
          <w:rFonts w:hint="eastAsia"/>
        </w:rPr>
        <w:t>下表所示：</w:t>
      </w:r>
    </w:p>
    <w:p>
      <w:pPr>
        <w:keepNext/>
        <w:spacing w:before="312" w:beforeLines="100" w:after="156" w:afterLines="50" w:line="240" w:lineRule="auto"/>
        <w:ind w:firstLine="0" w:firstLineChars="0"/>
        <w:jc w:val="center"/>
        <w:rPr>
          <w:rFonts w:ascii="黑体" w:hAnsi="黑体" w:eastAsia="黑体" w:cs="Times New Roman"/>
          <w:b/>
          <w:bCs/>
          <w:sz w:val="21"/>
          <w:szCs w:val="21"/>
        </w:rPr>
      </w:pPr>
      <w:bookmarkStart w:id="35" w:name="_Toc86332469"/>
      <w:r>
        <w:rPr>
          <w:rFonts w:ascii="黑体" w:hAnsi="黑体" w:eastAsia="黑体" w:cs="Times New Roman"/>
          <w:b/>
          <w:bCs/>
          <w:sz w:val="21"/>
          <w:szCs w:val="21"/>
        </w:rPr>
        <w:t>表</w:t>
      </w:r>
      <w:r>
        <w:rPr>
          <w:rFonts w:hint="eastAsia" w:ascii="黑体" w:hAnsi="黑体" w:eastAsia="黑体" w:cs="Times New Roman"/>
          <w:b/>
          <w:bCs/>
          <w:sz w:val="21"/>
          <w:szCs w:val="21"/>
          <w:lang w:val="en-US" w:eastAsia="zh-CN"/>
        </w:rPr>
        <w:t>3</w:t>
      </w:r>
      <w:r>
        <w:rPr>
          <w:rFonts w:ascii="黑体" w:hAnsi="黑体" w:eastAsia="黑体" w:cs="Times New Roman"/>
          <w:b/>
          <w:bCs/>
          <w:sz w:val="21"/>
          <w:szCs w:val="21"/>
        </w:rPr>
        <w:t xml:space="preserve"> </w:t>
      </w:r>
      <w:r>
        <w:rPr>
          <w:rFonts w:hint="eastAsia" w:ascii="黑体" w:hAnsi="黑体" w:eastAsia="黑体" w:cs="Times New Roman"/>
          <w:b/>
          <w:bCs/>
          <w:sz w:val="21"/>
          <w:szCs w:val="21"/>
        </w:rPr>
        <w:t>本桓高速PPP项目</w:t>
      </w:r>
      <w:r>
        <w:rPr>
          <w:rFonts w:ascii="黑体" w:hAnsi="黑体" w:eastAsia="黑体" w:cs="Times New Roman"/>
          <w:b/>
          <w:bCs/>
          <w:sz w:val="21"/>
          <w:szCs w:val="21"/>
        </w:rPr>
        <w:t>投融资结构表</w:t>
      </w:r>
      <w:bookmarkEnd w:id="35"/>
    </w:p>
    <w:tbl>
      <w:tblPr>
        <w:tblStyle w:val="15"/>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85"/>
        <w:gridCol w:w="1846"/>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46"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bookmarkStart w:id="36" w:name="_Hlk91965869"/>
            <w:r>
              <w:rPr>
                <w:rFonts w:hint="eastAsia"/>
                <w:b/>
                <w:sz w:val="21"/>
                <w:szCs w:val="21"/>
              </w:rPr>
              <w:t>序号</w:t>
            </w:r>
          </w:p>
        </w:tc>
        <w:tc>
          <w:tcPr>
            <w:tcW w:w="3685"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r>
              <w:rPr>
                <w:rFonts w:hint="eastAsia"/>
                <w:b/>
                <w:sz w:val="21"/>
                <w:szCs w:val="21"/>
              </w:rPr>
              <w:t>资金来源</w:t>
            </w:r>
          </w:p>
        </w:tc>
        <w:tc>
          <w:tcPr>
            <w:tcW w:w="1846"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r>
              <w:rPr>
                <w:rFonts w:hint="eastAsia"/>
                <w:b/>
                <w:sz w:val="21"/>
                <w:szCs w:val="21"/>
              </w:rPr>
              <w:t>金额（万元）</w:t>
            </w:r>
          </w:p>
        </w:tc>
        <w:tc>
          <w:tcPr>
            <w:tcW w:w="2040"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r>
              <w:rPr>
                <w:rFonts w:hint="eastAsia"/>
                <w:b/>
                <w:sz w:val="21"/>
                <w:szCs w:val="21"/>
              </w:rPr>
              <w:t>占总投资比例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项目资本金</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527428.91</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1.1</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中选社会资本出资</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268988.74</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1.2</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政府方出资作为资本金</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258440.17</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建设期投资补助</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490359.83</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2.1</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车购税补助资金</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466800.00</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2.2</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政府方出资作为建设期投资补助</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23559.83</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3</w:t>
            </w:r>
          </w:p>
        </w:tc>
        <w:tc>
          <w:tcPr>
            <w:tcW w:w="3685"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融资资金</w:t>
            </w:r>
          </w:p>
        </w:tc>
        <w:tc>
          <w:tcPr>
            <w:tcW w:w="1846"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1619355.81</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61.41%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gridSpan w:val="2"/>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合计</w:t>
            </w:r>
          </w:p>
        </w:tc>
        <w:tc>
          <w:tcPr>
            <w:tcW w:w="1846" w:type="dxa"/>
            <w:shd w:val="clear" w:color="auto" w:fill="auto"/>
            <w:vAlign w:val="center"/>
          </w:tcPr>
          <w:p>
            <w:pPr>
              <w:adjustRightInd w:val="0"/>
              <w:snapToGrid w:val="0"/>
              <w:spacing w:line="240" w:lineRule="auto"/>
              <w:ind w:firstLine="0" w:firstLineChars="0"/>
              <w:jc w:val="center"/>
              <w:rPr>
                <w:b/>
                <w:bCs/>
                <w:sz w:val="21"/>
                <w:szCs w:val="21"/>
              </w:rPr>
            </w:pPr>
            <w:r>
              <w:rPr>
                <w:b/>
                <w:bCs/>
                <w:sz w:val="21"/>
                <w:szCs w:val="21"/>
              </w:rPr>
              <w:t>2637144.55</w:t>
            </w:r>
          </w:p>
        </w:tc>
        <w:tc>
          <w:tcPr>
            <w:tcW w:w="2040"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w:t>
            </w:r>
          </w:p>
        </w:tc>
      </w:tr>
      <w:bookmarkEnd w:id="36"/>
    </w:tbl>
    <w:p>
      <w:pPr>
        <w:pStyle w:val="5"/>
        <w:ind w:firstLine="562" w:firstLineChars="200"/>
      </w:pPr>
      <w:bookmarkStart w:id="37" w:name="_Toc93135829"/>
      <w:r>
        <w:rPr>
          <w:rFonts w:hint="eastAsia"/>
        </w:rPr>
        <w:t>凌绥高速PPP项目</w:t>
      </w:r>
      <w:bookmarkEnd w:id="37"/>
    </w:p>
    <w:p>
      <w:pPr>
        <w:ind w:firstLine="480"/>
      </w:pPr>
      <w:r>
        <w:rPr>
          <w:rFonts w:hint="eastAsia"/>
        </w:rPr>
        <w:t>凌绥高速PPP项目总投资约为人民币1637004.69万元。项目资本金约人民币327400.94万元，占项目总投资的20%，其中政府方出资人民币160426.46万元，中选社会资本出资人民币166974.48万元；建设期投资补助约人民币337673.54万元，占项目总投资的20.63%；其余建设资金由项目公司作为融资主体通过多种渠道依法筹集，约人民币971930.22万元，占项目总投资的59.37%。</w:t>
      </w:r>
    </w:p>
    <w:p>
      <w:pPr>
        <w:ind w:firstLine="480"/>
      </w:pPr>
      <w:r>
        <w:rPr>
          <w:rFonts w:hint="eastAsia"/>
        </w:rPr>
        <w:t>凌绥高速PPP项目</w:t>
      </w:r>
      <w:r>
        <w:t>投融资结构如</w:t>
      </w:r>
      <w:r>
        <w:rPr>
          <w:rFonts w:hint="eastAsia"/>
        </w:rPr>
        <w:t>下表所示：</w:t>
      </w:r>
    </w:p>
    <w:p>
      <w:pPr>
        <w:keepNext/>
        <w:spacing w:before="312" w:beforeLines="100" w:after="156" w:afterLines="50" w:line="240" w:lineRule="auto"/>
        <w:ind w:firstLine="0" w:firstLineChars="0"/>
        <w:jc w:val="center"/>
        <w:rPr>
          <w:rFonts w:ascii="黑体" w:hAnsi="黑体" w:eastAsia="黑体" w:cs="Times New Roman"/>
          <w:b/>
          <w:bCs/>
          <w:sz w:val="21"/>
          <w:szCs w:val="21"/>
        </w:rPr>
      </w:pPr>
      <w:r>
        <w:rPr>
          <w:rFonts w:ascii="黑体" w:hAnsi="黑体" w:eastAsia="黑体" w:cs="Times New Roman"/>
          <w:b/>
          <w:bCs/>
          <w:sz w:val="21"/>
          <w:szCs w:val="21"/>
        </w:rPr>
        <w:t>表</w:t>
      </w:r>
      <w:r>
        <w:rPr>
          <w:rFonts w:hint="eastAsia" w:ascii="黑体" w:hAnsi="黑体" w:eastAsia="黑体" w:cs="Times New Roman"/>
          <w:b/>
          <w:bCs/>
          <w:sz w:val="21"/>
          <w:szCs w:val="21"/>
          <w:lang w:val="en-US" w:eastAsia="zh-CN"/>
        </w:rPr>
        <w:t>4</w:t>
      </w:r>
      <w:bookmarkStart w:id="55" w:name="_GoBack"/>
      <w:bookmarkEnd w:id="55"/>
      <w:r>
        <w:rPr>
          <w:rFonts w:ascii="黑体" w:hAnsi="黑体" w:eastAsia="黑体" w:cs="Times New Roman"/>
          <w:b/>
          <w:bCs/>
          <w:sz w:val="21"/>
          <w:szCs w:val="21"/>
        </w:rPr>
        <w:t xml:space="preserve"> </w:t>
      </w:r>
      <w:r>
        <w:rPr>
          <w:rFonts w:hint="eastAsia" w:ascii="黑体" w:hAnsi="黑体" w:eastAsia="黑体" w:cs="Times New Roman"/>
          <w:b/>
          <w:bCs/>
          <w:sz w:val="21"/>
          <w:szCs w:val="21"/>
        </w:rPr>
        <w:t>凌绥高速PPP项目</w:t>
      </w:r>
      <w:r>
        <w:rPr>
          <w:rFonts w:ascii="黑体" w:hAnsi="黑体" w:eastAsia="黑体" w:cs="Times New Roman"/>
          <w:b/>
          <w:bCs/>
          <w:sz w:val="21"/>
          <w:szCs w:val="21"/>
        </w:rPr>
        <w:t>投融资结构表</w:t>
      </w:r>
    </w:p>
    <w:tbl>
      <w:tblPr>
        <w:tblStyle w:val="15"/>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704"/>
        <w:gridCol w:w="1894"/>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27"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bookmarkStart w:id="38" w:name="_Hlk92027785"/>
            <w:r>
              <w:rPr>
                <w:rFonts w:hint="eastAsia"/>
                <w:b/>
                <w:sz w:val="21"/>
                <w:szCs w:val="21"/>
              </w:rPr>
              <w:t>序号</w:t>
            </w:r>
          </w:p>
        </w:tc>
        <w:tc>
          <w:tcPr>
            <w:tcW w:w="3704"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r>
              <w:rPr>
                <w:rFonts w:hint="eastAsia"/>
                <w:b/>
                <w:sz w:val="21"/>
                <w:szCs w:val="21"/>
              </w:rPr>
              <w:t>资金来源</w:t>
            </w:r>
          </w:p>
        </w:tc>
        <w:tc>
          <w:tcPr>
            <w:tcW w:w="1894"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r>
              <w:rPr>
                <w:rFonts w:hint="eastAsia"/>
                <w:b/>
                <w:sz w:val="21"/>
                <w:szCs w:val="21"/>
              </w:rPr>
              <w:t>金额（万元）</w:t>
            </w:r>
          </w:p>
        </w:tc>
        <w:tc>
          <w:tcPr>
            <w:tcW w:w="1992" w:type="dxa"/>
            <w:shd w:val="clear" w:color="auto" w:fill="D9E2F3" w:themeFill="accent1" w:themeFillTint="33"/>
            <w:vAlign w:val="center"/>
          </w:tcPr>
          <w:p>
            <w:pPr>
              <w:adjustRightInd w:val="0"/>
              <w:snapToGrid w:val="0"/>
              <w:spacing w:line="240" w:lineRule="auto"/>
              <w:ind w:firstLine="0" w:firstLineChars="0"/>
              <w:jc w:val="center"/>
              <w:rPr>
                <w:b/>
                <w:sz w:val="21"/>
                <w:szCs w:val="21"/>
              </w:rPr>
            </w:pPr>
            <w:r>
              <w:rPr>
                <w:rFonts w:hint="eastAsia"/>
                <w:b/>
                <w:sz w:val="21"/>
                <w:szCs w:val="21"/>
              </w:rPr>
              <w:t>占总投资比例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项目资本金</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327400.94</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1.1</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中选社会资本出资</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166974.48</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1.2</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政府方出资作为资本金</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160426.46</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建设期投资补助</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337673.54</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2.1</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车购税补助资金</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310100.00</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2.2</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政府方出资作为建设期投资补助</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27573.54</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3</w:t>
            </w:r>
          </w:p>
        </w:tc>
        <w:tc>
          <w:tcPr>
            <w:tcW w:w="3704" w:type="dxa"/>
            <w:shd w:val="clear" w:color="auto" w:fill="auto"/>
            <w:vAlign w:val="center"/>
          </w:tcPr>
          <w:p>
            <w:pPr>
              <w:adjustRightInd w:val="0"/>
              <w:snapToGrid w:val="0"/>
              <w:spacing w:line="240" w:lineRule="auto"/>
              <w:ind w:firstLine="0" w:firstLineChars="0"/>
              <w:jc w:val="center"/>
              <w:rPr>
                <w:bCs/>
                <w:sz w:val="21"/>
                <w:szCs w:val="21"/>
              </w:rPr>
            </w:pPr>
            <w:r>
              <w:rPr>
                <w:rFonts w:hint="eastAsia"/>
                <w:bCs/>
                <w:sz w:val="21"/>
                <w:szCs w:val="21"/>
              </w:rPr>
              <w:t>融资资金</w:t>
            </w:r>
          </w:p>
        </w:tc>
        <w:tc>
          <w:tcPr>
            <w:tcW w:w="1894"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971930.22</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59.37%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gridSpan w:val="2"/>
            <w:shd w:val="clear" w:color="auto" w:fill="auto"/>
            <w:vAlign w:val="center"/>
          </w:tcPr>
          <w:p>
            <w:pPr>
              <w:adjustRightInd w:val="0"/>
              <w:snapToGrid w:val="0"/>
              <w:spacing w:line="240" w:lineRule="auto"/>
              <w:ind w:firstLine="0" w:firstLineChars="0"/>
              <w:jc w:val="center"/>
              <w:rPr>
                <w:b/>
                <w:sz w:val="21"/>
                <w:szCs w:val="21"/>
              </w:rPr>
            </w:pPr>
            <w:r>
              <w:rPr>
                <w:rFonts w:hint="eastAsia"/>
                <w:b/>
                <w:sz w:val="21"/>
                <w:szCs w:val="21"/>
              </w:rPr>
              <w:t>合计</w:t>
            </w:r>
          </w:p>
        </w:tc>
        <w:tc>
          <w:tcPr>
            <w:tcW w:w="1894" w:type="dxa"/>
            <w:shd w:val="clear" w:color="auto" w:fill="auto"/>
            <w:vAlign w:val="center"/>
          </w:tcPr>
          <w:p>
            <w:pPr>
              <w:adjustRightInd w:val="0"/>
              <w:snapToGrid w:val="0"/>
              <w:spacing w:line="240" w:lineRule="auto"/>
              <w:ind w:firstLine="0" w:firstLineChars="0"/>
              <w:jc w:val="center"/>
              <w:rPr>
                <w:b/>
                <w:sz w:val="21"/>
                <w:szCs w:val="21"/>
              </w:rPr>
            </w:pPr>
            <w:r>
              <w:rPr>
                <w:b/>
                <w:sz w:val="21"/>
                <w:szCs w:val="21"/>
              </w:rPr>
              <w:t>1637004.69</w:t>
            </w:r>
          </w:p>
        </w:tc>
        <w:tc>
          <w:tcPr>
            <w:tcW w:w="1992" w:type="dxa"/>
            <w:shd w:val="clear" w:color="auto" w:fill="auto"/>
            <w:vAlign w:val="center"/>
          </w:tcPr>
          <w:p>
            <w:pPr>
              <w:adjustRightInd w:val="0"/>
              <w:snapToGrid w:val="0"/>
              <w:spacing w:line="240" w:lineRule="auto"/>
              <w:ind w:firstLine="0" w:firstLineChars="0"/>
              <w:jc w:val="center"/>
              <w:rPr>
                <w:bCs/>
                <w:sz w:val="21"/>
                <w:szCs w:val="21"/>
              </w:rPr>
            </w:pPr>
            <w:r>
              <w:rPr>
                <w:bCs/>
                <w:sz w:val="21"/>
                <w:szCs w:val="21"/>
              </w:rPr>
              <w:t>-</w:t>
            </w:r>
          </w:p>
        </w:tc>
      </w:tr>
      <w:bookmarkEnd w:id="38"/>
    </w:tbl>
    <w:p>
      <w:pPr>
        <w:pStyle w:val="4"/>
      </w:pPr>
      <w:bookmarkStart w:id="39" w:name="_Toc93135830"/>
      <w:r>
        <w:rPr>
          <w:rFonts w:hint="eastAsia"/>
        </w:rPr>
        <w:t>回报机制</w:t>
      </w:r>
      <w:bookmarkEnd w:id="39"/>
    </w:p>
    <w:p>
      <w:pPr>
        <w:pStyle w:val="5"/>
        <w:numPr>
          <w:ilvl w:val="0"/>
          <w:numId w:val="10"/>
        </w:numPr>
        <w:ind w:firstLine="562"/>
      </w:pPr>
      <w:bookmarkStart w:id="40" w:name="_Toc93135831"/>
      <w:r>
        <w:rPr>
          <w:rFonts w:hint="eastAsia"/>
        </w:rPr>
        <w:t>项目回报机制</w:t>
      </w:r>
      <w:bookmarkEnd w:id="40"/>
    </w:p>
    <w:p>
      <w:pPr>
        <w:widowControl/>
        <w:ind w:firstLine="480"/>
      </w:pPr>
      <w:r>
        <w:rPr>
          <w:rFonts w:hint="eastAsia"/>
        </w:rPr>
        <w:t>在PPP合作期间，项目公司根据《PPP项目合同》的约定可以获得车辆通行费收入、广告经营收入、服务设施经营收入等使用者付费收入，实施机构或省政府指定的其他单位支付的可行性缺口补助以及其他可能取得的收入。其他可能取得的收入包括但不限于：运营期间可能获得的清障收入、运营期间报废资产的处置收入、路产赔（补）偿费等。项目公司负责收取路产赔（补）偿费，并负责公路的恢复性修理工作。</w:t>
      </w:r>
    </w:p>
    <w:p>
      <w:pPr>
        <w:widowControl/>
        <w:ind w:firstLine="480"/>
      </w:pPr>
      <w:r>
        <w:rPr>
          <w:rFonts w:hint="eastAsia"/>
        </w:rPr>
        <w:t>同时，将北京至哈尔滨高速公路绥中（冀辽界）至盘锦段改扩建工程的合理施工利润用于本项目中。</w:t>
      </w:r>
    </w:p>
    <w:p>
      <w:pPr>
        <w:pStyle w:val="5"/>
        <w:ind w:firstLine="562"/>
      </w:pPr>
      <w:bookmarkStart w:id="41" w:name="_Toc93135832"/>
      <w:r>
        <w:rPr>
          <w:rFonts w:hint="eastAsia"/>
        </w:rPr>
        <w:t>股东回报机制</w:t>
      </w:r>
      <w:bookmarkEnd w:id="41"/>
    </w:p>
    <w:p>
      <w:pPr>
        <w:ind w:firstLine="480"/>
      </w:pPr>
      <w:r>
        <w:rPr>
          <w:rFonts w:hint="eastAsia"/>
        </w:rPr>
        <w:t>项目股东回报主要体现于以下方面：</w:t>
      </w:r>
    </w:p>
    <w:p>
      <w:pPr>
        <w:ind w:firstLine="480"/>
      </w:pPr>
      <w:r>
        <w:rPr>
          <w:rFonts w:hint="eastAsia"/>
        </w:rPr>
        <w:t>（1）</w:t>
      </w:r>
      <w:r>
        <w:rPr>
          <w:rFonts w:hint="eastAsia"/>
        </w:rPr>
        <w:tab/>
      </w:r>
      <w:r>
        <w:rPr>
          <w:rFonts w:hint="eastAsia"/>
        </w:rPr>
        <w:t>运营期间，项目公司股东分配项目公司税后利润之所得；</w:t>
      </w:r>
    </w:p>
    <w:p>
      <w:pPr>
        <w:ind w:firstLine="480"/>
      </w:pPr>
      <w:r>
        <w:rPr>
          <w:rFonts w:hint="eastAsia"/>
        </w:rPr>
        <w:t>（</w:t>
      </w:r>
      <w:r>
        <w:t>2</w:t>
      </w:r>
      <w:r>
        <w:rPr>
          <w:rFonts w:hint="eastAsia"/>
        </w:rPr>
        <w:t>）</w:t>
      </w:r>
      <w:r>
        <w:rPr>
          <w:rFonts w:hint="eastAsia"/>
        </w:rPr>
        <w:tab/>
      </w:r>
      <w:r>
        <w:rPr>
          <w:rFonts w:hint="eastAsia"/>
        </w:rPr>
        <w:t>为降低每年可行性缺口补助金额，政府方的出资及产生的收益投入到本项目中。在PPP合作期限届满后，项目公司将本项目设施及相关权益完好、无偿、不设任何权利负担地移交给政府方，省政府指定政府方出资代表收回上述设施及相关权益。经测算，40年运营期满时政府方收回的资产价值远大于政府方出资对应的价值，项目公司清算时政府方不收回其出资。</w:t>
      </w:r>
    </w:p>
    <w:p>
      <w:pPr>
        <w:pStyle w:val="2"/>
      </w:pPr>
      <w:bookmarkStart w:id="42" w:name="_Toc93135833"/>
      <w:r>
        <w:rPr>
          <w:rFonts w:hint="eastAsia"/>
        </w:rPr>
        <w:t>测试内容</w:t>
      </w:r>
      <w:bookmarkEnd w:id="42"/>
    </w:p>
    <w:p>
      <w:pPr>
        <w:pStyle w:val="4"/>
        <w:numPr>
          <w:ilvl w:val="0"/>
          <w:numId w:val="11"/>
        </w:numPr>
      </w:pPr>
      <w:bookmarkStart w:id="43" w:name="_Toc93135834"/>
      <w:r>
        <w:rPr>
          <w:rFonts w:hint="eastAsia"/>
        </w:rPr>
        <w:t>P</w:t>
      </w:r>
      <w:r>
        <w:t>PP</w:t>
      </w:r>
      <w:r>
        <w:rPr>
          <w:rFonts w:hint="eastAsia"/>
        </w:rPr>
        <w:t>合作期</w:t>
      </w:r>
      <w:bookmarkEnd w:id="43"/>
    </w:p>
    <w:p>
      <w:pPr>
        <w:ind w:firstLine="480"/>
      </w:pPr>
      <w:r>
        <w:rPr>
          <w:rFonts w:hint="eastAsia"/>
        </w:rPr>
        <w:t>本项目合作期设定为44年，其中建设期4年，运营期40年。在合作期间，若由于适用的政策因素导致项目未能按照本方案约定的运营年限履行，则由实施机构和项目公司双方协商处理。处理的原则为应能使项目公司恢复至项目达到约定的运营年限时项目公司所应保持或达到的实质性相同或相近的经济地位（实质性相同或相近的经济地位应从项目公司的收益、成本、所受到的损失、损害和责任方面予以考虑）。</w:t>
      </w:r>
    </w:p>
    <w:p>
      <w:pPr>
        <w:pStyle w:val="4"/>
        <w:rPr>
          <w:rFonts w:cs="Times New Roman"/>
        </w:rPr>
      </w:pPr>
      <w:bookmarkStart w:id="44" w:name="_Toc93135835"/>
      <w:r>
        <w:rPr>
          <w:rFonts w:hint="eastAsia" w:cs="Times New Roman"/>
        </w:rPr>
        <w:t>P</w:t>
      </w:r>
      <w:r>
        <w:rPr>
          <w:rFonts w:cs="Times New Roman"/>
        </w:rPr>
        <w:t>PP项目社会资本</w:t>
      </w:r>
      <w:r>
        <w:rPr>
          <w:rFonts w:hint="eastAsia" w:cs="Times New Roman"/>
        </w:rPr>
        <w:t>采购</w:t>
      </w:r>
      <w:r>
        <w:rPr>
          <w:rFonts w:cs="Times New Roman"/>
        </w:rPr>
        <w:t>与京哈高速</w:t>
      </w:r>
      <w:r>
        <w:rPr>
          <w:rFonts w:cs="Times New Roman"/>
          <w:szCs w:val="28"/>
        </w:rPr>
        <w:t>绥盘段改扩建项目</w:t>
      </w:r>
      <w:r>
        <w:rPr>
          <w:rFonts w:cs="Times New Roman"/>
        </w:rPr>
        <w:t>施工总承包</w:t>
      </w:r>
      <w:r>
        <w:rPr>
          <w:rFonts w:hint="eastAsia" w:cs="Times New Roman"/>
        </w:rPr>
        <w:t>采购</w:t>
      </w:r>
      <w:r>
        <w:rPr>
          <w:rFonts w:cs="Times New Roman"/>
        </w:rPr>
        <w:t>合并实施</w:t>
      </w:r>
      <w:bookmarkEnd w:id="44"/>
    </w:p>
    <w:p>
      <w:pPr>
        <w:ind w:firstLine="480"/>
      </w:pPr>
      <w:r>
        <w:rPr>
          <w:rFonts w:hint="eastAsia" w:ascii="仿宋_GB2312" w:hAnsi="仿宋"/>
          <w:szCs w:val="28"/>
        </w:rPr>
        <w:t>京哈高速绥盘段改扩建项目</w:t>
      </w:r>
      <w:r>
        <w:rPr>
          <w:rFonts w:hint="eastAsia" w:eastAsia="仿宋"/>
          <w:bCs/>
        </w:rPr>
        <w:t>采用施工总承包方式实施，施工总承包采购</w:t>
      </w:r>
      <w:r>
        <w:rPr>
          <w:rFonts w:eastAsia="仿宋"/>
          <w:bCs/>
        </w:rPr>
        <w:t>与本</w:t>
      </w:r>
      <w:r>
        <w:rPr>
          <w:rFonts w:hint="eastAsia" w:eastAsia="仿宋"/>
          <w:bCs/>
        </w:rPr>
        <w:t>P</w:t>
      </w:r>
      <w:r>
        <w:rPr>
          <w:rFonts w:eastAsia="仿宋"/>
          <w:bCs/>
        </w:rPr>
        <w:t>PP项目社会资本采购</w:t>
      </w:r>
      <w:r>
        <w:rPr>
          <w:rFonts w:hint="eastAsia" w:eastAsia="仿宋"/>
          <w:bCs/>
        </w:rPr>
        <w:t>拟</w:t>
      </w:r>
      <w:r>
        <w:rPr>
          <w:rFonts w:eastAsia="仿宋"/>
          <w:bCs/>
        </w:rPr>
        <w:t>打包实施。</w:t>
      </w:r>
      <w:r>
        <w:rPr>
          <w:rFonts w:hint="eastAsia"/>
        </w:rPr>
        <w:t>京哈高速绥盘段改扩建项目各标段的中标人分别与辽宁交投集团或其授权的下属公司签订《施工承包合同》。</w:t>
      </w:r>
    </w:p>
    <w:p>
      <w:pPr>
        <w:ind w:firstLine="480"/>
      </w:pPr>
      <w:r>
        <w:rPr>
          <w:rFonts w:hint="eastAsia"/>
        </w:rPr>
        <w:t>可行性缺口补助是在考虑京哈高速施工利润的前提下进行的测算，该部分利润在实际操作中由社会资本自行统筹考虑。用于本桓高速PPP项目的施工利润为1</w:t>
      </w:r>
      <w:r>
        <w:t>3.2</w:t>
      </w:r>
      <w:r>
        <w:rPr>
          <w:rFonts w:hint="eastAsia"/>
        </w:rPr>
        <w:t>亿元，用于凌绥高速PPP项目的施工利润为8</w:t>
      </w:r>
      <w:r>
        <w:t>.8</w:t>
      </w:r>
      <w:r>
        <w:rPr>
          <w:rFonts w:hint="eastAsia"/>
        </w:rPr>
        <w:t>亿元。</w:t>
      </w:r>
    </w:p>
    <w:p>
      <w:pPr>
        <w:pStyle w:val="4"/>
      </w:pPr>
      <w:bookmarkStart w:id="45" w:name="_Toc93135836"/>
      <w:r>
        <w:rPr>
          <w:rFonts w:hint="eastAsia"/>
        </w:rPr>
        <w:t>基准车流量和基准收费标准的取值、</w:t>
      </w:r>
      <w:bookmarkStart w:id="46" w:name="_Hlk93246576"/>
      <w:r>
        <w:rPr>
          <w:rFonts w:hint="eastAsia"/>
        </w:rPr>
        <w:t>车辆通行费收入的风险分担机制</w:t>
      </w:r>
      <w:bookmarkEnd w:id="45"/>
      <w:bookmarkEnd w:id="46"/>
    </w:p>
    <w:p>
      <w:pPr>
        <w:ind w:firstLine="480"/>
      </w:pPr>
      <w:r>
        <w:rPr>
          <w:rFonts w:hint="eastAsia"/>
        </w:rPr>
        <w:t>本项目车辆通行费按照届时政府有关部门批准的收费标准执行。测算时取可行性研究报告预测交通量的60％作为基准车流量，运营期第一年以当前全省高速公路收费标准整体提高15％作为基准收费标准，后续各年保持不变，测算出各年的基准车辆通行费收入，从而计算出每年政府需支付的可行性缺口补助。</w:t>
      </w:r>
    </w:p>
    <w:p>
      <w:pPr>
        <w:ind w:firstLine="480"/>
      </w:pPr>
      <w:r>
        <w:rPr>
          <w:rFonts w:hint="eastAsia"/>
        </w:rPr>
        <w:t>同时，在此基础上对实际车辆通行费收入设置了风险分担机制：基准车辆通行费收入4/6以下的部分由项目公司自行承担；基准车辆通行费收入4/6和5/6之间不足的部分，由政府方承担一半；基准车辆通行费收入5/6和7/6之间的部分由项目公司自负盈亏；基准车辆通行费收入7/6以上的部分由政府方享有一半的分成。</w:t>
      </w:r>
    </w:p>
    <w:p>
      <w:pPr>
        <w:pStyle w:val="4"/>
      </w:pPr>
      <w:bookmarkStart w:id="47" w:name="_Toc93135837"/>
      <w:r>
        <w:rPr>
          <w:rFonts w:hint="eastAsia"/>
        </w:rPr>
        <w:t>长期贷款利率取值、贷款利率变化的风险分担机制</w:t>
      </w:r>
      <w:bookmarkEnd w:id="47"/>
    </w:p>
    <w:p>
      <w:pPr>
        <w:widowControl/>
        <w:ind w:firstLine="480"/>
      </w:pPr>
      <w:r>
        <w:rPr>
          <w:rFonts w:hint="eastAsia"/>
        </w:rPr>
        <w:t>本项目测算的长期</w:t>
      </w:r>
      <w:r>
        <w:t>贷款利率</w:t>
      </w:r>
      <w:r>
        <w:rPr>
          <w:rFonts w:hint="eastAsia"/>
        </w:rPr>
        <w:t>取</w:t>
      </w:r>
      <w:r>
        <w:t>中国人民银行授权全国银行间同业拆借中心</w:t>
      </w:r>
      <w:r>
        <w:rPr>
          <w:rFonts w:hint="eastAsia"/>
        </w:rPr>
        <w:t>2</w:t>
      </w:r>
      <w:r>
        <w:t>021</w:t>
      </w:r>
      <w:r>
        <w:rPr>
          <w:rFonts w:hint="eastAsia"/>
        </w:rPr>
        <w:t>年</w:t>
      </w:r>
      <w:r>
        <w:t>12月20日公布的五年期以上贷款市场报价利率（LPR）</w:t>
      </w:r>
      <w:r>
        <w:rPr>
          <w:rFonts w:hint="eastAsia"/>
        </w:rPr>
        <w:t>4</w:t>
      </w:r>
      <w:r>
        <w:t>.65</w:t>
      </w:r>
      <w:r>
        <w:rPr>
          <w:rFonts w:hint="eastAsia"/>
        </w:rPr>
        <w:t>%下浮1</w:t>
      </w:r>
      <w:r>
        <w:t>0</w:t>
      </w:r>
      <w:r>
        <w:rPr>
          <w:rFonts w:hint="eastAsia"/>
        </w:rPr>
        <w:t>%，即4</w:t>
      </w:r>
      <w:r>
        <w:t>.185</w:t>
      </w:r>
      <w:r>
        <w:rPr>
          <w:rFonts w:hint="eastAsia"/>
        </w:rPr>
        <w:t>%。项目公司按照等额本息方式进行还贷，贷款期</w:t>
      </w:r>
      <w:r>
        <w:t>34</w:t>
      </w:r>
      <w:r>
        <w:rPr>
          <w:rFonts w:hint="eastAsia"/>
        </w:rPr>
        <w:t>年，其中宽限期4年，还款期3</w:t>
      </w:r>
      <w:r>
        <w:t>0</w:t>
      </w:r>
      <w:r>
        <w:rPr>
          <w:rFonts w:hint="eastAsia"/>
        </w:rPr>
        <w:t>年。贷款利率风险由政府和项目公司共担，风险分担机制具体如下：</w:t>
      </w:r>
    </w:p>
    <w:p>
      <w:pPr>
        <w:ind w:firstLine="480"/>
      </w:pPr>
      <w:r>
        <w:rPr>
          <w:rFonts w:hint="eastAsia"/>
        </w:rPr>
        <w:t>1</w:t>
      </w:r>
      <w:r>
        <w:t>.</w:t>
      </w:r>
      <w:r>
        <w:rPr>
          <w:rFonts w:hint="eastAsia"/>
        </w:rPr>
        <w:t>实际贷款年利率不高于4</w:t>
      </w:r>
      <w:r>
        <w:t>.185</w:t>
      </w:r>
      <w:r>
        <w:rPr>
          <w:rFonts w:hint="eastAsia"/>
        </w:rPr>
        <w:t>%时，核定的长期贷款年利率为实际贷款年利率+（</w:t>
      </w:r>
      <w:r>
        <w:t>4.185</w:t>
      </w:r>
      <w:r>
        <w:rPr>
          <w:rFonts w:hint="eastAsia"/>
        </w:rPr>
        <w:t>%－实际贷款年利率）÷2；</w:t>
      </w:r>
    </w:p>
    <w:p>
      <w:pPr>
        <w:ind w:firstLine="480"/>
      </w:pPr>
      <w:r>
        <w:t>2.</w:t>
      </w:r>
      <w:r>
        <w:rPr>
          <w:rFonts w:hint="eastAsia"/>
        </w:rPr>
        <w:t>实际贷款年利率高于4</w:t>
      </w:r>
      <w:r>
        <w:t>.185</w:t>
      </w:r>
      <w:r>
        <w:rPr>
          <w:rFonts w:hint="eastAsia"/>
        </w:rPr>
        <w:t>%但不高于4</w:t>
      </w:r>
      <w:r>
        <w:t>.65</w:t>
      </w:r>
      <w:r>
        <w:rPr>
          <w:rFonts w:hint="eastAsia"/>
        </w:rPr>
        <w:t>%时，核定的长期贷款年利率为4</w:t>
      </w:r>
      <w:r>
        <w:t>.185</w:t>
      </w:r>
      <w:r>
        <w:rPr>
          <w:rFonts w:hint="eastAsia"/>
        </w:rPr>
        <w:t>%+（实际贷款年利率－</w:t>
      </w:r>
      <w:r>
        <w:t>4.185</w:t>
      </w:r>
      <w:r>
        <w:rPr>
          <w:rFonts w:hint="eastAsia"/>
        </w:rPr>
        <w:t>%）÷2；</w:t>
      </w:r>
    </w:p>
    <w:p>
      <w:pPr>
        <w:ind w:firstLine="480"/>
      </w:pPr>
      <w:r>
        <w:t>3.</w:t>
      </w:r>
      <w:r>
        <w:rPr>
          <w:rFonts w:hint="eastAsia"/>
        </w:rPr>
        <w:t>实际贷款年利率高于4</w:t>
      </w:r>
      <w:r>
        <w:t>.65</w:t>
      </w:r>
      <w:r>
        <w:rPr>
          <w:rFonts w:hint="eastAsia"/>
        </w:rPr>
        <w:t>%时，核定的长期贷款年利率为4</w:t>
      </w:r>
      <w:r>
        <w:t>.185</w:t>
      </w:r>
      <w:r>
        <w:rPr>
          <w:rFonts w:hint="eastAsia"/>
        </w:rPr>
        <w:t>%+（4</w:t>
      </w:r>
      <w:r>
        <w:t>.65</w:t>
      </w:r>
      <w:r>
        <w:rPr>
          <w:rFonts w:hint="eastAsia"/>
        </w:rPr>
        <w:t>%－</w:t>
      </w:r>
      <w:r>
        <w:t>4.185</w:t>
      </w:r>
      <w:r>
        <w:rPr>
          <w:rFonts w:hint="eastAsia"/>
        </w:rPr>
        <w:t>%）÷2，即4</w:t>
      </w:r>
      <w:r>
        <w:t>.4175</w:t>
      </w:r>
      <w:r>
        <w:rPr>
          <w:rFonts w:hint="eastAsia"/>
        </w:rPr>
        <w:t>%。</w:t>
      </w:r>
    </w:p>
    <w:p>
      <w:pPr>
        <w:pStyle w:val="4"/>
      </w:pPr>
      <w:bookmarkStart w:id="48" w:name="_Toc93135838"/>
      <w:r>
        <w:rPr>
          <w:rFonts w:hint="eastAsia"/>
        </w:rPr>
        <w:t>资本金（社会资本）财务内部收益率</w:t>
      </w:r>
      <w:bookmarkEnd w:id="48"/>
    </w:p>
    <w:p>
      <w:pPr>
        <w:ind w:firstLine="480"/>
      </w:pPr>
      <w:r>
        <w:rPr>
          <w:rFonts w:hint="eastAsia"/>
        </w:rPr>
        <w:t>本项目可行性缺口补助测算采用的是《建设项目经济评价方法与参数（第三版）》中的合理收益法（反推法），测算在项目资本金（社会资本）财务内部收益率为5.50%的前提下，政府每年需支付的可行性缺口补助。</w:t>
      </w:r>
    </w:p>
    <w:p>
      <w:pPr>
        <w:pStyle w:val="4"/>
      </w:pPr>
      <w:bookmarkStart w:id="49" w:name="_Toc93135839"/>
      <w:r>
        <w:rPr>
          <w:rFonts w:hint="eastAsia"/>
        </w:rPr>
        <w:t>项目公司组织架构</w:t>
      </w:r>
      <w:bookmarkEnd w:id="49"/>
    </w:p>
    <w:p>
      <w:pPr>
        <w:ind w:firstLine="480"/>
      </w:pPr>
      <w:r>
        <w:rPr>
          <w:rFonts w:hint="eastAsia"/>
        </w:rPr>
        <w:t>董事会由5名董事组成，其中政府方出资代表提名2名，中选社会资本方提名2名，由项目公司的职工代表大会、职工大会或者其他形式民主选举产生1名，经股东会任命后担任董事。董事会决策事项必须一致表决同意方可执行、实施。董事会设董事长1名，副董事长1名。</w:t>
      </w:r>
    </w:p>
    <w:p>
      <w:pPr>
        <w:ind w:firstLine="480"/>
      </w:pPr>
      <w:r>
        <w:rPr>
          <w:rFonts w:hint="eastAsia"/>
        </w:rPr>
        <w:t>监事会由3名监事组成。设主席1名，由政府方出资代表提名并由全体监事过半数选举产生，中选社会资本委派1名，由项目公司的职工代表大会、职工大会或者其他形式民主选举产生1名。监事会决策事项必须一致表决同意方可执行、实施。</w:t>
      </w:r>
    </w:p>
    <w:p>
      <w:pPr>
        <w:widowControl/>
        <w:ind w:firstLine="480"/>
      </w:pPr>
      <w:r>
        <w:rPr>
          <w:rFonts w:hint="eastAsia"/>
        </w:rPr>
        <w:t>项目公司经营管理机构由总经理1名、副总经理若干名、财务总监1名和财务副总监1名组成。</w:t>
      </w:r>
    </w:p>
    <w:p>
      <w:pPr>
        <w:widowControl/>
        <w:ind w:firstLine="480"/>
      </w:pPr>
      <w:r>
        <w:rPr>
          <w:rFonts w:hint="eastAsia"/>
        </w:rPr>
        <w:t>政府方出资代表委派董事长、总经理、财务总监中的一名。</w:t>
      </w:r>
    </w:p>
    <w:p>
      <w:pPr>
        <w:pStyle w:val="4"/>
      </w:pPr>
      <w:bookmarkStart w:id="50" w:name="_Toc93135840"/>
      <w:r>
        <w:rPr>
          <w:rFonts w:hint="eastAsia"/>
        </w:rPr>
        <w:t>违约及争议解决</w:t>
      </w:r>
      <w:bookmarkEnd w:id="50"/>
    </w:p>
    <w:p>
      <w:pPr>
        <w:widowControl/>
        <w:ind w:firstLine="480"/>
      </w:pPr>
      <w:r>
        <w:rPr>
          <w:rFonts w:hint="eastAsia"/>
        </w:rPr>
        <w:t>当项目公司违约时，由项目公司和中选社会资本共同承担违约责任；当实施机构和项目公司发生争议时，由项目公司和中选社会资本共同出面同实施机构进行协商解决。</w:t>
      </w:r>
    </w:p>
    <w:p>
      <w:pPr>
        <w:widowControl/>
        <w:spacing w:line="240" w:lineRule="auto"/>
        <w:ind w:firstLine="0" w:firstLineChars="0"/>
        <w:jc w:val="left"/>
      </w:pPr>
      <w:r>
        <w:br w:type="page"/>
      </w:r>
    </w:p>
    <w:p>
      <w:pPr>
        <w:pStyle w:val="2"/>
        <w:numPr>
          <w:ilvl w:val="0"/>
          <w:numId w:val="0"/>
        </w:numPr>
      </w:pPr>
      <w:bookmarkStart w:id="51" w:name="_Toc93135841"/>
      <w:r>
        <w:rPr>
          <w:rFonts w:hint="eastAsia"/>
        </w:rPr>
        <w:t>附件一 项目参与意向函</w:t>
      </w:r>
      <w:bookmarkEnd w:id="51"/>
    </w:p>
    <w:p>
      <w:pPr>
        <w:ind w:firstLine="0" w:firstLineChars="0"/>
        <w:jc w:val="center"/>
        <w:rPr>
          <w:rFonts w:ascii="宋体" w:hAnsi="宋体" w:eastAsia="宋体" w:cs="黑体"/>
          <w:b/>
          <w:bCs/>
          <w:spacing w:val="20"/>
          <w:sz w:val="36"/>
          <w:szCs w:val="36"/>
        </w:rPr>
      </w:pPr>
    </w:p>
    <w:p>
      <w:pPr>
        <w:ind w:firstLine="0" w:firstLineChars="0"/>
        <w:jc w:val="center"/>
        <w:rPr>
          <w:rFonts w:ascii="宋体" w:hAnsi="宋体" w:eastAsia="宋体" w:cs="黑体"/>
          <w:b/>
          <w:bCs/>
          <w:spacing w:val="20"/>
          <w:sz w:val="36"/>
          <w:szCs w:val="36"/>
        </w:rPr>
      </w:pPr>
      <w:r>
        <w:rPr>
          <w:rFonts w:hint="eastAsia" w:ascii="宋体" w:hAnsi="宋体" w:eastAsia="宋体" w:cs="黑体"/>
          <w:b/>
          <w:bCs/>
          <w:spacing w:val="20"/>
          <w:sz w:val="36"/>
          <w:szCs w:val="36"/>
        </w:rPr>
        <w:t>项目参与意向函</w:t>
      </w:r>
    </w:p>
    <w:p>
      <w:pPr>
        <w:spacing w:line="240" w:lineRule="auto"/>
        <w:ind w:firstLine="216"/>
        <w:rPr>
          <w:rFonts w:ascii="仿宋_GB2312" w:hAnsi="仿宋_GB2312" w:cs="仿宋_GB2312"/>
          <w:spacing w:val="4"/>
          <w:sz w:val="10"/>
          <w:szCs w:val="10"/>
        </w:rPr>
      </w:pPr>
    </w:p>
    <w:p>
      <w:pPr>
        <w:spacing w:before="156" w:beforeLines="50" w:after="156" w:afterLines="50"/>
        <w:ind w:firstLine="560"/>
        <w:rPr>
          <w:sz w:val="28"/>
          <w:szCs w:val="24"/>
        </w:rPr>
      </w:pPr>
      <w:r>
        <w:rPr>
          <w:rFonts w:hint="eastAsia"/>
          <w:sz w:val="28"/>
          <w:szCs w:val="24"/>
        </w:rPr>
        <w:t>我方（潜在社会资本单位名称）在此确认以下事项：</w:t>
      </w:r>
    </w:p>
    <w:p>
      <w:pPr>
        <w:spacing w:before="156" w:beforeLines="50" w:after="156" w:afterLines="50"/>
        <w:ind w:firstLine="560" w:firstLineChars="0"/>
        <w:rPr>
          <w:sz w:val="28"/>
          <w:szCs w:val="24"/>
          <w:u w:val="single"/>
        </w:rPr>
      </w:pPr>
      <w:r>
        <w:rPr>
          <w:rFonts w:hint="eastAsia"/>
          <w:sz w:val="28"/>
          <w:szCs w:val="24"/>
        </w:rPr>
        <w:t>1.</w:t>
      </w:r>
      <w:r>
        <w:rPr>
          <w:sz w:val="28"/>
          <w:szCs w:val="24"/>
        </w:rPr>
        <w:t xml:space="preserve"> </w:t>
      </w:r>
      <w:r>
        <w:rPr>
          <w:rFonts w:hint="eastAsia"/>
          <w:sz w:val="28"/>
          <w:szCs w:val="24"/>
        </w:rPr>
        <w:t>我方已了解</w:t>
      </w:r>
      <w:bookmarkStart w:id="52" w:name="_Hlk92622910"/>
      <w:r>
        <w:rPr>
          <w:rFonts w:hint="eastAsia"/>
          <w:sz w:val="28"/>
          <w:szCs w:val="24"/>
        </w:rPr>
        <w:t>辽宁省本溪至集安高速公路本溪至桓仁（辽吉界）段PPP项目</w:t>
      </w:r>
      <w:bookmarkEnd w:id="52"/>
      <w:r>
        <w:rPr>
          <w:rFonts w:hint="eastAsia"/>
          <w:sz w:val="28"/>
          <w:szCs w:val="24"/>
        </w:rPr>
        <w:t>和辽宁省赤峰至绥中高速公路（G4515）凌源（蒙辽界）至绥中段PPP项目的有关信息，并有意向参与</w:t>
      </w:r>
      <w:r>
        <w:rPr>
          <w:rFonts w:hint="eastAsia"/>
          <w:sz w:val="28"/>
          <w:szCs w:val="24"/>
          <w:u w:val="single"/>
        </w:rPr>
        <w:t xml:space="preserve"> </w:t>
      </w:r>
      <w:r>
        <w:rPr>
          <w:sz w:val="28"/>
          <w:szCs w:val="24"/>
          <w:u w:val="single"/>
        </w:rPr>
        <w:t xml:space="preserve">  </w:t>
      </w:r>
      <w:r>
        <w:rPr>
          <w:rFonts w:hint="eastAsia"/>
          <w:sz w:val="28"/>
          <w:szCs w:val="24"/>
          <w:u w:val="single"/>
          <w:lang w:val="en-US" w:eastAsia="zh-CN"/>
        </w:rPr>
        <w:t xml:space="preserve">         </w:t>
      </w:r>
      <w:r>
        <w:rPr>
          <w:sz w:val="28"/>
          <w:szCs w:val="24"/>
          <w:u w:val="single"/>
        </w:rPr>
        <w:t xml:space="preserve"> </w:t>
      </w:r>
      <w:r>
        <w:rPr>
          <w:rFonts w:hint="eastAsia"/>
          <w:sz w:val="28"/>
          <w:szCs w:val="24"/>
          <w:u w:val="single"/>
          <w:lang w:val="en-US" w:eastAsia="zh-CN"/>
        </w:rPr>
        <w:t xml:space="preserve">    </w:t>
      </w:r>
      <w:r>
        <w:rPr>
          <w:sz w:val="28"/>
          <w:szCs w:val="24"/>
          <w:u w:val="single"/>
        </w:rPr>
        <w:t xml:space="preserve"> </w:t>
      </w:r>
    </w:p>
    <w:p>
      <w:pPr>
        <w:spacing w:before="156" w:beforeLines="50" w:after="156" w:afterLines="50"/>
        <w:ind w:left="0" w:leftChars="0" w:firstLine="0" w:firstLineChars="0"/>
        <w:rPr>
          <w:sz w:val="28"/>
          <w:szCs w:val="24"/>
        </w:rPr>
      </w:pPr>
      <w:r>
        <w:rPr>
          <w:sz w:val="28"/>
          <w:szCs w:val="24"/>
          <w:u w:val="single"/>
        </w:rPr>
        <w:t xml:space="preserve"> </w:t>
      </w:r>
      <w:r>
        <w:rPr>
          <w:rFonts w:hint="eastAsia"/>
          <w:sz w:val="28"/>
          <w:szCs w:val="24"/>
          <w:u w:val="single"/>
          <w:lang w:val="en-US" w:eastAsia="zh-CN"/>
        </w:rPr>
        <w:t xml:space="preserve">        </w:t>
      </w:r>
      <w:r>
        <w:rPr>
          <w:sz w:val="28"/>
          <w:szCs w:val="24"/>
          <w:u w:val="single"/>
        </w:rPr>
        <w:t xml:space="preserve"> </w:t>
      </w:r>
      <w:r>
        <w:rPr>
          <w:rFonts w:hint="eastAsia"/>
          <w:sz w:val="28"/>
          <w:szCs w:val="24"/>
        </w:rPr>
        <w:t>（项目名称）的后续采购工作，愿意通过面谈、电话沟通等方式深入了解本项目情况。</w:t>
      </w:r>
    </w:p>
    <w:p>
      <w:pPr>
        <w:spacing w:before="156" w:beforeLines="50" w:after="156" w:afterLines="50"/>
        <w:ind w:firstLine="560" w:firstLineChars="0"/>
        <w:rPr>
          <w:sz w:val="28"/>
          <w:szCs w:val="24"/>
        </w:rPr>
      </w:pPr>
      <w:r>
        <w:rPr>
          <w:rFonts w:hint="eastAsia"/>
          <w:sz w:val="28"/>
          <w:szCs w:val="24"/>
        </w:rPr>
        <w:t>2.</w:t>
      </w:r>
      <w:r>
        <w:rPr>
          <w:sz w:val="28"/>
          <w:szCs w:val="24"/>
        </w:rPr>
        <w:t xml:space="preserve"> </w:t>
      </w:r>
      <w:r>
        <w:rPr>
          <w:rFonts w:hint="eastAsia"/>
          <w:sz w:val="28"/>
          <w:szCs w:val="24"/>
        </w:rPr>
        <w:t>我方确认本次市场测试反馈的信息内容属实。</w:t>
      </w:r>
    </w:p>
    <w:p>
      <w:pPr>
        <w:pStyle w:val="37"/>
        <w:ind w:firstLine="560"/>
        <w:rPr>
          <w:rFonts w:ascii="Times New Roman" w:hAnsi="Times New Roman" w:cstheme="minorBidi"/>
          <w:sz w:val="28"/>
        </w:rPr>
      </w:pPr>
    </w:p>
    <w:p>
      <w:pPr>
        <w:spacing w:before="156" w:beforeLines="50" w:after="156" w:afterLines="50"/>
        <w:ind w:firstLine="560"/>
        <w:rPr>
          <w:sz w:val="28"/>
          <w:szCs w:val="24"/>
        </w:rPr>
      </w:pPr>
    </w:p>
    <w:p>
      <w:pPr>
        <w:spacing w:before="156" w:beforeLines="50" w:after="156" w:afterLines="50"/>
        <w:ind w:firstLine="560"/>
        <w:rPr>
          <w:sz w:val="28"/>
          <w:szCs w:val="24"/>
        </w:rPr>
      </w:pPr>
    </w:p>
    <w:p>
      <w:pPr>
        <w:spacing w:before="156" w:beforeLines="50" w:after="156" w:afterLines="50"/>
        <w:ind w:firstLine="560"/>
        <w:jc w:val="right"/>
        <w:rPr>
          <w:sz w:val="28"/>
          <w:szCs w:val="24"/>
        </w:rPr>
      </w:pPr>
      <w:r>
        <w:rPr>
          <w:rFonts w:hint="eastAsia"/>
          <w:sz w:val="28"/>
          <w:szCs w:val="24"/>
        </w:rPr>
        <w:t xml:space="preserve">                     [潜在社会资本单位名称]（加盖公章）</w:t>
      </w:r>
    </w:p>
    <w:p>
      <w:pPr>
        <w:spacing w:before="156" w:beforeLines="50" w:after="156" w:afterLines="50"/>
        <w:ind w:firstLine="560"/>
        <w:jc w:val="right"/>
        <w:rPr>
          <w:sz w:val="28"/>
          <w:szCs w:val="24"/>
        </w:rPr>
      </w:pPr>
      <w:r>
        <w:rPr>
          <w:rFonts w:hint="eastAsia"/>
          <w:sz w:val="28"/>
          <w:szCs w:val="24"/>
        </w:rPr>
        <w:t xml:space="preserve">                    </w:t>
      </w:r>
      <w:r>
        <w:rPr>
          <w:sz w:val="28"/>
          <w:szCs w:val="24"/>
        </w:rPr>
        <w:t xml:space="preserve"> </w:t>
      </w:r>
      <w:r>
        <w:rPr>
          <w:rFonts w:hint="eastAsia"/>
          <w:sz w:val="28"/>
          <w:szCs w:val="24"/>
        </w:rPr>
        <w:t xml:space="preserve">         年      月     日</w:t>
      </w:r>
    </w:p>
    <w:p>
      <w:pPr>
        <w:widowControl/>
        <w:spacing w:line="240" w:lineRule="auto"/>
        <w:ind w:firstLine="0" w:firstLineChars="0"/>
        <w:jc w:val="left"/>
      </w:pPr>
      <w:r>
        <w:br w:type="page"/>
      </w:r>
    </w:p>
    <w:p>
      <w:pPr>
        <w:pStyle w:val="2"/>
        <w:numPr>
          <w:ilvl w:val="0"/>
          <w:numId w:val="0"/>
        </w:numPr>
      </w:pPr>
      <w:bookmarkStart w:id="53" w:name="_Toc93135842"/>
      <w:r>
        <w:rPr>
          <w:rFonts w:hint="eastAsia"/>
        </w:rPr>
        <w:t>附件二 社会资本基本信息表</w:t>
      </w:r>
      <w:bookmarkEnd w:id="53"/>
    </w:p>
    <w:tbl>
      <w:tblPr>
        <w:tblStyle w:val="1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1785"/>
        <w:gridCol w:w="1170"/>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77"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b/>
                <w:bCs/>
                <w:spacing w:val="57"/>
              </w:rPr>
              <w:t>市场测试社会资本基本信息表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单位名称</w:t>
            </w:r>
          </w:p>
        </w:tc>
        <w:tc>
          <w:tcPr>
            <w:tcW w:w="5858" w:type="dxa"/>
            <w:gridSpan w:val="3"/>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单位地址</w:t>
            </w:r>
          </w:p>
        </w:tc>
        <w:tc>
          <w:tcPr>
            <w:tcW w:w="5858" w:type="dxa"/>
            <w:gridSpan w:val="3"/>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项目联系人姓名</w:t>
            </w:r>
          </w:p>
        </w:tc>
        <w:tc>
          <w:tcPr>
            <w:tcW w:w="178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p>
        </w:tc>
        <w:tc>
          <w:tcPr>
            <w:tcW w:w="117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联系电话</w:t>
            </w:r>
          </w:p>
        </w:tc>
        <w:tc>
          <w:tcPr>
            <w:tcW w:w="290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电子邮箱地址</w:t>
            </w:r>
          </w:p>
        </w:tc>
        <w:tc>
          <w:tcPr>
            <w:tcW w:w="5858" w:type="dxa"/>
            <w:gridSpan w:val="3"/>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6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单位简介</w:t>
            </w:r>
          </w:p>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0"/>
                <w:szCs w:val="20"/>
              </w:rPr>
              <w:t>（如组织架构、关联企业）</w:t>
            </w:r>
          </w:p>
        </w:tc>
        <w:tc>
          <w:tcPr>
            <w:tcW w:w="5858" w:type="dxa"/>
            <w:gridSpan w:val="3"/>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cs="Times New Roman"/>
                <w:szCs w:val="24"/>
              </w:rPr>
            </w:pPr>
          </w:p>
          <w:p>
            <w:pPr>
              <w:pStyle w:val="37"/>
              <w:ind w:firstLine="480"/>
              <w:jc w:val="both"/>
            </w:pPr>
          </w:p>
          <w:p>
            <w:pPr>
              <w:ind w:firstLine="480"/>
            </w:pPr>
          </w:p>
          <w:p>
            <w:pPr>
              <w:ind w:firstLine="480"/>
            </w:pPr>
          </w:p>
          <w:p>
            <w:pPr>
              <w:ind w:firstLine="480"/>
            </w:pPr>
          </w:p>
          <w:p>
            <w:pPr>
              <w:ind w:firstLine="480"/>
            </w:pPr>
          </w:p>
          <w:p>
            <w:pPr>
              <w:ind w:firstLine="480"/>
            </w:pPr>
          </w:p>
          <w:p>
            <w:pPr>
              <w:pStyle w:val="37"/>
              <w:ind w:firstLine="48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6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经营范围</w:t>
            </w:r>
          </w:p>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0"/>
                <w:szCs w:val="20"/>
              </w:rPr>
              <w:t>（请提供营业执照复印件）</w:t>
            </w:r>
          </w:p>
        </w:tc>
        <w:tc>
          <w:tcPr>
            <w:tcW w:w="5858" w:type="dxa"/>
            <w:gridSpan w:val="3"/>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cs="Times New Roman"/>
                <w:szCs w:val="24"/>
              </w:rPr>
            </w:pPr>
          </w:p>
          <w:p>
            <w:pPr>
              <w:pStyle w:val="37"/>
              <w:ind w:firstLine="480"/>
              <w:jc w:val="both"/>
            </w:pPr>
          </w:p>
          <w:p>
            <w:pPr>
              <w:ind w:firstLine="480"/>
            </w:pPr>
          </w:p>
          <w:p>
            <w:pPr>
              <w:ind w:firstLine="480"/>
            </w:pPr>
          </w:p>
          <w:p>
            <w:pPr>
              <w:ind w:firstLine="480"/>
            </w:pPr>
          </w:p>
          <w:p>
            <w:pPr>
              <w:ind w:firstLine="480"/>
            </w:pPr>
          </w:p>
          <w:p>
            <w:pPr>
              <w:ind w:firstLine="480"/>
            </w:pPr>
          </w:p>
          <w:p>
            <w:pPr>
              <w:pStyle w:val="37"/>
              <w:ind w:firstLine="480"/>
              <w:jc w:val="both"/>
            </w:pPr>
          </w:p>
        </w:tc>
      </w:tr>
    </w:tbl>
    <w:p>
      <w:pPr>
        <w:widowControl/>
        <w:spacing w:line="240" w:lineRule="auto"/>
        <w:ind w:firstLine="0" w:firstLineChars="0"/>
        <w:jc w:val="left"/>
      </w:pPr>
      <w:r>
        <w:br w:type="page"/>
      </w:r>
    </w:p>
    <w:p>
      <w:pPr>
        <w:pStyle w:val="2"/>
        <w:numPr>
          <w:ilvl w:val="0"/>
          <w:numId w:val="0"/>
        </w:numPr>
      </w:pPr>
      <w:bookmarkStart w:id="54" w:name="_Toc93135843"/>
      <w:r>
        <w:rPr>
          <w:rFonts w:hint="eastAsia"/>
        </w:rPr>
        <w:t>附件三 市场测试意见的反馈</w:t>
      </w:r>
      <w:bookmarkEnd w:id="54"/>
    </w:p>
    <w:p>
      <w:pPr>
        <w:spacing w:before="156" w:beforeLines="50"/>
        <w:ind w:firstLine="0" w:firstLineChars="0"/>
        <w:rPr>
          <w:rFonts w:ascii="宋体" w:hAnsi="宋体" w:eastAsia="宋体"/>
          <w:b/>
          <w:bCs/>
          <w:sz w:val="28"/>
          <w:szCs w:val="24"/>
        </w:rPr>
      </w:pPr>
      <w:r>
        <w:rPr>
          <w:rFonts w:hint="eastAsia" w:ascii="宋体" w:hAnsi="宋体" w:eastAsia="宋体"/>
          <w:b/>
          <w:bCs/>
          <w:sz w:val="28"/>
          <w:szCs w:val="24"/>
        </w:rPr>
        <w:t>关于辽宁省本溪至集安高速公路本溪至桓仁（辽吉界）段PPP项目</w:t>
      </w:r>
    </w:p>
    <w:p>
      <w:pPr>
        <w:spacing w:after="156" w:afterLines="50"/>
        <w:ind w:firstLine="0" w:firstLineChars="0"/>
        <w:jc w:val="center"/>
        <w:rPr>
          <w:rFonts w:ascii="宋体" w:hAnsi="宋体" w:eastAsia="宋体"/>
          <w:b/>
          <w:bCs/>
          <w:sz w:val="28"/>
          <w:szCs w:val="24"/>
        </w:rPr>
      </w:pPr>
      <w:r>
        <w:rPr>
          <w:rFonts w:hint="eastAsia" w:ascii="宋体" w:hAnsi="宋体" w:eastAsia="宋体"/>
          <w:b/>
          <w:bCs/>
          <w:sz w:val="28"/>
          <w:szCs w:val="24"/>
        </w:rPr>
        <w:t>市场测试意见的反馈</w:t>
      </w:r>
    </w:p>
    <w:p>
      <w:pPr>
        <w:spacing w:before="156" w:beforeLines="50" w:after="156" w:afterLines="50"/>
        <w:ind w:firstLine="0" w:firstLineChars="0"/>
        <w:rPr>
          <w:b/>
          <w:bCs/>
          <w:sz w:val="28"/>
          <w:szCs w:val="24"/>
        </w:rPr>
      </w:pPr>
      <w:r>
        <w:rPr>
          <w:rFonts w:hint="eastAsia"/>
          <w:b/>
          <w:bCs/>
          <w:sz w:val="28"/>
          <w:szCs w:val="24"/>
        </w:rPr>
        <w:t>一、</w:t>
      </w:r>
      <w:r>
        <w:rPr>
          <w:rFonts w:hint="eastAsia"/>
          <w:b/>
          <w:bCs/>
          <w:sz w:val="28"/>
          <w:szCs w:val="24"/>
        </w:rPr>
        <w:tab/>
      </w:r>
      <w:r>
        <w:rPr>
          <w:rFonts w:hint="eastAsia"/>
          <w:b/>
          <w:bCs/>
          <w:sz w:val="28"/>
          <w:szCs w:val="24"/>
        </w:rPr>
        <w:t xml:space="preserve">对于实施方案的意见或建议 </w:t>
      </w:r>
    </w:p>
    <w:p>
      <w:pPr>
        <w:spacing w:before="156" w:beforeLines="50" w:after="156" w:afterLines="50"/>
        <w:ind w:firstLine="0" w:firstLineChars="0"/>
        <w:rPr>
          <w:sz w:val="28"/>
          <w:szCs w:val="24"/>
        </w:rPr>
      </w:pPr>
      <w:r>
        <w:rPr>
          <w:rFonts w:hint="eastAsia"/>
          <w:sz w:val="28"/>
          <w:szCs w:val="24"/>
        </w:rPr>
        <w:t>1、</w:t>
      </w:r>
      <w:r>
        <w:rPr>
          <w:rFonts w:hint="eastAsia"/>
          <w:sz w:val="28"/>
          <w:szCs w:val="24"/>
        </w:rPr>
        <w:tab/>
      </w:r>
      <w:r>
        <w:rPr>
          <w:rFonts w:hint="eastAsia"/>
          <w:sz w:val="28"/>
          <w:szCs w:val="24"/>
        </w:rPr>
        <w:t>是否同意当前合作期限4</w:t>
      </w:r>
      <w:r>
        <w:rPr>
          <w:sz w:val="28"/>
          <w:szCs w:val="24"/>
        </w:rPr>
        <w:t>4</w:t>
      </w:r>
      <w:r>
        <w:rPr>
          <w:rFonts w:hint="eastAsia"/>
          <w:sz w:val="28"/>
          <w:szCs w:val="24"/>
        </w:rPr>
        <w:t>年的设置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rFonts w:hint="eastAsia"/>
          <w:sz w:val="28"/>
          <w:szCs w:val="24"/>
        </w:rPr>
        <w:t>2、</w:t>
      </w:r>
      <w:r>
        <w:rPr>
          <w:rFonts w:hint="eastAsia"/>
          <w:sz w:val="28"/>
          <w:szCs w:val="24"/>
        </w:rPr>
        <w:tab/>
      </w:r>
      <w:r>
        <w:rPr>
          <w:rFonts w:hint="eastAsia"/>
          <w:sz w:val="28"/>
          <w:szCs w:val="24"/>
        </w:rPr>
        <w:t>是否同意当前PPP项目社会资本采购与京哈高速施工总承包招标合并实施的设计思路</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rFonts w:hint="eastAsia"/>
          <w:sz w:val="28"/>
          <w:szCs w:val="24"/>
        </w:rPr>
        <w:t>3、</w:t>
      </w:r>
      <w:r>
        <w:rPr>
          <w:rFonts w:hint="eastAsia"/>
          <w:sz w:val="28"/>
          <w:szCs w:val="24"/>
        </w:rPr>
        <w:tab/>
      </w:r>
      <w:r>
        <w:rPr>
          <w:rFonts w:hint="eastAsia"/>
          <w:sz w:val="28"/>
          <w:szCs w:val="24"/>
        </w:rPr>
        <w:t>基准车流量按照可行性研究报告预测车流量的</w:t>
      </w:r>
      <w:r>
        <w:rPr>
          <w:rFonts w:hint="eastAsia"/>
          <w:sz w:val="28"/>
          <w:szCs w:val="24"/>
          <w:u w:val="single"/>
        </w:rPr>
        <w:t xml:space="preserve"> </w:t>
      </w:r>
      <w:r>
        <w:rPr>
          <w:sz w:val="28"/>
          <w:szCs w:val="24"/>
          <w:u w:val="single"/>
        </w:rPr>
        <w:t xml:space="preserve">   </w:t>
      </w:r>
      <w:r>
        <w:rPr>
          <w:rFonts w:hint="eastAsia"/>
          <w:sz w:val="28"/>
          <w:szCs w:val="24"/>
        </w:rPr>
        <w:t>进行测算较为合适。</w:t>
      </w:r>
    </w:p>
    <w:p>
      <w:pPr>
        <w:spacing w:before="156" w:beforeLines="50" w:after="156" w:afterLines="50"/>
        <w:ind w:firstLine="0" w:firstLineChars="0"/>
        <w:rPr>
          <w:sz w:val="28"/>
          <w:szCs w:val="24"/>
        </w:rPr>
      </w:pPr>
      <w:r>
        <w:rPr>
          <w:rFonts w:hint="eastAsia"/>
          <w:sz w:val="28"/>
          <w:szCs w:val="24"/>
        </w:rPr>
        <w:t>A.</w:t>
      </w:r>
      <w:r>
        <w:rPr>
          <w:sz w:val="28"/>
          <w:szCs w:val="24"/>
        </w:rPr>
        <w:t xml:space="preserve"> 90</w:t>
      </w:r>
      <w:r>
        <w:rPr>
          <w:rFonts w:hint="eastAsia"/>
          <w:sz w:val="28"/>
          <w:szCs w:val="24"/>
        </w:rPr>
        <w:t>%以上</w:t>
      </w:r>
    </w:p>
    <w:p>
      <w:pPr>
        <w:spacing w:before="156" w:beforeLines="50" w:after="156" w:afterLines="50"/>
        <w:ind w:firstLine="0" w:firstLineChars="0"/>
        <w:rPr>
          <w:sz w:val="28"/>
          <w:szCs w:val="24"/>
        </w:rPr>
      </w:pPr>
      <w:r>
        <w:rPr>
          <w:rFonts w:hint="eastAsia"/>
          <w:sz w:val="28"/>
          <w:szCs w:val="24"/>
        </w:rPr>
        <w:t>B</w:t>
      </w:r>
      <w:r>
        <w:rPr>
          <w:sz w:val="28"/>
          <w:szCs w:val="24"/>
        </w:rPr>
        <w:t>. 80%~90%</w:t>
      </w:r>
      <w:r>
        <w:rPr>
          <w:rFonts w:hint="eastAsia"/>
          <w:sz w:val="28"/>
          <w:szCs w:val="24"/>
        </w:rPr>
        <w:t>（含</w:t>
      </w:r>
      <w:r>
        <w:rPr>
          <w:sz w:val="28"/>
          <w:szCs w:val="24"/>
        </w:rPr>
        <w:t>90</w:t>
      </w:r>
      <w:r>
        <w:rPr>
          <w:rFonts w:hint="eastAsia"/>
          <w:sz w:val="28"/>
          <w:szCs w:val="24"/>
        </w:rPr>
        <w:t>%）</w:t>
      </w:r>
    </w:p>
    <w:p>
      <w:pPr>
        <w:spacing w:before="156" w:beforeLines="50" w:after="156" w:afterLines="50"/>
        <w:ind w:firstLine="0" w:firstLineChars="0"/>
        <w:rPr>
          <w:sz w:val="28"/>
          <w:szCs w:val="24"/>
        </w:rPr>
      </w:pPr>
      <w:r>
        <w:rPr>
          <w:rFonts w:hint="eastAsia"/>
          <w:sz w:val="28"/>
          <w:szCs w:val="24"/>
        </w:rPr>
        <w:t>C</w:t>
      </w:r>
      <w:r>
        <w:rPr>
          <w:sz w:val="28"/>
          <w:szCs w:val="24"/>
        </w:rPr>
        <w:t>. 70%~80%</w:t>
      </w:r>
      <w:r>
        <w:rPr>
          <w:rFonts w:hint="eastAsia"/>
          <w:sz w:val="28"/>
          <w:szCs w:val="24"/>
        </w:rPr>
        <w:t>（含</w:t>
      </w:r>
      <w:r>
        <w:rPr>
          <w:sz w:val="28"/>
          <w:szCs w:val="24"/>
        </w:rPr>
        <w:t>80</w:t>
      </w:r>
      <w:r>
        <w:rPr>
          <w:rFonts w:hint="eastAsia"/>
          <w:sz w:val="28"/>
          <w:szCs w:val="24"/>
        </w:rPr>
        <w:t>%）</w:t>
      </w:r>
    </w:p>
    <w:p>
      <w:pPr>
        <w:spacing w:before="156" w:beforeLines="50" w:after="156" w:afterLines="50"/>
        <w:ind w:firstLine="0" w:firstLineChars="0"/>
        <w:rPr>
          <w:sz w:val="28"/>
          <w:szCs w:val="24"/>
        </w:rPr>
      </w:pPr>
      <w:r>
        <w:rPr>
          <w:rFonts w:hint="eastAsia"/>
          <w:sz w:val="28"/>
          <w:szCs w:val="24"/>
        </w:rPr>
        <w:t>D</w:t>
      </w:r>
      <w:r>
        <w:rPr>
          <w:sz w:val="28"/>
          <w:szCs w:val="24"/>
        </w:rPr>
        <w:t>. 60%~70%</w:t>
      </w:r>
      <w:r>
        <w:rPr>
          <w:rFonts w:hint="eastAsia"/>
          <w:sz w:val="28"/>
          <w:szCs w:val="24"/>
        </w:rPr>
        <w:t>（含</w:t>
      </w:r>
      <w:r>
        <w:rPr>
          <w:sz w:val="28"/>
          <w:szCs w:val="24"/>
        </w:rPr>
        <w:t>70</w:t>
      </w:r>
      <w:r>
        <w:rPr>
          <w:rFonts w:hint="eastAsia"/>
          <w:sz w:val="28"/>
          <w:szCs w:val="24"/>
        </w:rPr>
        <w:t>%）</w:t>
      </w:r>
    </w:p>
    <w:p>
      <w:pPr>
        <w:spacing w:before="156" w:beforeLines="50" w:after="156" w:afterLines="50"/>
        <w:ind w:firstLine="0" w:firstLineChars="0"/>
        <w:rPr>
          <w:sz w:val="28"/>
          <w:szCs w:val="24"/>
        </w:rPr>
      </w:pPr>
      <w:r>
        <w:rPr>
          <w:rFonts w:hint="eastAsia"/>
          <w:sz w:val="28"/>
          <w:szCs w:val="24"/>
        </w:rPr>
        <w:t>E</w:t>
      </w:r>
      <w:r>
        <w:rPr>
          <w:sz w:val="28"/>
          <w:szCs w:val="24"/>
        </w:rPr>
        <w:t>. 60%</w:t>
      </w:r>
      <w:r>
        <w:rPr>
          <w:rFonts w:hint="eastAsia"/>
          <w:sz w:val="28"/>
          <w:szCs w:val="24"/>
        </w:rPr>
        <w:t>及以下</w:t>
      </w:r>
    </w:p>
    <w:p>
      <w:pPr>
        <w:spacing w:before="156" w:beforeLines="50" w:after="156" w:afterLines="50"/>
        <w:ind w:firstLine="0" w:firstLineChars="0"/>
        <w:rPr>
          <w:sz w:val="28"/>
          <w:szCs w:val="24"/>
        </w:rPr>
      </w:pPr>
      <w:r>
        <w:rPr>
          <w:rFonts w:hint="eastAsia"/>
          <w:sz w:val="28"/>
          <w:szCs w:val="24"/>
        </w:rPr>
        <w:t>4、 是否同意当前测算中基准收费标准的假设</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5</w:t>
      </w:r>
      <w:r>
        <w:rPr>
          <w:rFonts w:hint="eastAsia"/>
          <w:sz w:val="28"/>
          <w:szCs w:val="24"/>
        </w:rPr>
        <w:t>、 是否同意当前车辆通行费收入风险分担机制的设置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6</w:t>
      </w:r>
      <w:r>
        <w:rPr>
          <w:rFonts w:hint="eastAsia"/>
          <w:sz w:val="28"/>
          <w:szCs w:val="24"/>
        </w:rPr>
        <w:t>、</w:t>
      </w:r>
      <w:r>
        <w:rPr>
          <w:rFonts w:hint="eastAsia"/>
          <w:sz w:val="28"/>
          <w:szCs w:val="24"/>
        </w:rPr>
        <w:tab/>
      </w:r>
      <w:r>
        <w:rPr>
          <w:rFonts w:hint="eastAsia"/>
          <w:sz w:val="28"/>
          <w:szCs w:val="24"/>
        </w:rPr>
        <w:t>是否同意测算时长期贷款利率取4</w:t>
      </w:r>
      <w:r>
        <w:rPr>
          <w:sz w:val="28"/>
          <w:szCs w:val="24"/>
        </w:rPr>
        <w:t>.185</w:t>
      </w:r>
      <w:r>
        <w:rPr>
          <w:rFonts w:hint="eastAsia"/>
          <w:sz w:val="28"/>
          <w:szCs w:val="24"/>
        </w:rPr>
        <w:t>%</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7</w:t>
      </w:r>
      <w:r>
        <w:rPr>
          <w:rFonts w:hint="eastAsia"/>
          <w:sz w:val="28"/>
          <w:szCs w:val="24"/>
        </w:rPr>
        <w:t>、</w:t>
      </w:r>
      <w:r>
        <w:rPr>
          <w:rFonts w:hint="eastAsia"/>
          <w:sz w:val="28"/>
          <w:szCs w:val="24"/>
        </w:rPr>
        <w:tab/>
      </w:r>
      <w:r>
        <w:rPr>
          <w:rFonts w:hint="eastAsia"/>
          <w:sz w:val="28"/>
          <w:szCs w:val="24"/>
        </w:rPr>
        <w:t>是否同意贷款利率变化风险分担机制的设置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8</w:t>
      </w:r>
      <w:r>
        <w:rPr>
          <w:rFonts w:hint="eastAsia"/>
          <w:sz w:val="28"/>
          <w:szCs w:val="24"/>
        </w:rPr>
        <w:t>、</w:t>
      </w:r>
      <w:r>
        <w:rPr>
          <w:rFonts w:hint="eastAsia"/>
          <w:sz w:val="28"/>
          <w:szCs w:val="24"/>
        </w:rPr>
        <w:tab/>
      </w:r>
      <w:r>
        <w:rPr>
          <w:rFonts w:hint="eastAsia"/>
          <w:sz w:val="28"/>
          <w:szCs w:val="24"/>
        </w:rPr>
        <w:t>是否同意资本金（社会资本）财务内部收益率设置为5</w:t>
      </w:r>
      <w:r>
        <w:rPr>
          <w:sz w:val="28"/>
          <w:szCs w:val="24"/>
        </w:rPr>
        <w:t>.5</w:t>
      </w:r>
      <w:r>
        <w:rPr>
          <w:rFonts w:hint="eastAsia"/>
          <w:sz w:val="28"/>
          <w:szCs w:val="24"/>
        </w:rPr>
        <w:t>%</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9</w:t>
      </w:r>
      <w:r>
        <w:rPr>
          <w:rFonts w:hint="eastAsia"/>
          <w:sz w:val="28"/>
          <w:szCs w:val="24"/>
        </w:rPr>
        <w:t>、</w:t>
      </w:r>
      <w:r>
        <w:rPr>
          <w:rFonts w:hint="eastAsia"/>
          <w:sz w:val="28"/>
          <w:szCs w:val="24"/>
        </w:rPr>
        <w:tab/>
      </w:r>
      <w:r>
        <w:rPr>
          <w:rFonts w:hint="eastAsia"/>
          <w:sz w:val="28"/>
          <w:szCs w:val="24"/>
        </w:rPr>
        <w:t>是否同意当前项目公司组织架构的设置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10</w:t>
      </w:r>
      <w:r>
        <w:rPr>
          <w:rFonts w:hint="eastAsia"/>
          <w:sz w:val="28"/>
          <w:szCs w:val="24"/>
        </w:rPr>
        <w:t>、</w:t>
      </w:r>
      <w:r>
        <w:rPr>
          <w:rFonts w:hint="eastAsia"/>
          <w:sz w:val="28"/>
          <w:szCs w:val="24"/>
        </w:rPr>
        <w:tab/>
      </w:r>
      <w:r>
        <w:rPr>
          <w:rFonts w:hint="eastAsia"/>
          <w:sz w:val="28"/>
          <w:szCs w:val="24"/>
        </w:rPr>
        <w:t>是否同意当前违约及争议解决的设置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rFonts w:hint="eastAsia"/>
          <w:sz w:val="28"/>
          <w:szCs w:val="24"/>
        </w:rPr>
        <w:t>二、</w:t>
      </w:r>
      <w:r>
        <w:rPr>
          <w:rFonts w:hint="eastAsia"/>
          <w:sz w:val="28"/>
          <w:szCs w:val="24"/>
        </w:rPr>
        <w:tab/>
      </w:r>
      <w:r>
        <w:rPr>
          <w:rFonts w:hint="eastAsia"/>
          <w:sz w:val="28"/>
          <w:szCs w:val="24"/>
        </w:rPr>
        <w:t>其他对于本项目的合法、合理的建议和意见</w:t>
      </w:r>
    </w:p>
    <w:p>
      <w:pPr>
        <w:spacing w:before="156" w:beforeLines="50" w:after="156" w:afterLines="50"/>
        <w:ind w:firstLine="0" w:firstLineChars="0"/>
        <w:rPr>
          <w:sz w:val="28"/>
          <w:szCs w:val="24"/>
        </w:rPr>
      </w:pPr>
    </w:p>
    <w:p>
      <w:pPr>
        <w:spacing w:before="156" w:beforeLines="50" w:after="156" w:afterLines="50"/>
        <w:ind w:firstLine="0" w:firstLineChars="0"/>
        <w:rPr>
          <w:sz w:val="28"/>
          <w:szCs w:val="24"/>
        </w:rPr>
      </w:pPr>
    </w:p>
    <w:p>
      <w:pPr>
        <w:spacing w:before="156" w:beforeLines="50" w:after="156" w:afterLines="50"/>
        <w:ind w:firstLine="0" w:firstLineChars="0"/>
        <w:rPr>
          <w:sz w:val="28"/>
          <w:szCs w:val="24"/>
        </w:rPr>
      </w:pPr>
    </w:p>
    <w:p>
      <w:pPr>
        <w:spacing w:before="156" w:beforeLines="50" w:after="156" w:afterLines="50"/>
        <w:ind w:firstLine="560"/>
        <w:jc w:val="right"/>
        <w:rPr>
          <w:sz w:val="28"/>
          <w:szCs w:val="24"/>
        </w:rPr>
      </w:pPr>
      <w:r>
        <w:rPr>
          <w:rFonts w:hint="eastAsia"/>
          <w:sz w:val="28"/>
          <w:szCs w:val="24"/>
        </w:rPr>
        <w:t xml:space="preserve">                     [潜在社会资本单位名称]（加盖公章）</w:t>
      </w:r>
    </w:p>
    <w:p>
      <w:pPr>
        <w:spacing w:before="156" w:beforeLines="50" w:after="156" w:afterLines="50"/>
        <w:ind w:firstLine="560"/>
        <w:jc w:val="right"/>
        <w:rPr>
          <w:sz w:val="28"/>
          <w:szCs w:val="24"/>
        </w:rPr>
      </w:pPr>
      <w:r>
        <w:rPr>
          <w:rFonts w:hint="eastAsia"/>
          <w:sz w:val="28"/>
          <w:szCs w:val="24"/>
        </w:rPr>
        <w:t xml:space="preserve">                    </w:t>
      </w:r>
      <w:r>
        <w:rPr>
          <w:sz w:val="28"/>
          <w:szCs w:val="24"/>
        </w:rPr>
        <w:t xml:space="preserve"> </w:t>
      </w:r>
      <w:r>
        <w:rPr>
          <w:rFonts w:hint="eastAsia"/>
          <w:sz w:val="28"/>
          <w:szCs w:val="24"/>
        </w:rPr>
        <w:t xml:space="preserve">         年      月     日</w:t>
      </w:r>
    </w:p>
    <w:p>
      <w:pPr>
        <w:widowControl/>
        <w:spacing w:line="240" w:lineRule="auto"/>
        <w:ind w:firstLine="0" w:firstLineChars="0"/>
        <w:jc w:val="left"/>
        <w:rPr>
          <w:sz w:val="28"/>
          <w:szCs w:val="24"/>
        </w:rPr>
      </w:pPr>
      <w:r>
        <w:rPr>
          <w:sz w:val="28"/>
          <w:szCs w:val="24"/>
        </w:rPr>
        <w:br w:type="page"/>
      </w:r>
    </w:p>
    <w:p>
      <w:pPr>
        <w:spacing w:before="156" w:beforeLines="50"/>
        <w:ind w:firstLine="0" w:firstLineChars="0"/>
        <w:jc w:val="center"/>
        <w:rPr>
          <w:rFonts w:ascii="宋体" w:hAnsi="宋体" w:eastAsia="宋体"/>
          <w:b/>
          <w:bCs/>
          <w:sz w:val="28"/>
          <w:szCs w:val="24"/>
        </w:rPr>
      </w:pPr>
      <w:r>
        <w:rPr>
          <w:rFonts w:hint="eastAsia" w:ascii="宋体" w:hAnsi="宋体" w:eastAsia="宋体"/>
          <w:b/>
          <w:bCs/>
          <w:sz w:val="28"/>
          <w:szCs w:val="24"/>
        </w:rPr>
        <w:t>关于辽宁省赤峰至绥中高速公路（G4515）凌源（蒙辽界）至绥中段PPP项目市场测试意见的反馈</w:t>
      </w:r>
    </w:p>
    <w:p>
      <w:pPr>
        <w:spacing w:before="156" w:beforeLines="50" w:after="156" w:afterLines="50"/>
        <w:ind w:firstLine="0" w:firstLineChars="0"/>
        <w:rPr>
          <w:b/>
          <w:bCs/>
          <w:sz w:val="28"/>
          <w:szCs w:val="24"/>
        </w:rPr>
      </w:pPr>
      <w:r>
        <w:rPr>
          <w:rFonts w:hint="eastAsia"/>
          <w:b/>
          <w:bCs/>
          <w:sz w:val="28"/>
          <w:szCs w:val="24"/>
        </w:rPr>
        <w:t>一、</w:t>
      </w:r>
      <w:r>
        <w:rPr>
          <w:rFonts w:hint="eastAsia"/>
          <w:b/>
          <w:bCs/>
          <w:sz w:val="28"/>
          <w:szCs w:val="24"/>
        </w:rPr>
        <w:tab/>
      </w:r>
      <w:r>
        <w:rPr>
          <w:rFonts w:hint="eastAsia"/>
          <w:b/>
          <w:bCs/>
          <w:sz w:val="28"/>
          <w:szCs w:val="24"/>
        </w:rPr>
        <w:t xml:space="preserve">对于实施方案的意见或建议 </w:t>
      </w:r>
    </w:p>
    <w:p>
      <w:pPr>
        <w:spacing w:before="156" w:beforeLines="50" w:after="156" w:afterLines="50"/>
        <w:ind w:firstLine="0" w:firstLineChars="0"/>
        <w:rPr>
          <w:sz w:val="28"/>
          <w:szCs w:val="24"/>
        </w:rPr>
      </w:pPr>
      <w:r>
        <w:rPr>
          <w:rFonts w:hint="eastAsia"/>
          <w:sz w:val="28"/>
          <w:szCs w:val="24"/>
        </w:rPr>
        <w:t>1、</w:t>
      </w:r>
      <w:r>
        <w:rPr>
          <w:rFonts w:hint="eastAsia"/>
          <w:sz w:val="28"/>
          <w:szCs w:val="24"/>
        </w:rPr>
        <w:tab/>
      </w:r>
      <w:r>
        <w:rPr>
          <w:rFonts w:hint="eastAsia"/>
          <w:sz w:val="28"/>
          <w:szCs w:val="24"/>
        </w:rPr>
        <w:t>是否同意当前合作期限4</w:t>
      </w:r>
      <w:r>
        <w:rPr>
          <w:sz w:val="28"/>
          <w:szCs w:val="24"/>
        </w:rPr>
        <w:t>4</w:t>
      </w:r>
      <w:r>
        <w:rPr>
          <w:rFonts w:hint="eastAsia"/>
          <w:sz w:val="28"/>
          <w:szCs w:val="24"/>
        </w:rPr>
        <w:t>年的设置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rFonts w:hint="eastAsia"/>
          <w:sz w:val="28"/>
          <w:szCs w:val="24"/>
        </w:rPr>
        <w:t>2、</w:t>
      </w:r>
      <w:r>
        <w:rPr>
          <w:rFonts w:hint="eastAsia"/>
          <w:sz w:val="28"/>
          <w:szCs w:val="24"/>
        </w:rPr>
        <w:tab/>
      </w:r>
      <w:r>
        <w:rPr>
          <w:rFonts w:hint="eastAsia"/>
          <w:sz w:val="28"/>
          <w:szCs w:val="24"/>
        </w:rPr>
        <w:t>是否同意当前PPP项目社会资本采购与京哈高速施工总承包招标合并实施的设计思路</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rFonts w:hint="eastAsia"/>
          <w:sz w:val="28"/>
          <w:szCs w:val="24"/>
        </w:rPr>
        <w:t>3、</w:t>
      </w:r>
      <w:r>
        <w:rPr>
          <w:rFonts w:hint="eastAsia"/>
          <w:sz w:val="28"/>
          <w:szCs w:val="24"/>
        </w:rPr>
        <w:tab/>
      </w:r>
      <w:r>
        <w:rPr>
          <w:rFonts w:hint="eastAsia"/>
          <w:sz w:val="28"/>
          <w:szCs w:val="24"/>
        </w:rPr>
        <w:t>基准车流量按照可行性研究报告预测车流量的</w:t>
      </w:r>
      <w:r>
        <w:rPr>
          <w:rFonts w:hint="eastAsia"/>
          <w:sz w:val="28"/>
          <w:szCs w:val="24"/>
          <w:u w:val="single"/>
        </w:rPr>
        <w:t xml:space="preserve"> </w:t>
      </w:r>
      <w:r>
        <w:rPr>
          <w:sz w:val="28"/>
          <w:szCs w:val="24"/>
          <w:u w:val="single"/>
        </w:rPr>
        <w:t xml:space="preserve">   </w:t>
      </w:r>
      <w:r>
        <w:rPr>
          <w:rFonts w:hint="eastAsia"/>
          <w:sz w:val="28"/>
          <w:szCs w:val="24"/>
        </w:rPr>
        <w:t>进行测算较为合适。</w:t>
      </w:r>
    </w:p>
    <w:p>
      <w:pPr>
        <w:spacing w:before="156" w:beforeLines="50" w:after="156" w:afterLines="50"/>
        <w:ind w:firstLine="0" w:firstLineChars="0"/>
        <w:rPr>
          <w:sz w:val="28"/>
          <w:szCs w:val="24"/>
        </w:rPr>
      </w:pPr>
      <w:r>
        <w:rPr>
          <w:rFonts w:hint="eastAsia"/>
          <w:sz w:val="28"/>
          <w:szCs w:val="24"/>
        </w:rPr>
        <w:t>A.</w:t>
      </w:r>
      <w:r>
        <w:rPr>
          <w:sz w:val="28"/>
          <w:szCs w:val="24"/>
        </w:rPr>
        <w:t xml:space="preserve"> 90</w:t>
      </w:r>
      <w:r>
        <w:rPr>
          <w:rFonts w:hint="eastAsia"/>
          <w:sz w:val="28"/>
          <w:szCs w:val="24"/>
        </w:rPr>
        <w:t>%以上</w:t>
      </w:r>
    </w:p>
    <w:p>
      <w:pPr>
        <w:spacing w:before="156" w:beforeLines="50" w:after="156" w:afterLines="50"/>
        <w:ind w:firstLine="0" w:firstLineChars="0"/>
        <w:rPr>
          <w:sz w:val="28"/>
          <w:szCs w:val="24"/>
        </w:rPr>
      </w:pPr>
      <w:r>
        <w:rPr>
          <w:rFonts w:hint="eastAsia"/>
          <w:sz w:val="28"/>
          <w:szCs w:val="24"/>
        </w:rPr>
        <w:t>B</w:t>
      </w:r>
      <w:r>
        <w:rPr>
          <w:sz w:val="28"/>
          <w:szCs w:val="24"/>
        </w:rPr>
        <w:t>. 80%~90%</w:t>
      </w:r>
      <w:r>
        <w:rPr>
          <w:rFonts w:hint="eastAsia"/>
          <w:sz w:val="28"/>
          <w:szCs w:val="24"/>
        </w:rPr>
        <w:t>（含</w:t>
      </w:r>
      <w:r>
        <w:rPr>
          <w:sz w:val="28"/>
          <w:szCs w:val="24"/>
        </w:rPr>
        <w:t>90</w:t>
      </w:r>
      <w:r>
        <w:rPr>
          <w:rFonts w:hint="eastAsia"/>
          <w:sz w:val="28"/>
          <w:szCs w:val="24"/>
        </w:rPr>
        <w:t>%）</w:t>
      </w:r>
    </w:p>
    <w:p>
      <w:pPr>
        <w:spacing w:before="156" w:beforeLines="50" w:after="156" w:afterLines="50"/>
        <w:ind w:firstLine="0" w:firstLineChars="0"/>
        <w:rPr>
          <w:sz w:val="28"/>
          <w:szCs w:val="24"/>
        </w:rPr>
      </w:pPr>
      <w:r>
        <w:rPr>
          <w:rFonts w:hint="eastAsia"/>
          <w:sz w:val="28"/>
          <w:szCs w:val="24"/>
        </w:rPr>
        <w:t>C</w:t>
      </w:r>
      <w:r>
        <w:rPr>
          <w:sz w:val="28"/>
          <w:szCs w:val="24"/>
        </w:rPr>
        <w:t>. 70%~80%</w:t>
      </w:r>
      <w:r>
        <w:rPr>
          <w:rFonts w:hint="eastAsia"/>
          <w:sz w:val="28"/>
          <w:szCs w:val="24"/>
        </w:rPr>
        <w:t>（含</w:t>
      </w:r>
      <w:r>
        <w:rPr>
          <w:sz w:val="28"/>
          <w:szCs w:val="24"/>
        </w:rPr>
        <w:t>80</w:t>
      </w:r>
      <w:r>
        <w:rPr>
          <w:rFonts w:hint="eastAsia"/>
          <w:sz w:val="28"/>
          <w:szCs w:val="24"/>
        </w:rPr>
        <w:t>%）</w:t>
      </w:r>
    </w:p>
    <w:p>
      <w:pPr>
        <w:spacing w:before="156" w:beforeLines="50" w:after="156" w:afterLines="50"/>
        <w:ind w:firstLine="0" w:firstLineChars="0"/>
        <w:rPr>
          <w:sz w:val="28"/>
          <w:szCs w:val="24"/>
        </w:rPr>
      </w:pPr>
      <w:r>
        <w:rPr>
          <w:rFonts w:hint="eastAsia"/>
          <w:sz w:val="28"/>
          <w:szCs w:val="24"/>
        </w:rPr>
        <w:t>D</w:t>
      </w:r>
      <w:r>
        <w:rPr>
          <w:sz w:val="28"/>
          <w:szCs w:val="24"/>
        </w:rPr>
        <w:t>. 60%~70%</w:t>
      </w:r>
      <w:r>
        <w:rPr>
          <w:rFonts w:hint="eastAsia"/>
          <w:sz w:val="28"/>
          <w:szCs w:val="24"/>
        </w:rPr>
        <w:t>（含</w:t>
      </w:r>
      <w:r>
        <w:rPr>
          <w:sz w:val="28"/>
          <w:szCs w:val="24"/>
        </w:rPr>
        <w:t>70</w:t>
      </w:r>
      <w:r>
        <w:rPr>
          <w:rFonts w:hint="eastAsia"/>
          <w:sz w:val="28"/>
          <w:szCs w:val="24"/>
        </w:rPr>
        <w:t>%）</w:t>
      </w:r>
    </w:p>
    <w:p>
      <w:pPr>
        <w:spacing w:before="156" w:beforeLines="50" w:after="156" w:afterLines="50"/>
        <w:ind w:firstLine="0" w:firstLineChars="0"/>
        <w:rPr>
          <w:sz w:val="28"/>
          <w:szCs w:val="24"/>
        </w:rPr>
      </w:pPr>
      <w:r>
        <w:rPr>
          <w:rFonts w:hint="eastAsia"/>
          <w:sz w:val="28"/>
          <w:szCs w:val="24"/>
        </w:rPr>
        <w:t>E</w:t>
      </w:r>
      <w:r>
        <w:rPr>
          <w:sz w:val="28"/>
          <w:szCs w:val="24"/>
        </w:rPr>
        <w:t>. 60%</w:t>
      </w:r>
      <w:r>
        <w:rPr>
          <w:rFonts w:hint="eastAsia"/>
          <w:sz w:val="28"/>
          <w:szCs w:val="24"/>
        </w:rPr>
        <w:t>及以下</w:t>
      </w:r>
    </w:p>
    <w:p>
      <w:pPr>
        <w:keepNext/>
        <w:spacing w:before="156" w:beforeLines="50" w:after="156" w:afterLines="50"/>
        <w:ind w:firstLine="0" w:firstLineChars="0"/>
        <w:rPr>
          <w:sz w:val="28"/>
          <w:szCs w:val="24"/>
        </w:rPr>
      </w:pPr>
      <w:r>
        <w:rPr>
          <w:rFonts w:hint="eastAsia"/>
          <w:sz w:val="28"/>
          <w:szCs w:val="24"/>
        </w:rPr>
        <w:t>4、 是否同意当前测算中基准收费标准的假设</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5</w:t>
      </w:r>
      <w:r>
        <w:rPr>
          <w:rFonts w:hint="eastAsia"/>
          <w:sz w:val="28"/>
          <w:szCs w:val="24"/>
        </w:rPr>
        <w:t>、 是否同意当前车辆通行费收入风险分担机制的设置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6</w:t>
      </w:r>
      <w:r>
        <w:rPr>
          <w:rFonts w:hint="eastAsia"/>
          <w:sz w:val="28"/>
          <w:szCs w:val="24"/>
        </w:rPr>
        <w:t>、</w:t>
      </w:r>
      <w:r>
        <w:rPr>
          <w:rFonts w:hint="eastAsia"/>
          <w:sz w:val="28"/>
          <w:szCs w:val="24"/>
        </w:rPr>
        <w:tab/>
      </w:r>
      <w:r>
        <w:rPr>
          <w:rFonts w:hint="eastAsia"/>
          <w:sz w:val="28"/>
          <w:szCs w:val="24"/>
        </w:rPr>
        <w:t>是否同意测算时长期贷款利率取4</w:t>
      </w:r>
      <w:r>
        <w:rPr>
          <w:sz w:val="28"/>
          <w:szCs w:val="24"/>
        </w:rPr>
        <w:t>.185</w:t>
      </w:r>
      <w:r>
        <w:rPr>
          <w:rFonts w:hint="eastAsia"/>
          <w:sz w:val="28"/>
          <w:szCs w:val="24"/>
        </w:rPr>
        <w:t>%</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7</w:t>
      </w:r>
      <w:r>
        <w:rPr>
          <w:rFonts w:hint="eastAsia"/>
          <w:sz w:val="28"/>
          <w:szCs w:val="24"/>
        </w:rPr>
        <w:t>、</w:t>
      </w:r>
      <w:r>
        <w:rPr>
          <w:rFonts w:hint="eastAsia"/>
          <w:sz w:val="28"/>
          <w:szCs w:val="24"/>
        </w:rPr>
        <w:tab/>
      </w:r>
      <w:r>
        <w:rPr>
          <w:rFonts w:hint="eastAsia"/>
          <w:sz w:val="28"/>
          <w:szCs w:val="24"/>
        </w:rPr>
        <w:t>是否同意贷款利率变化风险分担机制的设置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8</w:t>
      </w:r>
      <w:r>
        <w:rPr>
          <w:rFonts w:hint="eastAsia"/>
          <w:sz w:val="28"/>
          <w:szCs w:val="24"/>
        </w:rPr>
        <w:t>、</w:t>
      </w:r>
      <w:r>
        <w:rPr>
          <w:rFonts w:hint="eastAsia"/>
          <w:sz w:val="28"/>
          <w:szCs w:val="24"/>
        </w:rPr>
        <w:tab/>
      </w:r>
      <w:r>
        <w:rPr>
          <w:rFonts w:hint="eastAsia"/>
          <w:sz w:val="28"/>
          <w:szCs w:val="24"/>
        </w:rPr>
        <w:t>是否同意资本金（社会资本）财务内部收益率设置为5</w:t>
      </w:r>
      <w:r>
        <w:rPr>
          <w:sz w:val="28"/>
          <w:szCs w:val="24"/>
        </w:rPr>
        <w:t>.5</w:t>
      </w:r>
      <w:r>
        <w:rPr>
          <w:rFonts w:hint="eastAsia"/>
          <w:sz w:val="28"/>
          <w:szCs w:val="24"/>
        </w:rPr>
        <w:t>%</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9</w:t>
      </w:r>
      <w:r>
        <w:rPr>
          <w:rFonts w:hint="eastAsia"/>
          <w:sz w:val="28"/>
          <w:szCs w:val="24"/>
        </w:rPr>
        <w:t>、</w:t>
      </w:r>
      <w:r>
        <w:rPr>
          <w:rFonts w:hint="eastAsia"/>
          <w:sz w:val="28"/>
          <w:szCs w:val="24"/>
        </w:rPr>
        <w:tab/>
      </w:r>
      <w:r>
        <w:rPr>
          <w:rFonts w:hint="eastAsia"/>
          <w:sz w:val="28"/>
          <w:szCs w:val="24"/>
        </w:rPr>
        <w:t>是否同意当前项目公司组织架构的设置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sz w:val="28"/>
          <w:szCs w:val="24"/>
        </w:rPr>
        <w:t>10</w:t>
      </w:r>
      <w:r>
        <w:rPr>
          <w:rFonts w:hint="eastAsia"/>
          <w:sz w:val="28"/>
          <w:szCs w:val="24"/>
        </w:rPr>
        <w:t>、</w:t>
      </w:r>
      <w:r>
        <w:rPr>
          <w:rFonts w:hint="eastAsia"/>
          <w:sz w:val="28"/>
          <w:szCs w:val="24"/>
        </w:rPr>
        <w:tab/>
      </w:r>
      <w:r>
        <w:rPr>
          <w:rFonts w:hint="eastAsia"/>
          <w:sz w:val="28"/>
          <w:szCs w:val="24"/>
        </w:rPr>
        <w:t>是否同意当前违约及争议解决的设置</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同意</w:t>
      </w:r>
    </w:p>
    <w:p>
      <w:pPr>
        <w:spacing w:before="156" w:beforeLines="50" w:after="156" w:afterLines="50"/>
        <w:ind w:firstLine="0" w:firstLineChars="0"/>
        <w:rPr>
          <w:sz w:val="28"/>
          <w:szCs w:val="24"/>
        </w:rPr>
      </w:pPr>
      <w:r>
        <w:rPr>
          <w:rFonts w:hint="eastAsia" w:ascii="仿宋_GB2312"/>
          <w:sz w:val="28"/>
          <w:szCs w:val="24"/>
        </w:rPr>
        <w:t>□</w:t>
      </w:r>
      <w:r>
        <w:rPr>
          <w:rFonts w:hint="eastAsia"/>
          <w:sz w:val="28"/>
          <w:szCs w:val="24"/>
        </w:rPr>
        <w:t>不同意，建议：</w:t>
      </w:r>
      <w:r>
        <w:rPr>
          <w:rFonts w:hint="eastAsia"/>
          <w:sz w:val="28"/>
          <w:szCs w:val="24"/>
          <w:u w:val="single"/>
        </w:rPr>
        <w:t xml:space="preserve"> </w:t>
      </w:r>
      <w:r>
        <w:rPr>
          <w:sz w:val="28"/>
          <w:szCs w:val="24"/>
          <w:u w:val="single"/>
        </w:rPr>
        <w:t xml:space="preserve">                  </w:t>
      </w:r>
    </w:p>
    <w:p>
      <w:pPr>
        <w:spacing w:before="156" w:beforeLines="50" w:after="156" w:afterLines="50"/>
        <w:ind w:firstLine="0" w:firstLineChars="0"/>
        <w:rPr>
          <w:sz w:val="28"/>
          <w:szCs w:val="24"/>
        </w:rPr>
      </w:pPr>
      <w:r>
        <w:rPr>
          <w:rFonts w:hint="eastAsia"/>
          <w:sz w:val="28"/>
          <w:szCs w:val="24"/>
        </w:rPr>
        <w:t>二、</w:t>
      </w:r>
      <w:r>
        <w:rPr>
          <w:rFonts w:hint="eastAsia"/>
          <w:sz w:val="28"/>
          <w:szCs w:val="24"/>
        </w:rPr>
        <w:tab/>
      </w:r>
      <w:r>
        <w:rPr>
          <w:rFonts w:hint="eastAsia"/>
          <w:sz w:val="28"/>
          <w:szCs w:val="24"/>
        </w:rPr>
        <w:t>其他对于本项目的合法、合理的建议和意见</w:t>
      </w:r>
    </w:p>
    <w:p>
      <w:pPr>
        <w:spacing w:before="156" w:beforeLines="50" w:after="156" w:afterLines="50"/>
        <w:ind w:firstLine="0" w:firstLineChars="0"/>
        <w:rPr>
          <w:sz w:val="28"/>
          <w:szCs w:val="24"/>
        </w:rPr>
      </w:pPr>
    </w:p>
    <w:p>
      <w:pPr>
        <w:spacing w:before="156" w:beforeLines="50" w:after="156" w:afterLines="50"/>
        <w:ind w:firstLine="0" w:firstLineChars="0"/>
        <w:rPr>
          <w:sz w:val="28"/>
          <w:szCs w:val="24"/>
        </w:rPr>
      </w:pPr>
    </w:p>
    <w:p>
      <w:pPr>
        <w:spacing w:before="156" w:beforeLines="50" w:after="156" w:afterLines="50"/>
        <w:ind w:firstLine="0" w:firstLineChars="0"/>
        <w:rPr>
          <w:sz w:val="28"/>
          <w:szCs w:val="24"/>
        </w:rPr>
      </w:pPr>
    </w:p>
    <w:p>
      <w:pPr>
        <w:spacing w:before="156" w:beforeLines="50" w:after="156" w:afterLines="50"/>
        <w:ind w:firstLine="560"/>
        <w:jc w:val="right"/>
        <w:rPr>
          <w:sz w:val="28"/>
          <w:szCs w:val="24"/>
        </w:rPr>
      </w:pPr>
      <w:r>
        <w:rPr>
          <w:rFonts w:hint="eastAsia"/>
          <w:sz w:val="28"/>
          <w:szCs w:val="24"/>
        </w:rPr>
        <w:t xml:space="preserve">                     [潜在社会资本单位名称]（加盖公章）</w:t>
      </w:r>
    </w:p>
    <w:p>
      <w:pPr>
        <w:spacing w:before="156" w:beforeLines="50" w:after="156" w:afterLines="50"/>
        <w:ind w:firstLine="560"/>
        <w:jc w:val="right"/>
        <w:rPr>
          <w:sz w:val="28"/>
          <w:szCs w:val="24"/>
        </w:rPr>
      </w:pPr>
      <w:r>
        <w:rPr>
          <w:rFonts w:hint="eastAsia"/>
          <w:sz w:val="28"/>
          <w:szCs w:val="24"/>
        </w:rPr>
        <w:t xml:space="preserve">                    </w:t>
      </w:r>
      <w:r>
        <w:rPr>
          <w:sz w:val="28"/>
          <w:szCs w:val="24"/>
        </w:rPr>
        <w:t xml:space="preserve"> </w:t>
      </w:r>
      <w:r>
        <w:rPr>
          <w:rFonts w:hint="eastAsia"/>
          <w:sz w:val="28"/>
          <w:szCs w:val="24"/>
        </w:rPr>
        <w:t xml:space="preserve">         年      月     日</w:t>
      </w:r>
    </w:p>
    <w:p>
      <w:pPr>
        <w:spacing w:before="156" w:beforeLines="50" w:after="156" w:afterLines="50"/>
        <w:ind w:firstLine="560"/>
        <w:jc w:val="right"/>
        <w:rPr>
          <w:sz w:val="28"/>
          <w:szCs w:val="24"/>
        </w:rPr>
      </w:pPr>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089779"/>
      <w:docPartObj>
        <w:docPartGallery w:val="autotext"/>
      </w:docPartObj>
    </w:sdtPr>
    <w:sdtEndPr>
      <w:rPr>
        <w:sz w:val="20"/>
        <w:szCs w:val="20"/>
      </w:rPr>
    </w:sdtEndPr>
    <w:sdtContent>
      <w:p>
        <w:pPr>
          <w:pStyle w:val="10"/>
          <w:ind w:firstLine="360"/>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2</w:t>
        </w:r>
        <w:r>
          <w:rPr>
            <w:sz w:val="20"/>
            <w:szCs w:val="20"/>
          </w:rPr>
          <w:fldChar w:fldCharType="end"/>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ind w:firstLine="360"/>
      <w:jc w:val="right"/>
    </w:pPr>
    <w:r>
      <w:rPr>
        <w:rFonts w:hint="eastAsia"/>
      </w:rPr>
      <w:t>辽宁省本溪至集安高速公路本溪至桓仁（辽吉界）段PPP项目、辽宁省赤峰至绥中高速公路（G4515）凌源（蒙辽界）至绥中段PPP项目市场测试方案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03CC"/>
    <w:multiLevelType w:val="multilevel"/>
    <w:tmpl w:val="002E03CC"/>
    <w:lvl w:ilvl="0" w:tentative="0">
      <w:start w:val="1"/>
      <w:numFmt w:val="decimal"/>
      <w:pStyle w:val="5"/>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AE2132"/>
    <w:multiLevelType w:val="multilevel"/>
    <w:tmpl w:val="01AE2132"/>
    <w:lvl w:ilvl="0" w:tentative="0">
      <w:start w:val="1"/>
      <w:numFmt w:val="chineseCountingThousand"/>
      <w:pStyle w:val="3"/>
      <w:suff w:val="nothing"/>
      <w:lvlText w:val="%1、"/>
      <w:lvlJc w:val="left"/>
      <w:pPr>
        <w:ind w:left="0" w:firstLine="0"/>
      </w:pPr>
      <w:rPr>
        <w:rFonts w:hint="eastAsia"/>
        <w:color w:val="000000" w:themeColor="text1"/>
        <w:u w:val="no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120125"/>
    <w:multiLevelType w:val="multilevel"/>
    <w:tmpl w:val="63120125"/>
    <w:lvl w:ilvl="0" w:tentative="0">
      <w:start w:val="1"/>
      <w:numFmt w:val="decimal"/>
      <w:pStyle w:val="7"/>
      <w:suff w:val="nothing"/>
      <w:lvlText w:val="%1."/>
      <w:lvlJc w:val="left"/>
      <w:pPr>
        <w:ind w:left="0" w:firstLine="0"/>
      </w:pPr>
      <w:rPr>
        <w:rFonts w:hint="eastAsia"/>
        <w:color w:val="000000" w:themeColor="text1"/>
        <w:u w:val="none"/>
        <w14:textFill>
          <w14:solidFill>
            <w14:schemeClr w14:val="tx1"/>
          </w14:solidFill>
        </w14:textFill>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739917AE"/>
    <w:multiLevelType w:val="multilevel"/>
    <w:tmpl w:val="739917AE"/>
    <w:lvl w:ilvl="0" w:tentative="0">
      <w:start w:val="1"/>
      <w:numFmt w:val="chineseCountingThousand"/>
      <w:pStyle w:val="4"/>
      <w:lvlText w:val="（%1）"/>
      <w:lvlJc w:val="left"/>
      <w:pPr>
        <w:ind w:left="420" w:hanging="420"/>
      </w:pPr>
      <w:rPr>
        <w:rFonts w:hint="default" w:ascii="Times New Roman" w:hAnsi="Times New Roman" w:eastAsia="仿宋_GB2312"/>
        <w:b/>
        <w:i w:val="0"/>
        <w:color w:val="000000" w:themeColor="text1"/>
        <w:sz w:val="28"/>
        <w:u w:val="no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2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ED"/>
    <w:rsid w:val="000068CD"/>
    <w:rsid w:val="00016538"/>
    <w:rsid w:val="00027829"/>
    <w:rsid w:val="0003547E"/>
    <w:rsid w:val="000403B7"/>
    <w:rsid w:val="00054648"/>
    <w:rsid w:val="0005531C"/>
    <w:rsid w:val="000605FD"/>
    <w:rsid w:val="00060DCE"/>
    <w:rsid w:val="000B00ED"/>
    <w:rsid w:val="000B20D6"/>
    <w:rsid w:val="000B35E4"/>
    <w:rsid w:val="000C2F87"/>
    <w:rsid w:val="000C38B3"/>
    <w:rsid w:val="000C5208"/>
    <w:rsid w:val="000C6BE7"/>
    <w:rsid w:val="000D1650"/>
    <w:rsid w:val="000D2A76"/>
    <w:rsid w:val="000D759B"/>
    <w:rsid w:val="000E299C"/>
    <w:rsid w:val="000E5B53"/>
    <w:rsid w:val="000F3CEE"/>
    <w:rsid w:val="000F42E8"/>
    <w:rsid w:val="000F5062"/>
    <w:rsid w:val="00101199"/>
    <w:rsid w:val="00104776"/>
    <w:rsid w:val="00111C85"/>
    <w:rsid w:val="00115AC4"/>
    <w:rsid w:val="00116B88"/>
    <w:rsid w:val="001219AC"/>
    <w:rsid w:val="00124644"/>
    <w:rsid w:val="00140A7B"/>
    <w:rsid w:val="001626A4"/>
    <w:rsid w:val="00172826"/>
    <w:rsid w:val="00177CDF"/>
    <w:rsid w:val="001826B3"/>
    <w:rsid w:val="00182A33"/>
    <w:rsid w:val="00183813"/>
    <w:rsid w:val="00184C31"/>
    <w:rsid w:val="00185A9B"/>
    <w:rsid w:val="00185DE3"/>
    <w:rsid w:val="00186FED"/>
    <w:rsid w:val="0018750B"/>
    <w:rsid w:val="001933FB"/>
    <w:rsid w:val="00196D2E"/>
    <w:rsid w:val="001B0132"/>
    <w:rsid w:val="001B02D1"/>
    <w:rsid w:val="001B1C63"/>
    <w:rsid w:val="001B72A0"/>
    <w:rsid w:val="001D31EC"/>
    <w:rsid w:val="001E27C9"/>
    <w:rsid w:val="00202DA3"/>
    <w:rsid w:val="00224977"/>
    <w:rsid w:val="0022653C"/>
    <w:rsid w:val="00227D33"/>
    <w:rsid w:val="00235C26"/>
    <w:rsid w:val="0023628E"/>
    <w:rsid w:val="00247A50"/>
    <w:rsid w:val="00250A49"/>
    <w:rsid w:val="00256D66"/>
    <w:rsid w:val="00257581"/>
    <w:rsid w:val="00267C9B"/>
    <w:rsid w:val="00272D22"/>
    <w:rsid w:val="00276A85"/>
    <w:rsid w:val="00286848"/>
    <w:rsid w:val="002A5F6B"/>
    <w:rsid w:val="002B20C0"/>
    <w:rsid w:val="002D0CD2"/>
    <w:rsid w:val="002D7F6A"/>
    <w:rsid w:val="002E2930"/>
    <w:rsid w:val="002E466C"/>
    <w:rsid w:val="00306C6D"/>
    <w:rsid w:val="003072F1"/>
    <w:rsid w:val="0031286A"/>
    <w:rsid w:val="0031584F"/>
    <w:rsid w:val="0032187A"/>
    <w:rsid w:val="00323758"/>
    <w:rsid w:val="003246B9"/>
    <w:rsid w:val="00324B93"/>
    <w:rsid w:val="003260D4"/>
    <w:rsid w:val="00341D9C"/>
    <w:rsid w:val="00341F68"/>
    <w:rsid w:val="003454B5"/>
    <w:rsid w:val="00352374"/>
    <w:rsid w:val="00354D17"/>
    <w:rsid w:val="0036537E"/>
    <w:rsid w:val="003765A7"/>
    <w:rsid w:val="00376F88"/>
    <w:rsid w:val="00380039"/>
    <w:rsid w:val="003938E0"/>
    <w:rsid w:val="003A0471"/>
    <w:rsid w:val="003B4C43"/>
    <w:rsid w:val="003C3280"/>
    <w:rsid w:val="003D51D0"/>
    <w:rsid w:val="003E2F88"/>
    <w:rsid w:val="003F2601"/>
    <w:rsid w:val="003F3CEC"/>
    <w:rsid w:val="00400B34"/>
    <w:rsid w:val="00404D14"/>
    <w:rsid w:val="00405CEE"/>
    <w:rsid w:val="00406299"/>
    <w:rsid w:val="00406352"/>
    <w:rsid w:val="0040666D"/>
    <w:rsid w:val="004066DC"/>
    <w:rsid w:val="004101C9"/>
    <w:rsid w:val="00426746"/>
    <w:rsid w:val="00431638"/>
    <w:rsid w:val="00445C3E"/>
    <w:rsid w:val="00446103"/>
    <w:rsid w:val="00453527"/>
    <w:rsid w:val="004577A0"/>
    <w:rsid w:val="0046104F"/>
    <w:rsid w:val="00463982"/>
    <w:rsid w:val="00466C48"/>
    <w:rsid w:val="00493F19"/>
    <w:rsid w:val="004A039D"/>
    <w:rsid w:val="004A1D34"/>
    <w:rsid w:val="004C3FF5"/>
    <w:rsid w:val="004C5FE2"/>
    <w:rsid w:val="004F0B5D"/>
    <w:rsid w:val="0050717E"/>
    <w:rsid w:val="005078E0"/>
    <w:rsid w:val="0051571C"/>
    <w:rsid w:val="00520350"/>
    <w:rsid w:val="005216D2"/>
    <w:rsid w:val="00524F63"/>
    <w:rsid w:val="005276E9"/>
    <w:rsid w:val="00532132"/>
    <w:rsid w:val="00533D57"/>
    <w:rsid w:val="00536E3F"/>
    <w:rsid w:val="0053756A"/>
    <w:rsid w:val="005435A6"/>
    <w:rsid w:val="00544830"/>
    <w:rsid w:val="005468BA"/>
    <w:rsid w:val="00553A47"/>
    <w:rsid w:val="00562A85"/>
    <w:rsid w:val="005656B0"/>
    <w:rsid w:val="00571638"/>
    <w:rsid w:val="00580D75"/>
    <w:rsid w:val="00582B03"/>
    <w:rsid w:val="00584ACF"/>
    <w:rsid w:val="005864A5"/>
    <w:rsid w:val="00586F55"/>
    <w:rsid w:val="00594260"/>
    <w:rsid w:val="005952E3"/>
    <w:rsid w:val="00595677"/>
    <w:rsid w:val="005B0D75"/>
    <w:rsid w:val="005B3247"/>
    <w:rsid w:val="005B3C1C"/>
    <w:rsid w:val="005B43F7"/>
    <w:rsid w:val="005B5AF8"/>
    <w:rsid w:val="005C2536"/>
    <w:rsid w:val="005C5091"/>
    <w:rsid w:val="005D11ED"/>
    <w:rsid w:val="005E10E8"/>
    <w:rsid w:val="005E1F99"/>
    <w:rsid w:val="005E3A56"/>
    <w:rsid w:val="005F510C"/>
    <w:rsid w:val="006045E4"/>
    <w:rsid w:val="0060540C"/>
    <w:rsid w:val="00615993"/>
    <w:rsid w:val="00624932"/>
    <w:rsid w:val="00625217"/>
    <w:rsid w:val="00636023"/>
    <w:rsid w:val="00645B5E"/>
    <w:rsid w:val="006613BA"/>
    <w:rsid w:val="0066668E"/>
    <w:rsid w:val="00666EE9"/>
    <w:rsid w:val="0067184B"/>
    <w:rsid w:val="00674039"/>
    <w:rsid w:val="00682D81"/>
    <w:rsid w:val="006A3660"/>
    <w:rsid w:val="006A53FA"/>
    <w:rsid w:val="006B4661"/>
    <w:rsid w:val="006B63C6"/>
    <w:rsid w:val="006B7D2B"/>
    <w:rsid w:val="006C2305"/>
    <w:rsid w:val="006C7985"/>
    <w:rsid w:val="006D1C9F"/>
    <w:rsid w:val="006E575A"/>
    <w:rsid w:val="006E5F7B"/>
    <w:rsid w:val="006E6DBE"/>
    <w:rsid w:val="006F030A"/>
    <w:rsid w:val="006F0D12"/>
    <w:rsid w:val="006F21E7"/>
    <w:rsid w:val="006F26E7"/>
    <w:rsid w:val="006F4750"/>
    <w:rsid w:val="006F54E4"/>
    <w:rsid w:val="006F5BE9"/>
    <w:rsid w:val="00701C2E"/>
    <w:rsid w:val="0070303A"/>
    <w:rsid w:val="007100B3"/>
    <w:rsid w:val="007162EE"/>
    <w:rsid w:val="00717BA8"/>
    <w:rsid w:val="0072474C"/>
    <w:rsid w:val="00725AA5"/>
    <w:rsid w:val="007274FD"/>
    <w:rsid w:val="00727934"/>
    <w:rsid w:val="00741902"/>
    <w:rsid w:val="00741F26"/>
    <w:rsid w:val="00747C33"/>
    <w:rsid w:val="007513E3"/>
    <w:rsid w:val="00756805"/>
    <w:rsid w:val="00771FF2"/>
    <w:rsid w:val="00772669"/>
    <w:rsid w:val="007731B8"/>
    <w:rsid w:val="00775675"/>
    <w:rsid w:val="00785023"/>
    <w:rsid w:val="00786307"/>
    <w:rsid w:val="00792BC9"/>
    <w:rsid w:val="007A3340"/>
    <w:rsid w:val="007A78E0"/>
    <w:rsid w:val="007B5EC5"/>
    <w:rsid w:val="007C2731"/>
    <w:rsid w:val="007E110C"/>
    <w:rsid w:val="007E2003"/>
    <w:rsid w:val="007E2FD6"/>
    <w:rsid w:val="007E76FF"/>
    <w:rsid w:val="007F7E2F"/>
    <w:rsid w:val="00824F5D"/>
    <w:rsid w:val="00825DBC"/>
    <w:rsid w:val="00835B70"/>
    <w:rsid w:val="008437EC"/>
    <w:rsid w:val="008452E6"/>
    <w:rsid w:val="00847251"/>
    <w:rsid w:val="00864F1A"/>
    <w:rsid w:val="00877ECC"/>
    <w:rsid w:val="0088283B"/>
    <w:rsid w:val="00885A1F"/>
    <w:rsid w:val="00893B88"/>
    <w:rsid w:val="0089673F"/>
    <w:rsid w:val="008A2179"/>
    <w:rsid w:val="008B07A8"/>
    <w:rsid w:val="008B31D3"/>
    <w:rsid w:val="008B37FD"/>
    <w:rsid w:val="008D11A7"/>
    <w:rsid w:val="008D53D9"/>
    <w:rsid w:val="008E3E3F"/>
    <w:rsid w:val="008F2864"/>
    <w:rsid w:val="008F3976"/>
    <w:rsid w:val="009230ED"/>
    <w:rsid w:val="00932E43"/>
    <w:rsid w:val="00932FB2"/>
    <w:rsid w:val="00935965"/>
    <w:rsid w:val="0094426A"/>
    <w:rsid w:val="009453E4"/>
    <w:rsid w:val="009538CE"/>
    <w:rsid w:val="00971DFF"/>
    <w:rsid w:val="0098134C"/>
    <w:rsid w:val="00987886"/>
    <w:rsid w:val="00990AAF"/>
    <w:rsid w:val="009D4A6C"/>
    <w:rsid w:val="009D5C5A"/>
    <w:rsid w:val="009E3805"/>
    <w:rsid w:val="009F762F"/>
    <w:rsid w:val="00A10731"/>
    <w:rsid w:val="00A135AF"/>
    <w:rsid w:val="00A22E4E"/>
    <w:rsid w:val="00A279DD"/>
    <w:rsid w:val="00A3399A"/>
    <w:rsid w:val="00A45ED7"/>
    <w:rsid w:val="00A45F78"/>
    <w:rsid w:val="00A5127F"/>
    <w:rsid w:val="00A54578"/>
    <w:rsid w:val="00A55980"/>
    <w:rsid w:val="00A56D04"/>
    <w:rsid w:val="00A60987"/>
    <w:rsid w:val="00A72A52"/>
    <w:rsid w:val="00A72BB3"/>
    <w:rsid w:val="00A778A2"/>
    <w:rsid w:val="00AA2A15"/>
    <w:rsid w:val="00AA3D0C"/>
    <w:rsid w:val="00AA40AF"/>
    <w:rsid w:val="00AA52A8"/>
    <w:rsid w:val="00AC6F82"/>
    <w:rsid w:val="00AE3F9B"/>
    <w:rsid w:val="00AE699D"/>
    <w:rsid w:val="00AE739F"/>
    <w:rsid w:val="00AF0DA2"/>
    <w:rsid w:val="00AF139D"/>
    <w:rsid w:val="00AF3016"/>
    <w:rsid w:val="00AF32A4"/>
    <w:rsid w:val="00B01A04"/>
    <w:rsid w:val="00B02DCC"/>
    <w:rsid w:val="00B05090"/>
    <w:rsid w:val="00B1613E"/>
    <w:rsid w:val="00B161DE"/>
    <w:rsid w:val="00B31995"/>
    <w:rsid w:val="00B32593"/>
    <w:rsid w:val="00B43528"/>
    <w:rsid w:val="00B44350"/>
    <w:rsid w:val="00B4780E"/>
    <w:rsid w:val="00B60A3B"/>
    <w:rsid w:val="00B6303B"/>
    <w:rsid w:val="00B63D14"/>
    <w:rsid w:val="00B729AB"/>
    <w:rsid w:val="00B7488F"/>
    <w:rsid w:val="00B81924"/>
    <w:rsid w:val="00B84069"/>
    <w:rsid w:val="00B85889"/>
    <w:rsid w:val="00B95C20"/>
    <w:rsid w:val="00BA3195"/>
    <w:rsid w:val="00BA4EB0"/>
    <w:rsid w:val="00BB53EF"/>
    <w:rsid w:val="00BB6AD9"/>
    <w:rsid w:val="00BC0B48"/>
    <w:rsid w:val="00BC2CD5"/>
    <w:rsid w:val="00BC322C"/>
    <w:rsid w:val="00BC45EC"/>
    <w:rsid w:val="00BC6CA0"/>
    <w:rsid w:val="00BD1839"/>
    <w:rsid w:val="00BE1D7B"/>
    <w:rsid w:val="00BE5C24"/>
    <w:rsid w:val="00BE6F5B"/>
    <w:rsid w:val="00BE7761"/>
    <w:rsid w:val="00BF17D2"/>
    <w:rsid w:val="00BF318E"/>
    <w:rsid w:val="00BF7A00"/>
    <w:rsid w:val="00C00C9D"/>
    <w:rsid w:val="00C04F1E"/>
    <w:rsid w:val="00C3157B"/>
    <w:rsid w:val="00C33F5D"/>
    <w:rsid w:val="00C40834"/>
    <w:rsid w:val="00C45167"/>
    <w:rsid w:val="00C46690"/>
    <w:rsid w:val="00C5090C"/>
    <w:rsid w:val="00C52DF5"/>
    <w:rsid w:val="00C61244"/>
    <w:rsid w:val="00C63DA8"/>
    <w:rsid w:val="00C67B68"/>
    <w:rsid w:val="00C77F2C"/>
    <w:rsid w:val="00C806B4"/>
    <w:rsid w:val="00C81371"/>
    <w:rsid w:val="00C978B1"/>
    <w:rsid w:val="00CA7C0E"/>
    <w:rsid w:val="00CB1EE4"/>
    <w:rsid w:val="00CC6492"/>
    <w:rsid w:val="00CE15E5"/>
    <w:rsid w:val="00CE1B45"/>
    <w:rsid w:val="00CE6E58"/>
    <w:rsid w:val="00CF2D76"/>
    <w:rsid w:val="00D10226"/>
    <w:rsid w:val="00D13F95"/>
    <w:rsid w:val="00D2029B"/>
    <w:rsid w:val="00D23525"/>
    <w:rsid w:val="00D25B39"/>
    <w:rsid w:val="00D43843"/>
    <w:rsid w:val="00D572D1"/>
    <w:rsid w:val="00D6697C"/>
    <w:rsid w:val="00D70130"/>
    <w:rsid w:val="00D71D9B"/>
    <w:rsid w:val="00D763BD"/>
    <w:rsid w:val="00D866D7"/>
    <w:rsid w:val="00D942D5"/>
    <w:rsid w:val="00DA311D"/>
    <w:rsid w:val="00DB670F"/>
    <w:rsid w:val="00DC04BE"/>
    <w:rsid w:val="00DC10B4"/>
    <w:rsid w:val="00DE31BA"/>
    <w:rsid w:val="00DF1FF8"/>
    <w:rsid w:val="00DF299A"/>
    <w:rsid w:val="00E03F38"/>
    <w:rsid w:val="00E0643E"/>
    <w:rsid w:val="00E06A09"/>
    <w:rsid w:val="00E0753F"/>
    <w:rsid w:val="00E12A6A"/>
    <w:rsid w:val="00E15C3A"/>
    <w:rsid w:val="00E23D1E"/>
    <w:rsid w:val="00E30BEA"/>
    <w:rsid w:val="00E4125E"/>
    <w:rsid w:val="00E43CC0"/>
    <w:rsid w:val="00E448D8"/>
    <w:rsid w:val="00E46EB9"/>
    <w:rsid w:val="00E47074"/>
    <w:rsid w:val="00E50DC5"/>
    <w:rsid w:val="00E50E7B"/>
    <w:rsid w:val="00E57BB5"/>
    <w:rsid w:val="00E70DB3"/>
    <w:rsid w:val="00E842C4"/>
    <w:rsid w:val="00E94397"/>
    <w:rsid w:val="00E96290"/>
    <w:rsid w:val="00E97D25"/>
    <w:rsid w:val="00EA47EE"/>
    <w:rsid w:val="00EB1BAD"/>
    <w:rsid w:val="00EB1C92"/>
    <w:rsid w:val="00EC6849"/>
    <w:rsid w:val="00EC6BC6"/>
    <w:rsid w:val="00ED785E"/>
    <w:rsid w:val="00ED79D2"/>
    <w:rsid w:val="00EE20B0"/>
    <w:rsid w:val="00EE2C11"/>
    <w:rsid w:val="00EE4299"/>
    <w:rsid w:val="00EE4BEA"/>
    <w:rsid w:val="00EE70DF"/>
    <w:rsid w:val="00F01A72"/>
    <w:rsid w:val="00F07A4F"/>
    <w:rsid w:val="00F15D8E"/>
    <w:rsid w:val="00F26694"/>
    <w:rsid w:val="00F30F96"/>
    <w:rsid w:val="00F35D98"/>
    <w:rsid w:val="00F535F1"/>
    <w:rsid w:val="00F55D3F"/>
    <w:rsid w:val="00F6181F"/>
    <w:rsid w:val="00F631FA"/>
    <w:rsid w:val="00F834FA"/>
    <w:rsid w:val="00F85CEB"/>
    <w:rsid w:val="00FA3012"/>
    <w:rsid w:val="00FA4DAF"/>
    <w:rsid w:val="00FB0981"/>
    <w:rsid w:val="00FB4C70"/>
    <w:rsid w:val="00FC303F"/>
    <w:rsid w:val="00FD0DDA"/>
    <w:rsid w:val="00FE5846"/>
    <w:rsid w:val="00FE5D0A"/>
    <w:rsid w:val="00FF096B"/>
    <w:rsid w:val="00FF6932"/>
    <w:rsid w:val="00FF6DE4"/>
    <w:rsid w:val="6FFF8278"/>
    <w:rsid w:val="7DFD5BD1"/>
    <w:rsid w:val="DBFF29E4"/>
    <w:rsid w:val="F9679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24"/>
      <w:szCs w:val="22"/>
      <w:lang w:val="en-US" w:eastAsia="zh-CN" w:bidi="ar-SA"/>
    </w:rPr>
  </w:style>
  <w:style w:type="paragraph" w:styleId="2">
    <w:name w:val="heading 1"/>
    <w:basedOn w:val="3"/>
    <w:next w:val="1"/>
    <w:link w:val="21"/>
    <w:qFormat/>
    <w:uiPriority w:val="9"/>
    <w:pPr>
      <w:spacing w:before="100" w:after="100"/>
      <w:outlineLvl w:val="0"/>
    </w:pPr>
    <w:rPr>
      <w:bCs w:val="0"/>
      <w:kern w:val="44"/>
      <w:sz w:val="28"/>
      <w:szCs w:val="44"/>
    </w:rPr>
  </w:style>
  <w:style w:type="paragraph" w:styleId="4">
    <w:name w:val="heading 2"/>
    <w:basedOn w:val="1"/>
    <w:next w:val="1"/>
    <w:link w:val="22"/>
    <w:unhideWhenUsed/>
    <w:qFormat/>
    <w:uiPriority w:val="9"/>
    <w:pPr>
      <w:keepNext/>
      <w:keepLines/>
      <w:numPr>
        <w:ilvl w:val="0"/>
        <w:numId w:val="1"/>
      </w:numPr>
      <w:spacing w:before="100" w:after="100"/>
      <w:ind w:left="0" w:firstLine="0" w:firstLineChars="0"/>
      <w:outlineLvl w:val="1"/>
    </w:pPr>
    <w:rPr>
      <w:rFonts w:cstheme="majorBidi"/>
      <w:b/>
      <w:bCs/>
      <w:sz w:val="28"/>
      <w:szCs w:val="32"/>
    </w:rPr>
  </w:style>
  <w:style w:type="paragraph" w:styleId="5">
    <w:name w:val="heading 3"/>
    <w:basedOn w:val="4"/>
    <w:next w:val="1"/>
    <w:link w:val="23"/>
    <w:unhideWhenUsed/>
    <w:qFormat/>
    <w:uiPriority w:val="9"/>
    <w:pPr>
      <w:numPr>
        <w:numId w:val="2"/>
      </w:numPr>
      <w:outlineLvl w:val="2"/>
    </w:pPr>
    <w:rPr>
      <w:bCs w:val="0"/>
    </w:rPr>
  </w:style>
  <w:style w:type="paragraph" w:styleId="6">
    <w:name w:val="heading 4"/>
    <w:basedOn w:val="1"/>
    <w:next w:val="1"/>
    <w:link w:val="24"/>
    <w:unhideWhenUsed/>
    <w:qFormat/>
    <w:uiPriority w:val="9"/>
    <w:pPr>
      <w:keepNext/>
      <w:keepLines/>
      <w:spacing w:before="100" w:after="100"/>
      <w:ind w:firstLine="0" w:firstLineChars="0"/>
      <w:outlineLvl w:val="3"/>
    </w:pPr>
    <w:rPr>
      <w:rFonts w:cstheme="majorBidi"/>
      <w:b/>
      <w:bCs/>
      <w:sz w:val="28"/>
      <w:szCs w:val="28"/>
    </w:rPr>
  </w:style>
  <w:style w:type="paragraph" w:styleId="3">
    <w:name w:val="heading 5"/>
    <w:basedOn w:val="1"/>
    <w:next w:val="1"/>
    <w:link w:val="25"/>
    <w:unhideWhenUsed/>
    <w:qFormat/>
    <w:uiPriority w:val="9"/>
    <w:pPr>
      <w:keepNext/>
      <w:keepLines/>
      <w:numPr>
        <w:ilvl w:val="0"/>
        <w:numId w:val="3"/>
      </w:numPr>
      <w:spacing w:before="40" w:after="40"/>
      <w:ind w:firstLineChars="0"/>
      <w:jc w:val="left"/>
      <w:outlineLvl w:val="4"/>
    </w:pPr>
    <w:rPr>
      <w:b/>
      <w:bCs/>
      <w:szCs w:val="28"/>
    </w:rPr>
  </w:style>
  <w:style w:type="paragraph" w:styleId="7">
    <w:name w:val="heading 6"/>
    <w:basedOn w:val="1"/>
    <w:next w:val="1"/>
    <w:link w:val="30"/>
    <w:unhideWhenUsed/>
    <w:qFormat/>
    <w:uiPriority w:val="9"/>
    <w:pPr>
      <w:keepNext/>
      <w:keepLines/>
      <w:numPr>
        <w:ilvl w:val="0"/>
        <w:numId w:val="4"/>
      </w:numPr>
      <w:spacing w:before="10" w:after="10"/>
      <w:ind w:firstLineChars="0"/>
      <w:outlineLvl w:val="5"/>
    </w:pPr>
    <w:rPr>
      <w:rFonts w:ascii="仿宋" w:hAnsi="仿宋" w:eastAsia="仿宋" w:cstheme="majorBidi"/>
      <w:b/>
      <w:bCs/>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5"/>
    <w:semiHidden/>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footer"/>
    <w:basedOn w:val="1"/>
    <w:link w:val="28"/>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tabs>
        <w:tab w:val="right" w:leader="dot" w:pos="8296"/>
      </w:tabs>
      <w:ind w:firstLine="480"/>
    </w:pPr>
    <w:rPr>
      <w:rFonts w:ascii="黑体" w:hAnsi="黑体" w:eastAsia="黑体"/>
    </w:rPr>
  </w:style>
  <w:style w:type="paragraph" w:styleId="13">
    <w:name w:val="toc 2"/>
    <w:basedOn w:val="1"/>
    <w:next w:val="1"/>
    <w:unhideWhenUsed/>
    <w:qFormat/>
    <w:uiPriority w:val="39"/>
    <w:pPr>
      <w:tabs>
        <w:tab w:val="left" w:pos="1830"/>
        <w:tab w:val="right" w:leader="dot" w:pos="8296"/>
      </w:tabs>
      <w:ind w:left="480" w:leftChars="200" w:firstLine="0" w:firstLineChars="0"/>
    </w:pPr>
  </w:style>
  <w:style w:type="paragraph" w:styleId="14">
    <w:name w:val="annotation subject"/>
    <w:basedOn w:val="8"/>
    <w:next w:val="8"/>
    <w:link w:val="36"/>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标题 1 字符"/>
    <w:basedOn w:val="17"/>
    <w:link w:val="2"/>
    <w:qFormat/>
    <w:uiPriority w:val="9"/>
    <w:rPr>
      <w:rFonts w:ascii="Times New Roman" w:hAnsi="Times New Roman" w:eastAsia="仿宋_GB2312"/>
      <w:b/>
      <w:kern w:val="44"/>
      <w:sz w:val="28"/>
      <w:szCs w:val="44"/>
    </w:rPr>
  </w:style>
  <w:style w:type="character" w:customStyle="1" w:styleId="22">
    <w:name w:val="标题 2 字符"/>
    <w:basedOn w:val="17"/>
    <w:link w:val="4"/>
    <w:qFormat/>
    <w:uiPriority w:val="9"/>
    <w:rPr>
      <w:rFonts w:ascii="Times New Roman" w:hAnsi="Times New Roman" w:eastAsia="仿宋_GB2312" w:cstheme="majorBidi"/>
      <w:b/>
      <w:bCs/>
      <w:sz w:val="28"/>
      <w:szCs w:val="32"/>
    </w:rPr>
  </w:style>
  <w:style w:type="character" w:customStyle="1" w:styleId="23">
    <w:name w:val="标题 3 字符"/>
    <w:basedOn w:val="17"/>
    <w:link w:val="5"/>
    <w:qFormat/>
    <w:uiPriority w:val="9"/>
    <w:rPr>
      <w:rFonts w:ascii="Times New Roman" w:hAnsi="Times New Roman" w:eastAsia="仿宋_GB2312" w:cstheme="majorBidi"/>
      <w:b/>
      <w:sz w:val="28"/>
      <w:szCs w:val="32"/>
    </w:rPr>
  </w:style>
  <w:style w:type="character" w:customStyle="1" w:styleId="24">
    <w:name w:val="标题 4 字符"/>
    <w:basedOn w:val="17"/>
    <w:link w:val="6"/>
    <w:qFormat/>
    <w:uiPriority w:val="9"/>
    <w:rPr>
      <w:rFonts w:ascii="Times New Roman" w:hAnsi="Times New Roman" w:eastAsia="仿宋_GB2312" w:cstheme="majorBidi"/>
      <w:b/>
      <w:bCs/>
      <w:sz w:val="28"/>
      <w:szCs w:val="28"/>
    </w:rPr>
  </w:style>
  <w:style w:type="character" w:customStyle="1" w:styleId="25">
    <w:name w:val="标题 5 字符"/>
    <w:basedOn w:val="17"/>
    <w:link w:val="3"/>
    <w:qFormat/>
    <w:uiPriority w:val="9"/>
    <w:rPr>
      <w:rFonts w:ascii="Times New Roman" w:hAnsi="Times New Roman" w:eastAsia="仿宋_GB2312"/>
      <w:b/>
      <w:bCs/>
      <w:sz w:val="24"/>
      <w:szCs w:val="28"/>
    </w:rPr>
  </w:style>
  <w:style w:type="paragraph" w:styleId="26">
    <w:name w:val="List Paragraph"/>
    <w:basedOn w:val="1"/>
    <w:qFormat/>
    <w:uiPriority w:val="34"/>
    <w:pPr>
      <w:ind w:firstLine="420"/>
    </w:pPr>
  </w:style>
  <w:style w:type="character" w:customStyle="1" w:styleId="27">
    <w:name w:val="页眉 字符"/>
    <w:basedOn w:val="17"/>
    <w:link w:val="11"/>
    <w:qFormat/>
    <w:uiPriority w:val="99"/>
    <w:rPr>
      <w:rFonts w:ascii="Times New Roman" w:hAnsi="Times New Roman" w:eastAsia="仿宋_GB2312"/>
      <w:sz w:val="18"/>
      <w:szCs w:val="18"/>
    </w:rPr>
  </w:style>
  <w:style w:type="character" w:customStyle="1" w:styleId="28">
    <w:name w:val="页脚 字符"/>
    <w:basedOn w:val="17"/>
    <w:link w:val="10"/>
    <w:qFormat/>
    <w:uiPriority w:val="99"/>
    <w:rPr>
      <w:rFonts w:ascii="Times New Roman" w:hAnsi="Times New Roman" w:eastAsia="仿宋_GB2312"/>
      <w:sz w:val="18"/>
      <w:szCs w:val="18"/>
    </w:rPr>
  </w:style>
  <w:style w:type="paragraph" w:styleId="29">
    <w:name w:val="No Spacing"/>
    <w:qFormat/>
    <w:uiPriority w:val="1"/>
    <w:pPr>
      <w:widowControl w:val="0"/>
      <w:ind w:firstLine="200" w:firstLineChars="200"/>
      <w:jc w:val="both"/>
    </w:pPr>
    <w:rPr>
      <w:rFonts w:ascii="Times New Roman" w:hAnsi="Times New Roman" w:eastAsia="仿宋_GB2312" w:cstheme="minorBidi"/>
      <w:kern w:val="2"/>
      <w:sz w:val="24"/>
      <w:szCs w:val="22"/>
      <w:lang w:val="en-US" w:eastAsia="zh-CN" w:bidi="ar-SA"/>
    </w:rPr>
  </w:style>
  <w:style w:type="character" w:customStyle="1" w:styleId="30">
    <w:name w:val="标题 6 字符"/>
    <w:basedOn w:val="17"/>
    <w:link w:val="7"/>
    <w:qFormat/>
    <w:uiPriority w:val="9"/>
    <w:rPr>
      <w:rFonts w:ascii="仿宋" w:hAnsi="仿宋" w:eastAsia="仿宋" w:cstheme="majorBidi"/>
      <w:b/>
      <w:bCs/>
      <w:sz w:val="24"/>
      <w:szCs w:val="24"/>
    </w:rPr>
  </w:style>
  <w:style w:type="paragraph" w:customStyle="1" w:styleId="31">
    <w:name w:val="实施正文"/>
    <w:basedOn w:val="1"/>
    <w:link w:val="32"/>
    <w:qFormat/>
    <w:uiPriority w:val="0"/>
    <w:pPr>
      <w:spacing w:line="240" w:lineRule="auto"/>
      <w:ind w:firstLine="560"/>
    </w:pPr>
    <w:rPr>
      <w:rFonts w:cs="Times New Roman"/>
      <w:sz w:val="28"/>
      <w:szCs w:val="24"/>
    </w:rPr>
  </w:style>
  <w:style w:type="character" w:customStyle="1" w:styleId="32">
    <w:name w:val="实施正文 字符"/>
    <w:link w:val="31"/>
    <w:qFormat/>
    <w:uiPriority w:val="0"/>
    <w:rPr>
      <w:rFonts w:ascii="Times New Roman" w:hAnsi="Times New Roman" w:eastAsia="仿宋_GB2312" w:cs="Times New Roman"/>
      <w:sz w:val="28"/>
      <w:szCs w:val="24"/>
    </w:rPr>
  </w:style>
  <w:style w:type="paragraph" w:customStyle="1" w:styleId="33">
    <w:name w:val="TOC Heading"/>
    <w:basedOn w:val="2"/>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color w:val="2F5597" w:themeColor="accent1" w:themeShade="BF"/>
      <w:kern w:val="0"/>
      <w:sz w:val="32"/>
      <w:szCs w:val="32"/>
    </w:rPr>
  </w:style>
  <w:style w:type="paragraph" w:customStyle="1" w:styleId="34">
    <w:name w:val="Revision"/>
    <w:hidden/>
    <w:semiHidden/>
    <w:qFormat/>
    <w:uiPriority w:val="99"/>
    <w:rPr>
      <w:rFonts w:ascii="Times New Roman" w:hAnsi="Times New Roman" w:eastAsia="仿宋_GB2312" w:cstheme="minorBidi"/>
      <w:kern w:val="2"/>
      <w:sz w:val="24"/>
      <w:szCs w:val="22"/>
      <w:lang w:val="en-US" w:eastAsia="zh-CN" w:bidi="ar-SA"/>
    </w:rPr>
  </w:style>
  <w:style w:type="character" w:customStyle="1" w:styleId="35">
    <w:name w:val="批注文字 字符"/>
    <w:basedOn w:val="17"/>
    <w:link w:val="8"/>
    <w:semiHidden/>
    <w:qFormat/>
    <w:uiPriority w:val="99"/>
    <w:rPr>
      <w:rFonts w:ascii="Times New Roman" w:hAnsi="Times New Roman" w:eastAsia="仿宋_GB2312"/>
      <w:sz w:val="24"/>
    </w:rPr>
  </w:style>
  <w:style w:type="character" w:customStyle="1" w:styleId="36">
    <w:name w:val="批注主题 字符"/>
    <w:basedOn w:val="35"/>
    <w:link w:val="14"/>
    <w:semiHidden/>
    <w:qFormat/>
    <w:uiPriority w:val="99"/>
    <w:rPr>
      <w:rFonts w:ascii="Times New Roman" w:hAnsi="Times New Roman" w:eastAsia="仿宋_GB2312"/>
      <w:b/>
      <w:bCs/>
      <w:sz w:val="24"/>
    </w:rPr>
  </w:style>
  <w:style w:type="paragraph" w:customStyle="1" w:styleId="37">
    <w:name w:val="正文1"/>
    <w:basedOn w:val="1"/>
    <w:next w:val="1"/>
    <w:qFormat/>
    <w:uiPriority w:val="0"/>
    <w:pPr>
      <w:spacing w:line="440" w:lineRule="exact"/>
      <w:jc w:val="left"/>
    </w:pPr>
    <w:rPr>
      <w:rFonts w:ascii="仿宋_GB2312" w:hAnsi="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1943</Words>
  <Characters>11079</Characters>
  <Lines>92</Lines>
  <Paragraphs>25</Paragraphs>
  <TotalTime>24</TotalTime>
  <ScaleCrop>false</ScaleCrop>
  <LinksUpToDate>false</LinksUpToDate>
  <CharactersWithSpaces>12997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2022-01-20T02:11:00Z</dcterms:created>
  <dc:creator>乌 鹤达</dc:creator>
  <cp:lastModifiedBy>user</cp:lastModifiedBy>
  <cp:lastPrinted>2022-01-10T12:30:00Z</cp:lastPrinted>
  <dcterms:modified xsi:type="dcterms:W3CDTF">2022-01-19T15:22:42Z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