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val="0"/>
        <w:overflowPunct/>
        <w:bidi w:val="0"/>
        <w:spacing w:line="400" w:lineRule="exact"/>
        <w:jc w:val="center"/>
        <w:rPr>
          <w:rFonts w:hint="default" w:ascii="Times New Roman" w:hAnsi="Times New Roman" w:cs="Times New Roman"/>
          <w:color w:val="auto"/>
          <w:highlight w:val="none"/>
        </w:rPr>
      </w:pPr>
    </w:p>
    <w:p>
      <w:pPr>
        <w:pageBreakBefore w:val="0"/>
        <w:kinsoku/>
        <w:wordWrap w:val="0"/>
        <w:overflowPunct/>
        <w:bidi w:val="0"/>
        <w:spacing w:line="400" w:lineRule="exact"/>
        <w:jc w:val="center"/>
        <w:rPr>
          <w:rFonts w:hint="default" w:ascii="Times New Roman" w:hAnsi="Times New Roman" w:cs="Times New Roman"/>
          <w:color w:val="auto"/>
          <w:highlight w:val="none"/>
        </w:rPr>
      </w:pPr>
    </w:p>
    <w:p>
      <w:pPr>
        <w:pageBreakBefore w:val="0"/>
        <w:kinsoku/>
        <w:wordWrap w:val="0"/>
        <w:overflowPunct/>
        <w:bidi w:val="0"/>
        <w:spacing w:line="400" w:lineRule="exact"/>
        <w:jc w:val="center"/>
        <w:rPr>
          <w:rFonts w:hint="default" w:ascii="Times New Roman" w:hAnsi="Times New Roman" w:cs="Times New Roman"/>
          <w:color w:val="auto"/>
          <w:highlight w:val="none"/>
        </w:rPr>
      </w:pPr>
    </w:p>
    <w:p>
      <w:pPr>
        <w:pageBreakBefore w:val="0"/>
        <w:kinsoku/>
        <w:wordWrap w:val="0"/>
        <w:overflowPunct/>
        <w:topLinePunct/>
        <w:bidi w:val="0"/>
        <w:spacing w:line="400" w:lineRule="atLeast"/>
        <w:jc w:val="center"/>
        <w:rPr>
          <w:rStyle w:val="147"/>
          <w:rFonts w:hint="default" w:ascii="Times New Roman" w:hAnsi="Times New Roman" w:eastAsia="黑体" w:cs="Times New Roman"/>
          <w:b w:val="0"/>
          <w:bCs w:val="0"/>
          <w:color w:val="auto"/>
          <w:spacing w:val="40"/>
          <w:sz w:val="40"/>
          <w:szCs w:val="40"/>
          <w:highlight w:val="none"/>
          <w:lang w:val="en-US" w:eastAsia="zh-CN"/>
        </w:rPr>
      </w:pPr>
      <w:r>
        <w:rPr>
          <w:rStyle w:val="147"/>
          <w:rFonts w:hint="eastAsia" w:eastAsia="黑体" w:cs="Times New Roman"/>
          <w:b w:val="0"/>
          <w:bCs w:val="0"/>
          <w:color w:val="auto"/>
          <w:spacing w:val="40"/>
          <w:sz w:val="40"/>
          <w:szCs w:val="40"/>
          <w:highlight w:val="none"/>
          <w:lang w:val="en-US" w:eastAsia="zh-CN"/>
        </w:rPr>
        <w:t>辽宁省交通运输厅</w:t>
      </w:r>
    </w:p>
    <w:p>
      <w:pPr>
        <w:topLinePunct/>
        <w:spacing w:line="400" w:lineRule="atLeast"/>
        <w:jc w:val="center"/>
        <w:rPr>
          <w:rStyle w:val="147"/>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147"/>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147"/>
          <w:rFonts w:ascii="Times New Roman" w:hAnsi="Times New Roman" w:eastAsia="宋体" w:cs="Times New Roman"/>
          <w:b w:val="0"/>
          <w:bCs w:val="0"/>
          <w:color w:val="auto"/>
          <w:spacing w:val="40"/>
          <w:sz w:val="40"/>
          <w:szCs w:val="40"/>
          <w:highlight w:val="none"/>
        </w:rPr>
      </w:pPr>
    </w:p>
    <w:p>
      <w:pPr>
        <w:pageBreakBefore w:val="0"/>
        <w:kinsoku/>
        <w:wordWrap/>
        <w:overflowPunct/>
        <w:topLinePunct/>
        <w:bidi w:val="0"/>
        <w:spacing w:line="1200" w:lineRule="atLeast"/>
        <w:jc w:val="center"/>
        <w:rPr>
          <w:rStyle w:val="147"/>
          <w:rFonts w:hint="eastAsia" w:ascii="Times New Roman" w:hAnsi="Times New Roman" w:eastAsia="黑体" w:cs="Times New Roman"/>
          <w:b w:val="0"/>
          <w:bCs w:val="0"/>
          <w:color w:val="auto"/>
          <w:spacing w:val="38"/>
          <w:kern w:val="10"/>
          <w:sz w:val="68"/>
          <w:szCs w:val="68"/>
          <w:highlight w:val="none"/>
          <w:lang w:val="en-US" w:eastAsia="zh-CN"/>
        </w:rPr>
      </w:pPr>
      <w:r>
        <w:rPr>
          <w:rStyle w:val="147"/>
          <w:rFonts w:hint="eastAsia" w:ascii="Times New Roman" w:hAnsi="Times New Roman" w:eastAsia="黑体" w:cs="Times New Roman"/>
          <w:b w:val="0"/>
          <w:bCs w:val="0"/>
          <w:color w:val="auto"/>
          <w:spacing w:val="38"/>
          <w:kern w:val="10"/>
          <w:sz w:val="58"/>
          <w:szCs w:val="58"/>
          <w:highlight w:val="none"/>
          <w:lang w:val="en-US" w:eastAsia="zh-CN"/>
        </w:rPr>
        <w:t>辽宁省公路工程标准勘察设计</w:t>
      </w:r>
    </w:p>
    <w:p>
      <w:pPr>
        <w:pageBreakBefore w:val="0"/>
        <w:kinsoku/>
        <w:wordWrap/>
        <w:overflowPunct/>
        <w:topLinePunct/>
        <w:bidi w:val="0"/>
        <w:spacing w:line="1200" w:lineRule="atLeast"/>
        <w:jc w:val="center"/>
        <w:rPr>
          <w:rStyle w:val="147"/>
          <w:rFonts w:hint="eastAsia" w:ascii="Times New Roman" w:hAnsi="Times New Roman" w:eastAsia="黑体" w:cs="Times New Roman"/>
          <w:b/>
          <w:bCs/>
          <w:color w:val="auto"/>
          <w:spacing w:val="38"/>
          <w:kern w:val="10"/>
          <w:sz w:val="72"/>
          <w:szCs w:val="72"/>
          <w:highlight w:val="none"/>
        </w:rPr>
      </w:pPr>
      <w:r>
        <w:rPr>
          <w:rStyle w:val="147"/>
          <w:rFonts w:hint="eastAsia" w:ascii="Times New Roman" w:hAnsi="Times New Roman" w:eastAsia="黑体" w:cs="Times New Roman"/>
          <w:b/>
          <w:bCs/>
          <w:color w:val="auto"/>
          <w:spacing w:val="38"/>
          <w:kern w:val="10"/>
          <w:sz w:val="72"/>
          <w:szCs w:val="72"/>
          <w:highlight w:val="none"/>
          <w:lang w:val="en-US" w:eastAsia="zh-CN"/>
        </w:rPr>
        <w:t>电子招标文件</w:t>
      </w:r>
    </w:p>
    <w:p>
      <w:pPr>
        <w:pageBreakBefore w:val="0"/>
        <w:kinsoku/>
        <w:wordWrap/>
        <w:overflowPunct/>
        <w:topLinePunct/>
        <w:bidi w:val="0"/>
        <w:spacing w:line="1200" w:lineRule="atLeast"/>
        <w:jc w:val="center"/>
        <w:rPr>
          <w:rStyle w:val="147"/>
          <w:rFonts w:hint="eastAsia" w:ascii="Times New Roman" w:hAnsi="Times New Roman" w:eastAsia="黑体" w:cs="Times New Roman"/>
          <w:b w:val="0"/>
          <w:bCs w:val="0"/>
          <w:color w:val="auto"/>
          <w:spacing w:val="38"/>
          <w:kern w:val="10"/>
          <w:sz w:val="52"/>
          <w:szCs w:val="52"/>
          <w:highlight w:val="none"/>
        </w:rPr>
      </w:pPr>
      <w:r>
        <w:rPr>
          <w:rStyle w:val="147"/>
          <w:rFonts w:hint="eastAsia" w:ascii="Times New Roman" w:hAnsi="Times New Roman" w:eastAsia="黑体" w:cs="Times New Roman"/>
          <w:b w:val="0"/>
          <w:bCs w:val="0"/>
          <w:color w:val="auto"/>
          <w:spacing w:val="38"/>
          <w:kern w:val="10"/>
          <w:sz w:val="52"/>
          <w:szCs w:val="52"/>
          <w:highlight w:val="none"/>
        </w:rPr>
        <w:t>（</w:t>
      </w:r>
      <w:r>
        <w:rPr>
          <w:rStyle w:val="147"/>
          <w:rFonts w:hint="eastAsia" w:ascii="方正姚体" w:hAnsi="方正姚体" w:eastAsia="方正姚体" w:cs="方正姚体"/>
          <w:b w:val="0"/>
          <w:bCs w:val="0"/>
          <w:color w:val="auto"/>
          <w:spacing w:val="38"/>
          <w:kern w:val="10"/>
          <w:sz w:val="52"/>
          <w:szCs w:val="52"/>
          <w:highlight w:val="none"/>
        </w:rPr>
        <w:t>20</w:t>
      </w:r>
      <w:r>
        <w:rPr>
          <w:rStyle w:val="147"/>
          <w:rFonts w:hint="eastAsia" w:ascii="方正姚体" w:hAnsi="方正姚体" w:eastAsia="方正姚体" w:cs="方正姚体"/>
          <w:b w:val="0"/>
          <w:bCs w:val="0"/>
          <w:color w:val="auto"/>
          <w:spacing w:val="38"/>
          <w:kern w:val="10"/>
          <w:sz w:val="52"/>
          <w:szCs w:val="52"/>
          <w:highlight w:val="none"/>
          <w:lang w:val="en-US" w:eastAsia="zh-CN"/>
        </w:rPr>
        <w:t>25</w:t>
      </w:r>
      <w:r>
        <w:rPr>
          <w:rStyle w:val="147"/>
          <w:rFonts w:hint="eastAsia" w:ascii="Times New Roman" w:hAnsi="Times New Roman" w:eastAsia="黑体" w:cs="Times New Roman"/>
          <w:b w:val="0"/>
          <w:bCs w:val="0"/>
          <w:color w:val="auto"/>
          <w:spacing w:val="38"/>
          <w:kern w:val="10"/>
          <w:sz w:val="52"/>
          <w:szCs w:val="52"/>
          <w:highlight w:val="none"/>
        </w:rPr>
        <w:t>年版）</w:t>
      </w:r>
    </w:p>
    <w:p>
      <w:pPr>
        <w:topLinePunct/>
        <w:spacing w:line="400" w:lineRule="atLeast"/>
        <w:jc w:val="center"/>
        <w:rPr>
          <w:rStyle w:val="147"/>
          <w:rFonts w:ascii="Times New Roman" w:hAnsi="Times New Roman" w:eastAsia="宋体" w:cs="Times New Roman"/>
          <w:b w:val="0"/>
          <w:bCs w:val="0"/>
          <w:color w:val="auto"/>
          <w:spacing w:val="20"/>
          <w:kern w:val="0"/>
          <w:highlight w:val="none"/>
        </w:rPr>
      </w:pPr>
    </w:p>
    <w:p>
      <w:pPr>
        <w:topLinePunct/>
        <w:spacing w:line="400" w:lineRule="atLeast"/>
        <w:jc w:val="center"/>
        <w:rPr>
          <w:rStyle w:val="147"/>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147"/>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147"/>
          <w:rFonts w:ascii="Times New Roman" w:hAnsi="Times New Roman" w:eastAsia="黑体" w:cs="Times New Roman"/>
          <w:b w:val="0"/>
          <w:bCs w:val="0"/>
          <w:color w:val="auto"/>
          <w:spacing w:val="-24"/>
          <w:kern w:val="10"/>
          <w:sz w:val="48"/>
          <w:szCs w:val="48"/>
          <w:highlight w:val="none"/>
        </w:rPr>
      </w:pPr>
    </w:p>
    <w:p>
      <w:pPr>
        <w:topLinePunct/>
        <w:spacing w:before="120" w:beforeLines="50" w:line="400" w:lineRule="atLeast"/>
        <w:jc w:val="center"/>
        <w:rPr>
          <w:rStyle w:val="147"/>
          <w:rFonts w:hint="eastAsia" w:ascii="Times New Roman" w:hAnsi="Times New Roman" w:eastAsia="黑体" w:cs="Times New Roman"/>
          <w:b w:val="0"/>
          <w:bCs/>
          <w:color w:val="auto"/>
          <w:spacing w:val="0"/>
          <w:kern w:val="10"/>
          <w:sz w:val="36"/>
          <w:szCs w:val="36"/>
          <w:highlight w:val="none"/>
        </w:rPr>
      </w:pPr>
      <w:r>
        <w:rPr>
          <w:rStyle w:val="147"/>
          <w:rFonts w:hint="eastAsia" w:ascii="Times New Roman" w:hAnsi="Times New Roman" w:eastAsia="黑体" w:cs="Times New Roman"/>
          <w:b w:val="0"/>
          <w:bCs/>
          <w:color w:val="auto"/>
          <w:spacing w:val="0"/>
          <w:kern w:val="10"/>
          <w:sz w:val="36"/>
          <w:szCs w:val="36"/>
          <w:highlight w:val="none"/>
        </w:rPr>
        <w:t>辽宁省交通运输厅公告</w:t>
      </w:r>
    </w:p>
    <w:p>
      <w:pPr>
        <w:topLinePunct/>
        <w:spacing w:before="120" w:beforeLines="50" w:line="400" w:lineRule="atLeast"/>
        <w:jc w:val="center"/>
        <w:rPr>
          <w:rStyle w:val="147"/>
          <w:rFonts w:ascii="Times New Roman" w:hAnsi="Times New Roman" w:eastAsia="黑体" w:cs="Times New Roman"/>
          <w:b w:val="0"/>
          <w:bCs/>
          <w:color w:val="auto"/>
          <w:spacing w:val="0"/>
          <w:kern w:val="10"/>
          <w:sz w:val="36"/>
          <w:szCs w:val="36"/>
          <w:highlight w:val="none"/>
        </w:rPr>
      </w:pPr>
      <w:r>
        <w:rPr>
          <w:rStyle w:val="147"/>
          <w:rFonts w:hint="eastAsia" w:ascii="Times New Roman" w:hAnsi="Times New Roman" w:eastAsia="黑体" w:cs="Times New Roman"/>
          <w:b w:val="0"/>
          <w:bCs/>
          <w:color w:val="auto"/>
          <w:spacing w:val="0"/>
          <w:kern w:val="10"/>
          <w:sz w:val="36"/>
          <w:szCs w:val="36"/>
          <w:highlight w:val="none"/>
        </w:rPr>
        <w:t>自2025年10月1日起施行</w:t>
      </w: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pageBreakBefore w:val="0"/>
        <w:kinsoku/>
        <w:wordWrap w:val="0"/>
        <w:overflowPunct/>
        <w:bidi w:val="0"/>
        <w:spacing w:line="400" w:lineRule="exact"/>
        <w:jc w:val="center"/>
        <w:rPr>
          <w:rFonts w:hint="default" w:ascii="Times New Roman" w:hAnsi="Times New Roman" w:cs="Times New Roman"/>
          <w:color w:val="auto"/>
          <w:highlight w:val="none"/>
        </w:rPr>
      </w:pPr>
    </w:p>
    <w:p>
      <w:pPr>
        <w:pageBreakBefore w:val="0"/>
        <w:kinsoku/>
        <w:wordWrap w:val="0"/>
        <w:overflowPunct/>
        <w:bidi w:val="0"/>
        <w:spacing w:line="400" w:lineRule="exact"/>
        <w:jc w:val="center"/>
        <w:rPr>
          <w:rFonts w:hint="default" w:ascii="Times New Roman" w:hAnsi="Times New Roman" w:cs="Times New Roman"/>
          <w:color w:val="auto"/>
          <w:highlight w:val="none"/>
        </w:rPr>
        <w:sectPr>
          <w:footerReference r:id="rId4" w:type="default"/>
          <w:footerReference r:id="rId5" w:type="even"/>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eastAsia" w:eastAsia="黑体" w:cs="Times New Roman"/>
          <w:color w:val="auto"/>
          <w:spacing w:val="20"/>
          <w:sz w:val="28"/>
          <w:szCs w:val="28"/>
          <w:highlight w:val="none"/>
          <w:lang w:eastAsia="zh-CN"/>
        </w:rPr>
        <w:t>辽宁省公路工程标准勘</w:t>
      </w:r>
      <w:bookmarkStart w:id="1115" w:name="_GoBack"/>
      <w:bookmarkEnd w:id="1115"/>
      <w:r>
        <w:rPr>
          <w:rFonts w:hint="eastAsia" w:eastAsia="黑体" w:cs="Times New Roman"/>
          <w:color w:val="auto"/>
          <w:spacing w:val="20"/>
          <w:sz w:val="28"/>
          <w:szCs w:val="28"/>
          <w:highlight w:val="none"/>
          <w:lang w:eastAsia="zh-CN"/>
        </w:rPr>
        <w:t>察设计电子招标文件</w:t>
      </w:r>
      <w:r>
        <w:rPr>
          <w:rFonts w:hint="default" w:ascii="Times New Roman" w:hAnsi="Times New Roman" w:eastAsia="黑体" w:cs="Times New Roman"/>
          <w:color w:val="auto"/>
          <w:spacing w:val="20"/>
          <w:sz w:val="28"/>
          <w:szCs w:val="28"/>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（20</w:t>
      </w:r>
      <w:r>
        <w:rPr>
          <w:rFonts w:hint="default" w:ascii="Times New Roman" w:hAnsi="Times New Roman" w:eastAsia="黑体" w:cs="Times New Roman"/>
          <w:color w:val="auto"/>
          <w:spacing w:val="20"/>
          <w:sz w:val="32"/>
          <w:szCs w:val="32"/>
          <w:highlight w:val="none"/>
          <w:lang w:val="en-US" w:eastAsia="zh-CN"/>
        </w:rPr>
        <w:t>2</w:t>
      </w:r>
      <w:r>
        <w:rPr>
          <w:rFonts w:hint="eastAsia" w:eastAsia="黑体" w:cs="Times New Roman"/>
          <w:color w:val="auto"/>
          <w:spacing w:val="20"/>
          <w:sz w:val="32"/>
          <w:szCs w:val="32"/>
          <w:highlight w:val="none"/>
          <w:lang w:val="en-US" w:eastAsia="zh-CN"/>
        </w:rPr>
        <w:t>5</w:t>
      </w:r>
      <w:r>
        <w:rPr>
          <w:rFonts w:hint="default" w:ascii="Times New Roman" w:hAnsi="Times New Roman" w:eastAsia="黑体" w:cs="Times New Roman"/>
          <w:color w:val="auto"/>
          <w:spacing w:val="20"/>
          <w:sz w:val="32"/>
          <w:szCs w:val="32"/>
          <w:highlight w:val="none"/>
        </w:rPr>
        <w:t>年版）</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tbl>
      <w:tblPr>
        <w:tblStyle w:val="47"/>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47"/>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bl>
    <w:p>
      <w:pPr>
        <w:rPr>
          <w:rFonts w:ascii="Calibri" w:hAnsi="Calibri"/>
          <w:color w:val="auto"/>
          <w:highlight w:val="none"/>
        </w:rPr>
      </w:pPr>
    </w:p>
    <w:p>
      <w:pPr>
        <w:pStyle w:val="18"/>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eastAsia="黑体" w:cs="Times New Roman"/>
          <w:color w:val="auto"/>
          <w:spacing w:val="20"/>
          <w:sz w:val="32"/>
          <w:szCs w:val="32"/>
          <w:highlight w:val="none"/>
        </w:rPr>
        <w:br w:type="page"/>
      </w:r>
    </w:p>
    <w:p>
      <w:pPr>
        <w:pageBreakBefore w:val="0"/>
        <w:kinsoku/>
        <w:wordWrap w:val="0"/>
        <w:overflowPunct/>
        <w:bidi w:val="0"/>
        <w:spacing w:line="400" w:lineRule="atLeast"/>
        <w:jc w:val="center"/>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Cs/>
          <w:color w:val="auto"/>
          <w:sz w:val="44"/>
          <w:szCs w:val="44"/>
          <w:highlight w:val="none"/>
        </w:rPr>
        <w:t>使 用 说 明</w:t>
      </w:r>
    </w:p>
    <w:p>
      <w:pPr>
        <w:pStyle w:val="28"/>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一、为加强辽宁省公路建设养护工程</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招标管理，规范招标文件编制工作，全面实施电子招标投标，结合我省公路工程</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招标特点和管理需要，辽宁省交通运输厅组织华杰工程咨询有限公司和国内专家，结合最新招标投标政策和全流程电子招标投标需求，编制了《</w:t>
      </w:r>
      <w:r>
        <w:rPr>
          <w:rFonts w:hint="eastAsia" w:ascii="Times New Roman" w:hAnsi="Times New Roman" w:eastAsia="仿宋_GB2312" w:cs="Times New Roman"/>
          <w:color w:val="auto"/>
          <w:sz w:val="26"/>
          <w:szCs w:val="26"/>
          <w:highlight w:val="none"/>
          <w:lang w:eastAsia="zh-CN"/>
        </w:rPr>
        <w:t>辽宁省公路工程标准勘察设计电子招标文件</w:t>
      </w:r>
      <w:r>
        <w:rPr>
          <w:rFonts w:hint="default" w:ascii="Times New Roman" w:hAnsi="Times New Roman" w:eastAsia="仿宋_GB2312" w:cs="Times New Roman"/>
          <w:color w:val="auto"/>
          <w:sz w:val="26"/>
          <w:szCs w:val="26"/>
          <w:highlight w:val="none"/>
        </w:rPr>
        <w:t>》（202</w:t>
      </w:r>
      <w:r>
        <w:rPr>
          <w:rFonts w:hint="eastAsia" w:ascii="Times New Roman" w:hAnsi="Times New Roman" w:eastAsia="仿宋_GB2312" w:cs="Times New Roman"/>
          <w:color w:val="auto"/>
          <w:sz w:val="26"/>
          <w:szCs w:val="26"/>
          <w:highlight w:val="none"/>
          <w:lang w:val="en-US" w:eastAsia="zh-CN"/>
        </w:rPr>
        <w:t>5</w:t>
      </w:r>
      <w:r>
        <w:rPr>
          <w:rFonts w:hint="default" w:ascii="Times New Roman" w:hAnsi="Times New Roman" w:eastAsia="仿宋_GB2312" w:cs="Times New Roman"/>
          <w:color w:val="auto"/>
          <w:sz w:val="26"/>
          <w:szCs w:val="26"/>
          <w:highlight w:val="none"/>
        </w:rPr>
        <w:t>年版）（以下简称《</w:t>
      </w:r>
      <w:r>
        <w:rPr>
          <w:rFonts w:hint="eastAsia" w:ascii="Times New Roman" w:hAnsi="Times New Roman" w:eastAsia="仿宋_GB2312" w:cs="Times New Roman"/>
          <w:color w:val="auto"/>
          <w:sz w:val="26"/>
          <w:szCs w:val="26"/>
          <w:highlight w:val="none"/>
          <w:lang w:val="en-US" w:eastAsia="zh-CN"/>
        </w:rPr>
        <w:t>标准勘察设计招标文件</w:t>
      </w:r>
      <w:r>
        <w:rPr>
          <w:rFonts w:hint="default" w:ascii="Times New Roman" w:hAnsi="Times New Roman" w:eastAsia="仿宋_GB2312" w:cs="Times New Roman"/>
          <w:color w:val="auto"/>
          <w:sz w:val="26"/>
          <w:szCs w:val="26"/>
          <w:highlight w:val="none"/>
        </w:rPr>
        <w:t>》）。</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val="en-US" w:eastAsia="zh-CN"/>
        </w:rPr>
        <w:t>标准勘察设计招标文件</w:t>
      </w:r>
      <w:r>
        <w:rPr>
          <w:rFonts w:hint="default" w:ascii="Times New Roman" w:hAnsi="Times New Roman" w:eastAsia="仿宋_GB2312" w:cs="Times New Roman"/>
          <w:color w:val="auto"/>
          <w:sz w:val="26"/>
          <w:szCs w:val="26"/>
          <w:highlight w:val="none"/>
        </w:rPr>
        <w:t>》以</w:t>
      </w:r>
      <w:r>
        <w:rPr>
          <w:rFonts w:hint="default" w:ascii="Times New Roman" w:hAnsi="Times New Roman" w:eastAsia="仿宋_GB2312" w:cs="Times New Roman"/>
          <w:color w:val="auto"/>
          <w:sz w:val="26"/>
          <w:szCs w:val="26"/>
          <w:highlight w:val="none"/>
          <w:lang w:val="en-US" w:eastAsia="zh-CN"/>
        </w:rPr>
        <w:t>交通运输部《公路工程标准</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lang w:val="en-US" w:eastAsia="zh-CN"/>
        </w:rPr>
        <w:t>招标文件》（2018年版）</w:t>
      </w:r>
      <w:r>
        <w:rPr>
          <w:rFonts w:hint="default" w:ascii="Times New Roman" w:hAnsi="Times New Roman" w:eastAsia="仿宋_GB2312" w:cs="Times New Roman"/>
          <w:color w:val="auto"/>
          <w:sz w:val="26"/>
          <w:szCs w:val="26"/>
          <w:highlight w:val="none"/>
        </w:rPr>
        <w:t>为基础，</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招标投标法实施条例》《招标投标领域公平竞争审查规则》（国家发展和改革委员会等八部委2024年令第16号）《国务院办公厅关于创新完善体制机制推动招标投标市场规范健康发展的意见》（国办发〔2024〕21号）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部门规章</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规范性文件为依据，结合本省公路工程</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招标特点和管理需要编制而成。</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三、本省行政区域内公路工程（包括高速公路、普通国省干线公路、农村公路）建设（包括新建、改建、扩建）养护（包括预防养护、修复养护、专项养护工程）项目的</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单项合同估算价达到依法必须招标规定标准的，应当实行全流程电子化交易。《</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》适用于上述</w:t>
      </w:r>
      <w:r>
        <w:rPr>
          <w:rFonts w:hint="default" w:ascii="Times New Roman" w:hAnsi="Times New Roman" w:eastAsia="仿宋_GB2312" w:cs="Times New Roman"/>
          <w:color w:val="auto"/>
          <w:sz w:val="26"/>
          <w:szCs w:val="26"/>
          <w:highlight w:val="none"/>
          <w:lang w:val="en-US"/>
        </w:rPr>
        <w:t>公路建设养护工程</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全流程电子招标项目，其他项目</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招标可参照执行。招标人在编制招标文件的过程中应按照国家有关规定、项目具体情况和交易平台操作特点，载明公路建设养护工程</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rPr>
        <w:t>招标的具体要求。</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》在</w:t>
      </w:r>
      <w:r>
        <w:rPr>
          <w:rFonts w:hint="default" w:ascii="Times New Roman" w:hAnsi="Times New Roman" w:eastAsia="仿宋_GB2312" w:cs="Times New Roman"/>
          <w:color w:val="auto"/>
          <w:sz w:val="26"/>
          <w:szCs w:val="26"/>
          <w:highlight w:val="none"/>
          <w:lang w:val="en-US" w:eastAsia="zh-CN"/>
        </w:rPr>
        <w:t>《公路工程标准</w:t>
      </w:r>
      <w:r>
        <w:rPr>
          <w:rFonts w:hint="eastAsia" w:ascii="Times New Roman" w:hAnsi="Times New Roman" w:eastAsia="仿宋_GB2312" w:cs="Times New Roman"/>
          <w:color w:val="auto"/>
          <w:sz w:val="26"/>
          <w:szCs w:val="26"/>
          <w:highlight w:val="none"/>
          <w:lang w:val="en-US" w:eastAsia="zh-CN"/>
        </w:rPr>
        <w:t>勘察设计</w:t>
      </w:r>
      <w:r>
        <w:rPr>
          <w:rFonts w:hint="default" w:ascii="Times New Roman" w:hAnsi="Times New Roman" w:eastAsia="仿宋_GB2312" w:cs="Times New Roman"/>
          <w:color w:val="auto"/>
          <w:sz w:val="26"/>
          <w:szCs w:val="26"/>
          <w:highlight w:val="none"/>
          <w:lang w:val="en-US" w:eastAsia="zh-CN"/>
        </w:rPr>
        <w:t>招标文件》（2018年版）</w:t>
      </w:r>
      <w:r>
        <w:rPr>
          <w:rFonts w:hint="default" w:ascii="Times New Roman" w:hAnsi="Times New Roman" w:eastAsia="仿宋_GB2312" w:cs="Times New Roman"/>
          <w:color w:val="auto"/>
          <w:sz w:val="26"/>
          <w:szCs w:val="26"/>
          <w:highlight w:val="none"/>
        </w:rPr>
        <w:t>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前附表及部分正文内容相应条款结合电子招标投标的流程、特点进行</w:t>
      </w:r>
      <w:r>
        <w:rPr>
          <w:rFonts w:hint="eastAsia" w:ascii="Times New Roman" w:hAnsi="Times New Roman" w:eastAsia="仿宋_GB2312" w:cs="Times New Roman"/>
          <w:color w:val="auto"/>
          <w:sz w:val="26"/>
          <w:szCs w:val="26"/>
          <w:highlight w:val="none"/>
          <w:lang w:val="en-US" w:eastAsia="zh-CN"/>
        </w:rPr>
        <w:t>了</w:t>
      </w:r>
      <w:r>
        <w:rPr>
          <w:rFonts w:hint="default" w:ascii="Times New Roman" w:hAnsi="Times New Roman" w:eastAsia="仿宋_GB2312" w:cs="Times New Roman"/>
          <w:color w:val="auto"/>
          <w:sz w:val="26"/>
          <w:szCs w:val="26"/>
          <w:highlight w:val="none"/>
        </w:rPr>
        <w:t>调整，删除了部分不适用的内容（如资格预审、单信封形式密封、纸质版投标文件的递交及开评标程序等相关内容）。招标人根据《</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正文内容相抵触。如前附表与正文不一致时，以前附表的规定为准。</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五、招标人在根据</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编制项目招标文件中的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时，可根据招标项目的具体特点和实际需要，对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进行补充、细化，除</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强制性规定相抵触。同时，补充、细化或约定的内容，不得违反法律、行政法规的强制性规定和平等、自愿、公平和诚实信用原则。</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六、</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用相同序号标示的章、节、条、款、项、目，供招标人选择使用；以空格标示的部分，招标人应根据招标项目具体特点和实际需要进行填写，确实没有需要填写的，在空格中用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28"/>
        <w:pageBreakBefore w:val="0"/>
        <w:kinsoku/>
        <w:wordWrap w:val="0"/>
        <w:bidi w:val="0"/>
        <w:spacing w:line="440" w:lineRule="atLeast"/>
        <w:ind w:firstLine="520"/>
        <w:rPr>
          <w:rFonts w:hint="eastAsia" w:ascii="Times New Roman" w:hAnsi="Times New Roman" w:eastAsia="仿宋_GB2312" w:cs="Times New Roman"/>
          <w:color w:val="auto"/>
          <w:sz w:val="26"/>
          <w:szCs w:val="26"/>
          <w:highlight w:val="none"/>
          <w:lang w:eastAsia="zh-CN"/>
        </w:rPr>
      </w:pPr>
      <w:r>
        <w:rPr>
          <w:rFonts w:hint="default" w:ascii="Times New Roman" w:hAnsi="Times New Roman" w:eastAsia="仿宋_GB2312" w:cs="Times New Roman"/>
          <w:color w:val="auto"/>
          <w:sz w:val="26"/>
          <w:szCs w:val="26"/>
          <w:highlight w:val="none"/>
        </w:rPr>
        <w:t>七、招标人编入招标文件的招标公告应当与发布的公告内容完全一致。招标公告应当按照《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w:t>
      </w:r>
      <w:r>
        <w:rPr>
          <w:rFonts w:hint="eastAsia" w:ascii="Times New Roman" w:hAnsi="Times New Roman" w:eastAsia="仿宋_GB2312" w:cs="Times New Roman"/>
          <w:color w:val="auto"/>
          <w:sz w:val="26"/>
          <w:szCs w:val="26"/>
          <w:highlight w:val="none"/>
          <w:lang w:val="en-US" w:eastAsia="zh-CN"/>
        </w:rPr>
        <w:t>并</w:t>
      </w:r>
      <w:r>
        <w:rPr>
          <w:rFonts w:hint="default" w:ascii="Times New Roman" w:hAnsi="Times New Roman" w:eastAsia="仿宋_GB2312" w:cs="Times New Roman"/>
          <w:color w:val="auto"/>
          <w:sz w:val="26"/>
          <w:szCs w:val="26"/>
          <w:highlight w:val="none"/>
        </w:rPr>
        <w:t>将</w:t>
      </w:r>
      <w:r>
        <w:rPr>
          <w:rFonts w:hint="eastAsia" w:ascii="Times New Roman" w:hAnsi="Times New Roman" w:eastAsia="仿宋_GB2312" w:cs="Times New Roman"/>
          <w:color w:val="auto"/>
          <w:sz w:val="26"/>
          <w:szCs w:val="26"/>
          <w:highlight w:val="none"/>
          <w:lang w:val="en-US" w:eastAsia="zh-CN"/>
        </w:rPr>
        <w:t>招标文件</w:t>
      </w:r>
      <w:r>
        <w:rPr>
          <w:rFonts w:hint="default" w:ascii="Times New Roman" w:hAnsi="Times New Roman" w:eastAsia="仿宋_GB2312" w:cs="Times New Roman"/>
          <w:color w:val="auto"/>
          <w:sz w:val="26"/>
          <w:szCs w:val="26"/>
          <w:highlight w:val="none"/>
        </w:rPr>
        <w:t>关键内容上传至具有招标监督职责的交通运输主管部门政府网站或者其指定的其他网站上进行公开，公开内容包括项目概况、对投标人的资格条件要求、评标办法、招标人联系方式等</w:t>
      </w:r>
      <w:r>
        <w:rPr>
          <w:rFonts w:hint="eastAsia" w:ascii="Times New Roman" w:hAnsi="Times New Roman" w:eastAsia="仿宋_GB2312" w:cs="Times New Roman"/>
          <w:color w:val="auto"/>
          <w:sz w:val="26"/>
          <w:szCs w:val="26"/>
          <w:highlight w:val="none"/>
          <w:lang w:eastAsia="zh-CN"/>
        </w:rPr>
        <w:t>。</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八、</w:t>
      </w:r>
      <w:r>
        <w:rPr>
          <w:rFonts w:hint="eastAsia" w:ascii="Times New Roman" w:hAnsi="Times New Roman" w:eastAsia="仿宋_GB2312" w:cs="Times New Roman"/>
          <w:color w:val="auto"/>
          <w:sz w:val="26"/>
          <w:szCs w:val="26"/>
          <w:highlight w:val="none"/>
          <w:lang w:eastAsia="zh-CN"/>
        </w:rPr>
        <w:t>《标准勘察设计招标文件》第三章</w:t>
      </w:r>
      <w:r>
        <w:rPr>
          <w:rFonts w:hint="eastAsia" w:ascii="宋体" w:hAnsi="宋体" w:eastAsia="宋体" w:cs="宋体"/>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评标办法</w:t>
      </w:r>
      <w:r>
        <w:rPr>
          <w:rFonts w:hint="eastAsia" w:ascii="宋体" w:hAnsi="宋体" w:eastAsia="宋体" w:cs="宋体"/>
          <w:color w:val="auto"/>
          <w:sz w:val="26"/>
          <w:szCs w:val="26"/>
          <w:highlight w:val="none"/>
          <w:lang w:eastAsia="zh-CN"/>
        </w:rPr>
        <w:t>”</w:t>
      </w:r>
      <w:r>
        <w:rPr>
          <w:rFonts w:hint="default" w:ascii="Times New Roman" w:hAnsi="Times New Roman" w:eastAsia="仿宋_GB2312" w:cs="Times New Roman"/>
          <w:color w:val="auto"/>
          <w:sz w:val="26"/>
          <w:szCs w:val="26"/>
          <w:highlight w:val="none"/>
        </w:rPr>
        <w:t>前附表应列明全部评审因素和评审标准，招标人也可以选择法律法规允许的其他评标办法。并在本章（前附表及正文）标明投标人不满足要求即导致否决投标的全部条款。</w:t>
      </w:r>
    </w:p>
    <w:p>
      <w:pPr>
        <w:pStyle w:val="28"/>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九、</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辽宁省公共资源交易</w:t>
      </w:r>
      <w:r>
        <w:rPr>
          <w:rFonts w:hint="default"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张网电子化平台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eastAsia" w:ascii="Times New Roman" w:hAnsi="Times New Roman" w:eastAsia="仿宋_GB2312" w:cs="Times New Roman"/>
          <w:color w:val="auto"/>
          <w:sz w:val="26"/>
          <w:szCs w:val="26"/>
          <w:highlight w:val="none"/>
          <w:lang w:eastAsia="zh-CN"/>
        </w:rPr>
        <w:t>《标准勘察设计招标文件》</w:t>
      </w:r>
      <w:r>
        <w:rPr>
          <w:rFonts w:hint="default" w:ascii="Times New Roman" w:hAnsi="Times New Roman" w:eastAsia="仿宋_GB2312" w:cs="Times New Roman"/>
          <w:color w:val="auto"/>
          <w:sz w:val="26"/>
          <w:szCs w:val="26"/>
          <w:highlight w:val="none"/>
        </w:rPr>
        <w:t>编制招标文件。</w:t>
      </w:r>
    </w:p>
    <w:p>
      <w:pPr>
        <w:pStyle w:val="28"/>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中要求投标人盖单位章及法定代表人或其委托代理人签名处，除有特别规定外，均只要求投标人加盖CA数字证书中的单位章及法定代表人或其委托代理人的个人电子印章或电子签名。</w:t>
      </w:r>
    </w:p>
    <w:p>
      <w:pPr>
        <w:pStyle w:val="28"/>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eastAsia"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28"/>
        <w:pageBreakBefore w:val="0"/>
        <w:kinsoku/>
        <w:wordWrap w:val="0"/>
        <w:overflowPunct/>
        <w:bidi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十二、各市交通运输主管部门应组织好《标准勘察设计招标文件》的贯彻落实，督促各市场主体严格执行《标准勘察设计招标文件》，规范我省公路建设招投标市场秩序。</w:t>
      </w:r>
    </w:p>
    <w:p>
      <w:pPr>
        <w:pStyle w:val="28"/>
        <w:wordWrap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十三、</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标准勘察设计招标文件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自2025年10月1日起施行，电子文本可在我厅门户网站（jtt.ln.gov.cn）“下载服务”下载。我厅会根据政策变化情况对《标准勘察设计招标文件》进行动态调整，调整后将及时在我厅门户网站公开。</w:t>
      </w:r>
    </w:p>
    <w:p>
      <w:pPr>
        <w:pStyle w:val="28"/>
        <w:wordWrap w:val="0"/>
        <w:spacing w:line="440" w:lineRule="atLeast"/>
        <w:ind w:firstLine="520"/>
        <w:rPr>
          <w:color w:val="auto"/>
          <w:highlight w:val="none"/>
        </w:rPr>
      </w:pPr>
      <w:r>
        <w:rPr>
          <w:rFonts w:hint="eastAsia" w:ascii="Times New Roman" w:hAnsi="Times New Roman" w:eastAsia="仿宋_GB2312" w:cs="Times New Roman"/>
          <w:color w:val="auto"/>
          <w:sz w:val="26"/>
          <w:szCs w:val="26"/>
          <w:highlight w:val="none"/>
          <w:lang w:val="en-US" w:eastAsia="zh-CN"/>
        </w:rPr>
        <w:t>十</w:t>
      </w:r>
      <w:r>
        <w:rPr>
          <w:rFonts w:hint="eastAsia" w:eastAsia="仿宋_GB2312" w:cs="Times New Roman"/>
          <w:color w:val="auto"/>
          <w:sz w:val="26"/>
          <w:szCs w:val="26"/>
          <w:highlight w:val="none"/>
          <w:lang w:val="en-US" w:eastAsia="zh-CN"/>
        </w:rPr>
        <w:t>四</w:t>
      </w:r>
      <w:r>
        <w:rPr>
          <w:rFonts w:hint="eastAsia" w:ascii="Times New Roman" w:hAnsi="Times New Roman" w:eastAsia="仿宋_GB2312" w:cs="Times New Roman"/>
          <w:color w:val="auto"/>
          <w:sz w:val="26"/>
          <w:szCs w:val="26"/>
          <w:highlight w:val="none"/>
          <w:lang w:val="en-US" w:eastAsia="zh-CN"/>
        </w:rPr>
        <w:t>、各使用单位或个人对《标准勘察设计招标文件》的修改意见和建议，请及时反馈省交通运输厅（地址：辽宁省沈阳市和平区十三纬路十九号，电话：024-31230880）。</w:t>
      </w: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p>
    <w:p>
      <w:pPr>
        <w:pStyle w:val="28"/>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sectPr>
          <w:headerReference r:id="rId6" w:type="default"/>
          <w:footerReference r:id="rId7" w:type="default"/>
          <w:footerReference r:id="rId8" w:type="even"/>
          <w:footnotePr>
            <w:numFmt w:val="decimalEnclosedCircleChinese"/>
            <w:numRestart w:val="eachPage"/>
          </w:footnotePr>
          <w:pgSz w:w="11907" w:h="16840"/>
          <w:pgMar w:top="1588" w:right="1588" w:bottom="1474" w:left="1644" w:header="851" w:footer="851" w:gutter="0"/>
          <w:pgNumType w:start="0"/>
          <w:cols w:space="720" w:num="1"/>
          <w:docGrid w:linePitch="312" w:charSpace="0"/>
        </w:sect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eastAsia="黑体" w:cs="Times New Roman"/>
          <w:color w:val="auto"/>
          <w:sz w:val="31"/>
          <w:szCs w:val="31"/>
          <w:highlight w:val="none"/>
          <w:u w:val="none"/>
          <w:lang w:val="en-US" w:eastAsia="zh-CN"/>
        </w:rPr>
      </w:pPr>
      <w:r>
        <w:rPr>
          <w:rFonts w:hint="eastAsia" w:eastAsia="黑体" w:cs="Times New Roman"/>
          <w:color w:val="auto"/>
          <w:sz w:val="31"/>
          <w:szCs w:val="31"/>
          <w:highlight w:val="none"/>
          <w:u w:val="none"/>
          <w:lang w:val="en-US" w:eastAsia="zh-CN"/>
        </w:rPr>
        <w:t>辽宁</w:t>
      </w:r>
      <w:r>
        <w:rPr>
          <w:rFonts w:hint="eastAsia" w:ascii="Times New Roman" w:eastAsia="黑体" w:cs="Times New Roman"/>
          <w:color w:val="auto"/>
          <w:sz w:val="31"/>
          <w:szCs w:val="31"/>
          <w:highlight w:val="none"/>
          <w:u w:val="none"/>
          <w:lang w:val="en-US" w:eastAsia="zh-CN"/>
        </w:rPr>
        <w:t>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eastAsia" w:ascii="Times New Roman" w:eastAsia="黑体" w:cs="Times New Roman"/>
          <w:color w:val="auto"/>
          <w:sz w:val="31"/>
          <w:szCs w:val="31"/>
          <w:highlight w:val="none"/>
          <w:u w:val="single"/>
          <w:lang w:val="en-US" w:eastAsia="zh-CN"/>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勘察设计招标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r>
        <w:rPr>
          <w:rFonts w:hint="default" w:ascii="Times New Roman" w:hAnsi="Times New Roman" w:eastAsia="黑体" w:cs="Times New Roman"/>
          <w:b w:val="0"/>
          <w:bCs w:val="0"/>
          <w:color w:val="auto"/>
          <w:sz w:val="31"/>
          <w:szCs w:val="31"/>
          <w:highlight w:val="none"/>
        </w:rPr>
        <w:t>（</w:t>
      </w:r>
      <w:r>
        <w:rPr>
          <w:rFonts w:hint="eastAsia" w:eastAsia="黑体" w:cs="Times New Roman"/>
          <w:b w:val="0"/>
          <w:bCs w:val="0"/>
          <w:color w:val="auto"/>
          <w:sz w:val="31"/>
          <w:szCs w:val="31"/>
          <w:highlight w:val="none"/>
          <w:lang w:eastAsia="zh-CN"/>
        </w:rPr>
        <w:t>项目编号</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jc w:val="right"/>
        <w:rPr>
          <w:rFonts w:hint="default" w:ascii="Times New Roman" w:hAnsi="Times New Roman" w:cs="Times New Roman"/>
          <w:color w:val="auto"/>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highlight w:val="none"/>
        </w:rPr>
      </w:pPr>
    </w:p>
    <w:p>
      <w:pPr>
        <w:pageBreakBefore w:val="0"/>
        <w:kinsoku/>
        <w:wordWrap w:val="0"/>
        <w:overflowPunct/>
        <w:bidi w:val="0"/>
        <w:jc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color w:val="auto"/>
          <w:sz w:val="44"/>
          <w:highlight w:val="none"/>
        </w:rPr>
        <w:t>招</w:t>
      </w:r>
      <w:r>
        <w:rPr>
          <w:rFonts w:hint="eastAsia"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标</w:t>
      </w:r>
      <w:r>
        <w:rPr>
          <w:rFonts w:hint="eastAsia"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文</w:t>
      </w:r>
      <w:r>
        <w:rPr>
          <w:rFonts w:hint="eastAsia"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件</w:t>
      </w: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700" w:lineRule="exact"/>
        <w:ind w:firstLine="2259" w:firstLineChars="807"/>
        <w:rPr>
          <w:rFonts w:hint="default" w:ascii="Times New Roman" w:hAnsi="Times New Roman" w:eastAsia="仿宋_GB2312" w:cs="Times New Roman"/>
          <w:color w:val="auto"/>
          <w:sz w:val="26"/>
          <w:szCs w:val="26"/>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r>
        <w:rPr>
          <w:rFonts w:hint="default" w:ascii="Times New Roman" w:hAnsi="Times New Roman" w:eastAsia="仿宋_GB2312" w:cs="Times New Roman"/>
          <w:color w:val="auto"/>
          <w:sz w:val="26"/>
          <w:szCs w:val="26"/>
          <w:highlight w:val="none"/>
        </w:rPr>
        <w:br w:type="page"/>
      </w:r>
    </w:p>
    <w:p>
      <w:pPr>
        <w:pStyle w:val="28"/>
        <w:pageBreakBefore w:val="0"/>
        <w:kinsoku/>
        <w:wordWrap w:val="0"/>
        <w:overflowPunct/>
        <w:bidi w:val="0"/>
        <w:spacing w:line="420" w:lineRule="atLeast"/>
        <w:ind w:firstLine="520"/>
        <w:rPr>
          <w:rFonts w:hint="default" w:ascii="Times New Roman" w:hAnsi="Times New Roman" w:eastAsia="仿宋_GB2312" w:cs="Times New Roman"/>
          <w:color w:val="auto"/>
          <w:sz w:val="26"/>
          <w:szCs w:val="26"/>
          <w:highlight w:val="none"/>
        </w:rPr>
        <w:sectPr>
          <w:headerReference r:id="rId9" w:type="first"/>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ageBreakBefore w:val="0"/>
        <w:kinsoku/>
        <w:wordWrap w:val="0"/>
        <w:overflowPunct/>
        <w:bidi w:val="0"/>
        <w:spacing w:line="352" w:lineRule="atLeast"/>
        <w:jc w:val="center"/>
        <w:outlineLvl w:val="0"/>
        <w:rPr>
          <w:rFonts w:hint="default" w:ascii="Times New Roman" w:hAnsi="Times New Roman" w:eastAsia="黑体" w:cs="Times New Roman"/>
          <w:color w:val="auto"/>
          <w:sz w:val="36"/>
          <w:szCs w:val="36"/>
          <w:highlight w:val="none"/>
        </w:rPr>
      </w:pPr>
      <w:bookmarkStart w:id="1" w:name="_Toc1519"/>
      <w:bookmarkStart w:id="2" w:name="_Toc30501"/>
      <w:bookmarkStart w:id="3" w:name="_Toc21483"/>
      <w:bookmarkStart w:id="4" w:name="_Toc811"/>
      <w:bookmarkStart w:id="5" w:name="_Toc9789"/>
      <w:r>
        <w:rPr>
          <w:rFonts w:hint="default" w:ascii="Times New Roman" w:hAnsi="Times New Roman" w:eastAsia="黑体" w:cs="Times New Roman"/>
          <w:color w:val="auto"/>
          <w:sz w:val="36"/>
          <w:szCs w:val="36"/>
          <w:highlight w:val="none"/>
        </w:rPr>
        <w:t>目     录</w:t>
      </w:r>
      <w:bookmarkEnd w:id="1"/>
      <w:bookmarkEnd w:id="2"/>
      <w:bookmarkEnd w:id="3"/>
      <w:bookmarkEnd w:id="4"/>
      <w:bookmarkEnd w:id="5"/>
    </w:p>
    <w:p>
      <w:pPr>
        <w:pageBreakBefore w:val="0"/>
        <w:kinsoku/>
        <w:wordWrap w:val="0"/>
        <w:overflowPunct/>
        <w:bidi w:val="0"/>
        <w:spacing w:line="352" w:lineRule="atLeast"/>
        <w:jc w:val="center"/>
        <w:rPr>
          <w:rFonts w:hint="default" w:ascii="Times New Roman" w:hAnsi="Times New Roman" w:eastAsia="黑体" w:cs="Times New Roman"/>
          <w:color w:val="auto"/>
          <w:sz w:val="30"/>
          <w:szCs w:val="30"/>
          <w:highlight w:val="none"/>
        </w:rPr>
      </w:pP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fldChar w:fldCharType="begin"/>
      </w:r>
      <w:r>
        <w:rPr>
          <w:rFonts w:hint="default" w:ascii="Times New Roman" w:hAnsi="Times New Roman" w:eastAsia="黑体" w:cs="Times New Roman"/>
          <w:color w:val="auto"/>
          <w:sz w:val="30"/>
          <w:szCs w:val="30"/>
          <w:highlight w:val="none"/>
        </w:rPr>
        <w:instrText xml:space="preserve"> HYPERLINK \l _Toc14396 </w:instrText>
      </w:r>
      <w:r>
        <w:rPr>
          <w:rFonts w:hint="default" w:ascii="Times New Roman" w:hAnsi="Times New Roman" w:eastAsia="黑体" w:cs="Times New Roman"/>
          <w:color w:val="auto"/>
          <w:sz w:val="30"/>
          <w:szCs w:val="30"/>
          <w:highlight w:val="none"/>
        </w:rPr>
        <w:fldChar w:fldCharType="separate"/>
      </w:r>
      <w:r>
        <w:rPr>
          <w:rFonts w:hint="default" w:ascii="Times New Roman" w:hAnsi="Times New Roman" w:eastAsia="黑体" w:cs="Times New Roman"/>
          <w:color w:val="auto"/>
          <w:sz w:val="30"/>
          <w:szCs w:val="30"/>
          <w:highlight w:val="none"/>
        </w:rPr>
        <w:t>第一卷</w:t>
      </w:r>
      <w:r>
        <w:rPr>
          <w:rFonts w:hint="default" w:ascii="Times New Roman" w:hAnsi="Times New Roman" w:eastAsia="黑体" w:cs="Times New Roman"/>
          <w:color w:val="auto"/>
          <w:sz w:val="30"/>
          <w:szCs w:val="3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TOC \o "1-3" \h \z \u </w:instrText>
      </w:r>
      <w:r>
        <w:rPr>
          <w:rFonts w:hint="default" w:ascii="Times New Roman" w:hAnsi="Times New Roman" w:eastAsia="宋体" w:cs="Times New Roman"/>
          <w:color w:val="auto"/>
          <w:sz w:val="20"/>
          <w:szCs w:val="20"/>
          <w:highlight w:val="none"/>
        </w:rPr>
        <w:fldChar w:fldCharType="separate"/>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_Toc15686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第一章  招标公告</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_Toc15686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2</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_Toc14683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 招标条件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_Toc14683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_Toc21259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 项目概况与招标范围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_Toc21259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_Toc5536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投标人资格要求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_Toc5536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_Toc8264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 技术成果经济补偿</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_Toc8264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_Toc2055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 招标文件的获取</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_Toc2055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_Toc680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 投标文件的递交及相关事宜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_Toc19991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i w:val="0"/>
          <w:iCs w:val="0"/>
          <w:color w:val="auto"/>
          <w:kern w:val="44"/>
          <w:sz w:val="20"/>
          <w:szCs w:val="20"/>
          <w:highlight w:val="none"/>
          <w:lang w:val="en-US" w:eastAsia="zh-CN" w:bidi="ar-SA"/>
        </w:rPr>
        <w:t>7. 评标办法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_Toc19991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_Toc1796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val="en-US" w:eastAsia="zh-CN"/>
        </w:rPr>
        <w:t>8</w:t>
      </w:r>
      <w:r>
        <w:rPr>
          <w:rFonts w:hint="default" w:ascii="Times New Roman" w:hAnsi="Times New Roman" w:eastAsia="宋体" w:cs="Times New Roman"/>
          <w:color w:val="auto"/>
          <w:sz w:val="20"/>
          <w:szCs w:val="20"/>
          <w:highlight w:val="none"/>
        </w:rPr>
        <w:t>. 发布公告的媒介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_Toc1796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_Toc25340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val="en-US" w:eastAsia="zh-CN"/>
        </w:rPr>
        <w:t>9</w:t>
      </w:r>
      <w:r>
        <w:rPr>
          <w:rFonts w:hint="default" w:ascii="Times New Roman" w:hAnsi="Times New Roman" w:eastAsia="宋体" w:cs="Times New Roman"/>
          <w:color w:val="auto"/>
          <w:sz w:val="20"/>
          <w:szCs w:val="20"/>
          <w:highlight w:val="none"/>
        </w:rPr>
        <w:t>. 联系方式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_Toc25340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_Toc29068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第二章  投标人须知</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_Toc29068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7</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_Toc11867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投标人须知前附表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_Toc11867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_Toc8794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附录1  资格审查条件（资质最低要求）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_Toc8794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_Toc25734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附录2  资格审查条件（业绩最低要求）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_Toc25734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_Toc6776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附录3  资格审查条件（信誉最低要求）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_Toc6776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_Toc15986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附录4  资格审查条件（项目负责人最低要求）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_Toc15986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_Toc3969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附录5  资格审查条件（分项负责人最低要求）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_Toc3969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_Toc31246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 总则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_Toc31246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_Toc9007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 项目概况</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_Toc9007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_Toc10145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 招标项目的资金来源和落实情况</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_Toc10145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_Toc11323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 招标范围、勘察设计服务期限、质量要求和安全目标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_Toc11323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_Toc29774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 投标人资格要求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_Toc29774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_Toc14175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 费用承担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_Toc14175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_Toc1408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 保密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_Toc22922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 语言文字</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_Toc22922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_Toc21718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 计量单位</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_Toc21718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_Toc9384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 踏勘现场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_Toc9384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_Toc14405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1.10 投标预备会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_Toc14405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_Toc23461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1.11 分包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_Toc23461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_Toc24721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1.12 响应和偏差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_Toc24721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_Toc10137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 招标文件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_Toc10137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_Toc10317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 招标文件的组成</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_Toc10317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_Toc24381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2.2 招标文件的澄清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_Toc24381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_Toc8183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 招标文件的修改</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_Toc8183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_Toc15127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2.4 招标文件的异议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_Toc15127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_Toc26616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投标文件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_Toc26616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_Toc25604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 投标文件的组成</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_Toc25604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_Toc12165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3.2 投标报价</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_Toc12165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_Toc30467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3.3 投标有效期</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_Toc30467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_Toc12400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 投标保证金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_Toc12400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_Toc29802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 资格审查资料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_Toc29802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_Toc16919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 备选投标方案</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_Toc16919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_Toc12399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 投标文件的编制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_Toc12399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_Toc12988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 投标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_Toc12988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_Toc2436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4.1 投标文件的密封和标记</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_Toc23313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4.2 投标文件的递交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_Toc23313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_Toc22511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4.3 投标文件的修改与撤回</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_Toc22511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_Toc29489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 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_Toc29489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_Toc30858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5.1 开标时间和地点</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_Toc30858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_Toc32020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 开标程序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_Toc32020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_Toc9187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5.3 开标补救措施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_Toc9187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_Toc31651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5.4 开标异议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_Toc31651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_Toc5003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 评标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_Toc5003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_Toc9035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6.1 评标委员会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_Toc9035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_Toc3799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6.2 评标原则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_Toc3799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_Toc22590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6.3 评标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_Toc22590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_Toc663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 合同授予</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_Toc663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_Toc12239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7.1 中标候选人公示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_Toc12239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_Toc9104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7.2 评标结果异议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_Toc9104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_Toc5507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7.3 中标候选人履约能力审查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_Toc5507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_Toc22972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7.4 定标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_Toc22972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_Toc31179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7.5 中标通知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_Toc31179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_Toc25247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7.6 中标结果公告</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_Toc25247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_Toc24461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7.7 技术成果经济补偿</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_Toc24461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_Toc19252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7.8 履约保证金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_Toc19252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_Toc1758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7.9 签订合同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_Toc1758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_Toc9782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 纪律和监督</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_Toc9782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_Toc9881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8.1 对招标人的纪律要求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_Toc9881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_Toc18908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8.2 对投标人的纪律要求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_Toc18908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_Toc29632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8.3 对评标委员会成员的纪律要求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_Toc29632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_Toc30779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8.4 对与评标活动有关的工作人员的纪律要求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_Toc30779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_Toc27845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8.5 投诉</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_Toc27845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_Toc12264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 需要补充的其他内容</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_Toc12264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_Toc20521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 xml:space="preserve">附件一 开标记录表 </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_Toc20521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_Toc3739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附件二 问题澄清通知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_Toc3739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_Toc8472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附件三 问题的澄清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_Toc8472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_Toc15829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附件四 中标通知书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_Toc15829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_Toc29166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第三章  评标办法</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_Toc29166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43</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_Toc25057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评标办法前附表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_Toc25057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_Toc11203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 评标方法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_Toc11203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_Toc1440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 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_Toc877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_Toc4615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2.2 分值构成与评分标准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_Toc4615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_Toc4006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评标程序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_Toc4006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_Toc5686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3.1 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_Toc5686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_Toc20780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3.2 第一个信封详细评审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_Toc20780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_Toc3467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3.3 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_Toc3467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_Toc17686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3.4 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_Toc17686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_Toc6845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3.5 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_Toc6845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_Toc11974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3.6 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_Toc11974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_Toc12766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3.7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_Toc12766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_Toc25774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3.8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_Toc25774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_Toc27365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3.9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_Toc27365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_Toc17274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第四章  合同条款及格式</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_Toc17274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56</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_Toc25219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第一节 通用合同条款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_Toc25219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_Toc3005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 一般约定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_Toc3005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_Toc15101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 发包人义务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_Toc15101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_Toc26829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发包人管理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_Toc26829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_Toc9877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 设计人义务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_Toc9877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_Toc26007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 勘察设计要求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_Toc26007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_Toc13486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 开始勘察设计和完成勘察设计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_Toc13486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_Toc898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 暂停勘察设计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_Toc365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 勘察设计文件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_Toc11365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 勘察设计责任与保险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_Toc11365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_Toc20870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 招标和施工期间配合</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_Toc20870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_Toc3939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 合同变更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_Toc3939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_Toc21847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 合同价格与支付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_Toc21847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_Toc6511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 不可抗力</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_Toc6511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_Toc8639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 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_Toc8639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_Toc1975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 争议的解决</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_Toc1975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_Toc8964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第二节 专用合同条款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_Toc8964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_Toc19380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 一般约定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_Toc19380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_Toc31565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 发包人管理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_Toc31565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_Toc25399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4. 设计人义务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_Toc25399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_Toc11339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 勘察设计要求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_Toc11339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_Toc24519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 开始勘察设计和完成勘察设计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_Toc24519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_Toc9627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 勘察设计文件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_Toc9627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_Toc19962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 招标和施工期间配合</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_Toc19962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_Toc22330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 合同变更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_Toc22330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_Toc9360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 合同价格与支付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_Toc9360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_Toc28862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 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_Toc28862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_Toc24913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 争议的解决</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_Toc24913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_Toc31534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第三节  合同附件格式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_Toc31534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_Toc27141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附件一 合同协议书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_Toc27141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_Toc10920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附件二 廉政合同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_Toc10920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_Toc14843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 xml:space="preserve">附件三 分项负责人最低要求 </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_Toc14843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_Toc28220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val="0"/>
          <w:color w:val="auto"/>
          <w:sz w:val="20"/>
          <w:szCs w:val="20"/>
          <w:highlight w:val="none"/>
        </w:rPr>
        <w:t>附件四 履约保证金格式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_Toc28220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30"/>
          <w:szCs w:val="30"/>
          <w:highlight w:val="none"/>
        </w:rPr>
      </w:pP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fldChar w:fldCharType="begin"/>
      </w:r>
      <w:r>
        <w:rPr>
          <w:rFonts w:hint="default" w:ascii="Times New Roman" w:hAnsi="Times New Roman" w:eastAsia="黑体" w:cs="Times New Roman"/>
          <w:color w:val="auto"/>
          <w:sz w:val="30"/>
          <w:szCs w:val="30"/>
          <w:highlight w:val="none"/>
        </w:rPr>
        <w:instrText xml:space="preserve"> HYPERLINK \l _Toc26875 </w:instrText>
      </w:r>
      <w:r>
        <w:rPr>
          <w:rFonts w:hint="default" w:ascii="Times New Roman" w:hAnsi="Times New Roman" w:eastAsia="黑体" w:cs="Times New Roman"/>
          <w:color w:val="auto"/>
          <w:sz w:val="30"/>
          <w:szCs w:val="30"/>
          <w:highlight w:val="none"/>
        </w:rPr>
        <w:fldChar w:fldCharType="separate"/>
      </w:r>
      <w:r>
        <w:rPr>
          <w:rFonts w:hint="default" w:ascii="Times New Roman" w:hAnsi="Times New Roman" w:eastAsia="黑体" w:cs="Times New Roman"/>
          <w:color w:val="auto"/>
          <w:sz w:val="30"/>
          <w:szCs w:val="30"/>
          <w:highlight w:val="none"/>
        </w:rPr>
        <w:t>第二卷</w:t>
      </w:r>
      <w:r>
        <w:rPr>
          <w:rFonts w:hint="default" w:ascii="Times New Roman" w:hAnsi="Times New Roman" w:eastAsia="黑体" w:cs="Times New Roman"/>
          <w:color w:val="auto"/>
          <w:sz w:val="30"/>
          <w:szCs w:val="30"/>
          <w:highlight w:val="none"/>
        </w:rPr>
        <w:fldChar w:fldCharType="end"/>
      </w:r>
    </w:p>
    <w:p>
      <w:pPr>
        <w:rPr>
          <w:rFonts w:hint="default"/>
          <w:color w:val="auto"/>
          <w:highlight w:val="none"/>
        </w:rPr>
      </w:pP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_Toc14248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第五章  发包人要求</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_Toc14248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105</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30"/>
          <w:szCs w:val="30"/>
          <w:highlight w:val="none"/>
        </w:rPr>
      </w:pP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fldChar w:fldCharType="begin"/>
      </w:r>
      <w:r>
        <w:rPr>
          <w:rFonts w:hint="default" w:ascii="Times New Roman" w:hAnsi="Times New Roman" w:eastAsia="黑体" w:cs="Times New Roman"/>
          <w:color w:val="auto"/>
          <w:sz w:val="30"/>
          <w:szCs w:val="30"/>
          <w:highlight w:val="none"/>
        </w:rPr>
        <w:instrText xml:space="preserve"> HYPERLINK \l _Toc16024 </w:instrText>
      </w:r>
      <w:r>
        <w:rPr>
          <w:rFonts w:hint="default" w:ascii="Times New Roman" w:hAnsi="Times New Roman" w:eastAsia="黑体" w:cs="Times New Roman"/>
          <w:color w:val="auto"/>
          <w:sz w:val="30"/>
          <w:szCs w:val="30"/>
          <w:highlight w:val="none"/>
        </w:rPr>
        <w:fldChar w:fldCharType="separate"/>
      </w:r>
      <w:r>
        <w:rPr>
          <w:rFonts w:hint="default" w:ascii="Times New Roman" w:hAnsi="Times New Roman" w:eastAsia="黑体" w:cs="Times New Roman"/>
          <w:color w:val="auto"/>
          <w:sz w:val="30"/>
          <w:szCs w:val="30"/>
          <w:highlight w:val="none"/>
        </w:rPr>
        <w:t>第三卷</w:t>
      </w:r>
      <w:r>
        <w:rPr>
          <w:rFonts w:hint="default" w:ascii="Times New Roman" w:hAnsi="Times New Roman" w:eastAsia="黑体" w:cs="Times New Roman"/>
          <w:color w:val="auto"/>
          <w:sz w:val="30"/>
          <w:szCs w:val="30"/>
          <w:highlight w:val="none"/>
        </w:rPr>
        <w:fldChar w:fldCharType="end"/>
      </w:r>
    </w:p>
    <w:p>
      <w:pPr>
        <w:rPr>
          <w:rFonts w:hint="default"/>
          <w:color w:val="auto"/>
          <w:highlight w:val="none"/>
        </w:rPr>
      </w:pP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HYPERLINK \l _Toc464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第六章  投标文件格式</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_Toc464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112</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_Toc23867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目     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_Toc23867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_Toc5168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一、投标函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_Toc5168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_Toc10848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二、授权委托书或法定代表人身份证明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_Toc10848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9"/>
        <w:keepNext w:val="0"/>
        <w:keepLines w:val="0"/>
        <w:pageBreakBefore w:val="0"/>
        <w:widowControl w:val="0"/>
        <w:tabs>
          <w:tab w:val="right" w:leader="dot" w:pos="867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_Toc12948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color w:val="auto"/>
          <w:kern w:val="0"/>
          <w:sz w:val="20"/>
          <w:szCs w:val="20"/>
          <w:highlight w:val="none"/>
        </w:rPr>
        <w:t>（一）授权委托书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_Toc12948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9"/>
        <w:keepNext w:val="0"/>
        <w:keepLines w:val="0"/>
        <w:pageBreakBefore w:val="0"/>
        <w:widowControl w:val="0"/>
        <w:tabs>
          <w:tab w:val="right" w:leader="dot" w:pos="867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_Toc1497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color w:val="auto"/>
          <w:kern w:val="0"/>
          <w:sz w:val="20"/>
          <w:szCs w:val="20"/>
          <w:highlight w:val="none"/>
        </w:rPr>
        <w:t>（二）法定代表人身份证明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_Toc1497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_Toc9179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三、联合体协议书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_Toc9179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_Toc12309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四、投标保证金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_Toc12309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_Toc3988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五、拟分包项目情况表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_Toc3988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_Toc32705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六、资格审查资料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_Toc32705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_Toc29102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（一）投标人基本情况表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_Toc29102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_Toc18742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（二）投标人企业组织机构框图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_Toc18742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_Toc7327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（三）近年完成的类似项目情况表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_Toc7327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_Toc11923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（四）投标人的信誉情况表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_Toc11923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_Toc17823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（五）拟委任的项目负责人资历表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_Toc17823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_Toc1398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（六）拟委任的分项负责人汇总表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_Toc13296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（七） 拟委任的分项负责人资历表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_Toc13296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_Toc10161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val="en-US" w:eastAsia="zh-CN"/>
        </w:rPr>
        <w:t>七</w:t>
      </w:r>
      <w:r>
        <w:rPr>
          <w:rFonts w:hint="default" w:ascii="Times New Roman" w:hAnsi="Times New Roman" w:eastAsia="宋体" w:cs="Times New Roman"/>
          <w:color w:val="auto"/>
          <w:sz w:val="20"/>
          <w:szCs w:val="20"/>
          <w:highlight w:val="none"/>
        </w:rPr>
        <w:t>、投标人告知承诺函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_Toc10161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_Toc13139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val="en-US" w:eastAsia="zh-CN"/>
        </w:rPr>
        <w:t>八、 技术建议</w:t>
      </w:r>
      <w:r>
        <w:rPr>
          <w:rFonts w:hint="default" w:ascii="Times New Roman" w:hAnsi="Times New Roman" w:eastAsia="宋体" w:cs="Times New Roman"/>
          <w:color w:val="auto"/>
          <w:sz w:val="20"/>
          <w:szCs w:val="20"/>
          <w:highlight w:val="none"/>
        </w:rPr>
        <w:t>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_Toc13139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_Toc28269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lang w:val="en-US" w:eastAsia="zh-CN"/>
        </w:rPr>
        <w:t>九</w:t>
      </w:r>
      <w:r>
        <w:rPr>
          <w:rFonts w:hint="default" w:ascii="Times New Roman" w:hAnsi="Times New Roman" w:eastAsia="宋体" w:cs="Times New Roman"/>
          <w:color w:val="auto"/>
          <w:sz w:val="20"/>
          <w:szCs w:val="20"/>
          <w:highlight w:val="none"/>
        </w:rPr>
        <w:t>、其他资料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_Toc28269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_Toc11022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目  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_Toc11022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_Toc21398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一、投标函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_Toc21398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_Toc1580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二、勘察设计费用清单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_Toc21388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val="0"/>
          <w:color w:val="auto"/>
          <w:kern w:val="2"/>
          <w:sz w:val="20"/>
          <w:szCs w:val="20"/>
          <w:highlight w:val="none"/>
        </w:rPr>
        <w:t>（一）报价清单说明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_Toc21388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_Toc16112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val="0"/>
          <w:color w:val="auto"/>
          <w:kern w:val="2"/>
          <w:sz w:val="20"/>
          <w:szCs w:val="20"/>
          <w:highlight w:val="none"/>
        </w:rPr>
        <w:t>（二）公路工程勘察工作报价清单表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_Toc16112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_Toc14697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bCs w:val="0"/>
          <w:color w:val="auto"/>
          <w:kern w:val="2"/>
          <w:sz w:val="20"/>
          <w:szCs w:val="20"/>
          <w:highlight w:val="none"/>
        </w:rPr>
        <w:t>（三）公路工程设计工作报价清单表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_Toc14697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keepNext w:val="0"/>
        <w:keepLines w:val="0"/>
        <w:pageBreakBefore w:val="0"/>
        <w:widowControl w:val="0"/>
        <w:tabs>
          <w:tab w:val="right" w:leader="dot" w:pos="8675"/>
          <w:tab w:val="clear" w:pos="8805"/>
        </w:tabs>
        <w:kinsoku/>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HYPERLINK \l _Toc11907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（四）报价清单汇总表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_Toc11907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sz w:val="20"/>
          <w:szCs w:val="20"/>
          <w:highlight w:val="none"/>
        </w:rPr>
        <w:fldChar w:fldCharType="end"/>
      </w:r>
    </w:p>
    <w:p>
      <w:pPr>
        <w:pStyle w:val="33"/>
        <w:pageBreakBefore w:val="0"/>
        <w:tabs>
          <w:tab w:val="right" w:leader="dot" w:pos="8788"/>
          <w:tab w:val="clear" w:pos="8805"/>
        </w:tabs>
        <w:kinsoku/>
        <w:wordWrap w:val="0"/>
        <w:overflowPunct/>
        <w:bidi w:val="0"/>
        <w:spacing w:line="440" w:lineRule="exact"/>
        <w:ind w:firstLine="562" w:firstLineChars="281"/>
        <w:rPr>
          <w:rFonts w:hint="default" w:ascii="Times New Roman" w:hAnsi="Times New Roman" w:eastAsia="黑体" w:cs="Times New Roman"/>
          <w:color w:val="auto"/>
          <w:sz w:val="24"/>
          <w:highlight w:val="none"/>
        </w:rPr>
      </w:pPr>
      <w:r>
        <w:rPr>
          <w:rFonts w:hint="default" w:ascii="Times New Roman" w:hAnsi="Times New Roman" w:eastAsia="宋体" w:cs="Times New Roman"/>
          <w:color w:val="auto"/>
          <w:sz w:val="20"/>
          <w:szCs w:val="20"/>
          <w:highlight w:val="none"/>
        </w:rPr>
        <w:fldChar w:fldCharType="end"/>
      </w:r>
    </w:p>
    <w:p>
      <w:pPr>
        <w:pStyle w:val="33"/>
        <w:tabs>
          <w:tab w:val="right" w:leader="dot" w:pos="8788"/>
          <w:tab w:val="clear" w:pos="8805"/>
        </w:tabs>
        <w:ind w:firstLine="282" w:firstLineChars="141"/>
        <w:rPr>
          <w:rFonts w:hint="default" w:ascii="Times New Roman" w:hAnsi="Times New Roman" w:eastAsia="楷体_GB2312" w:cs="Times New Roman"/>
          <w:color w:val="auto"/>
          <w:szCs w:val="21"/>
          <w:highlight w:val="none"/>
        </w:rPr>
        <w:sectPr>
          <w:headerReference r:id="rId10" w:type="default"/>
          <w:footerReference r:id="rId11" w:type="default"/>
          <w:footnotePr>
            <w:numFmt w:val="decimalEnclosedCircleChinese"/>
            <w:numRestart w:val="eachPage"/>
          </w:footnotePr>
          <w:pgSz w:w="11907" w:h="16840"/>
          <w:pgMar w:top="1588" w:right="1588" w:bottom="1474" w:left="1644" w:header="851" w:footer="851" w:gutter="0"/>
          <w:pgNumType w:fmt="upperRoman" w:start="1"/>
          <w:cols w:space="425" w:num="1"/>
          <w:docGrid w:linePitch="312" w:charSpace="0"/>
        </w:sectPr>
      </w:pP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6" w:name="_Toc4094"/>
      <w:bookmarkStart w:id="7" w:name="_Toc16450"/>
      <w:bookmarkStart w:id="8" w:name="_Toc748"/>
      <w:bookmarkStart w:id="9" w:name="_Toc17825"/>
      <w:bookmarkStart w:id="10" w:name="_Toc234832844"/>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6"/>
    <w:bookmarkEnd w:id="7"/>
    <w:bookmarkEnd w:id="8"/>
    <w:bookmarkEnd w:id="9"/>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148"/>
          <w:rFonts w:hint="default" w:ascii="Times New Roman" w:hAnsi="Times New Roman" w:eastAsia="黑体" w:cs="Times New Roman"/>
          <w:color w:val="auto"/>
          <w:sz w:val="42"/>
          <w:szCs w:val="42"/>
          <w:highlight w:val="none"/>
        </w:rPr>
      </w:pPr>
      <w:bookmarkStart w:id="11" w:name="_Toc14396"/>
      <w:bookmarkStart w:id="12" w:name="_Toc26642"/>
      <w:bookmarkStart w:id="13" w:name="_Toc8248"/>
      <w:r>
        <w:rPr>
          <w:rFonts w:hint="default" w:ascii="Times New Roman" w:hAnsi="Times New Roman" w:eastAsia="黑体" w:cs="Times New Roman"/>
          <w:color w:val="auto"/>
          <w:sz w:val="56"/>
          <w:szCs w:val="56"/>
          <w:highlight w:val="none"/>
        </w:rPr>
        <w:t>第一卷</w:t>
      </w:r>
      <w:bookmarkEnd w:id="11"/>
      <w:bookmarkEnd w:id="12"/>
      <w:bookmarkEnd w:id="13"/>
    </w:p>
    <w:p>
      <w:pPr>
        <w:pageBreakBefore w:val="0"/>
        <w:widowControl/>
        <w:kinsoku/>
        <w:wordWrap w:val="0"/>
        <w:overflowPunct/>
        <w:bidi w:val="0"/>
        <w:jc w:val="left"/>
        <w:rPr>
          <w:rFonts w:hint="default" w:ascii="Times New Roman" w:hAnsi="Times New Roman" w:eastAsia="黑体" w:cs="Times New Roman"/>
          <w:color w:val="auto"/>
          <w:sz w:val="56"/>
          <w:szCs w:val="56"/>
          <w:highlight w:val="none"/>
        </w:rPr>
        <w:sectPr>
          <w:headerReference r:id="rId12" w:type="default"/>
          <w:footerReference r:id="rId14" w:type="default"/>
          <w:headerReference r:id="rId13" w:type="even"/>
          <w:footerReference r:id="rId15" w:type="even"/>
          <w:footnotePr>
            <w:numFmt w:val="decimalEnclosedCircleChinese"/>
            <w:numRestart w:val="eachPage"/>
          </w:footnotePr>
          <w:pgSz w:w="11907" w:h="16840"/>
          <w:pgMar w:top="1588" w:right="1531" w:bottom="1644" w:left="1588" w:header="851" w:footer="851" w:gutter="0"/>
          <w:pgNumType w:fmt="decimal" w:start="1"/>
          <w:cols w:space="425" w:num="1"/>
          <w:docGrid w:linePitch="312" w:charSpace="0"/>
        </w:sectPr>
      </w:pPr>
      <w:r>
        <w:rPr>
          <w:rFonts w:hint="default" w:ascii="Times New Roman" w:hAnsi="Times New Roman" w:eastAsia="黑体" w:cs="Times New Roman"/>
          <w:color w:val="auto"/>
          <w:sz w:val="56"/>
          <w:szCs w:val="56"/>
          <w:highlight w:val="none"/>
        </w:rPr>
        <w:br w:type="page"/>
      </w:r>
    </w:p>
    <w:p>
      <w:pPr>
        <w:pageBreakBefore w:val="0"/>
        <w:widowControl/>
        <w:kinsoku/>
        <w:wordWrap w:val="0"/>
        <w:overflowPunct/>
        <w:bidi w:val="0"/>
        <w:jc w:val="left"/>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14" w:name="_Toc13343"/>
      <w:bookmarkStart w:id="15" w:name="_Toc25758"/>
      <w:bookmarkStart w:id="16" w:name="_Toc27145"/>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14"/>
    <w:bookmarkEnd w:id="15"/>
    <w:bookmarkEnd w:id="16"/>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17" w:name="_Toc10121"/>
      <w:bookmarkStart w:id="18" w:name="_Toc15686"/>
      <w:bookmarkStart w:id="19" w:name="_Toc10170"/>
      <w:bookmarkStart w:id="20" w:name="_Toc26619"/>
      <w:r>
        <w:rPr>
          <w:rFonts w:hint="default" w:ascii="Times New Roman" w:hAnsi="Times New Roman" w:eastAsia="黑体" w:cs="Times New Roman"/>
          <w:color w:val="auto"/>
          <w:sz w:val="56"/>
          <w:szCs w:val="56"/>
          <w:highlight w:val="none"/>
        </w:rPr>
        <w:t>第一章  招标公告</w:t>
      </w:r>
      <w:bookmarkEnd w:id="17"/>
      <w:bookmarkEnd w:id="18"/>
      <w:bookmarkEnd w:id="19"/>
      <w:bookmarkEnd w:id="20"/>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Style w:val="148"/>
          <w:rFonts w:hint="default" w:ascii="Times New Roman" w:hAnsi="Times New Roman" w:eastAsia="黑体" w:cs="Times New Roman"/>
          <w:color w:val="auto"/>
          <w:sz w:val="42"/>
          <w:szCs w:val="42"/>
          <w:highlight w:val="none"/>
        </w:rPr>
      </w:pPr>
      <w:r>
        <w:rPr>
          <w:rStyle w:val="148"/>
          <w:rFonts w:hint="default" w:ascii="Times New Roman" w:hAnsi="Times New Roman" w:eastAsia="黑体" w:cs="Times New Roman"/>
          <w:color w:val="auto"/>
          <w:sz w:val="42"/>
          <w:szCs w:val="42"/>
          <w:highlight w:val="none"/>
        </w:rPr>
        <w:br w:type="page"/>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0"/>
        <w:rPr>
          <w:rStyle w:val="148"/>
          <w:rFonts w:hint="default" w:ascii="Times New Roman" w:hAnsi="Times New Roman" w:eastAsia="黑体" w:cs="Times New Roman"/>
          <w:color w:val="auto"/>
          <w:sz w:val="42"/>
          <w:szCs w:val="42"/>
          <w:highlight w:val="none"/>
        </w:rPr>
        <w:sectPr>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auto"/>
          <w:sz w:val="42"/>
          <w:szCs w:val="42"/>
          <w:highlight w:val="none"/>
        </w:rPr>
      </w:pPr>
      <w:bookmarkStart w:id="21" w:name="_Toc2054"/>
      <w:bookmarkStart w:id="22" w:name="_Toc17468"/>
      <w:bookmarkStart w:id="23" w:name="_Toc15334"/>
      <w:bookmarkStart w:id="24" w:name="_Toc2376"/>
      <w:r>
        <w:rPr>
          <w:rStyle w:val="148"/>
          <w:rFonts w:hint="default" w:ascii="Times New Roman" w:hAnsi="Times New Roman" w:eastAsia="黑体" w:cs="Times New Roman"/>
          <w:color w:val="auto"/>
          <w:sz w:val="42"/>
          <w:szCs w:val="42"/>
          <w:highlight w:val="none"/>
        </w:rPr>
        <w:t>第一章  招标公告</w:t>
      </w:r>
      <w:bookmarkEnd w:id="10"/>
      <w:bookmarkEnd w:id="21"/>
      <w:r>
        <w:rPr>
          <w:rStyle w:val="56"/>
          <w:rFonts w:hint="default" w:ascii="Times New Roman" w:hAnsi="Times New Roman" w:eastAsia="黑体" w:cs="Times New Roman"/>
          <w:color w:val="auto"/>
          <w:sz w:val="42"/>
          <w:szCs w:val="42"/>
          <w:highlight w:val="none"/>
        </w:rPr>
        <w:footnoteReference w:id="0"/>
      </w:r>
      <w:bookmarkEnd w:id="22"/>
      <w:bookmarkEnd w:id="23"/>
      <w:bookmarkEnd w:id="24"/>
    </w:p>
    <w:p>
      <w:pPr>
        <w:pageBreakBefore w:val="0"/>
        <w:tabs>
          <w:tab w:val="center" w:pos="4153"/>
        </w:tabs>
        <w:kinsoku/>
        <w:wordWrap w:val="0"/>
        <w:overflowPunct/>
        <w:bidi w:val="0"/>
        <w:spacing w:line="440" w:lineRule="exact"/>
        <w:jc w:val="center"/>
        <w:rPr>
          <w:rFonts w:hint="default" w:ascii="Times New Roman" w:hAnsi="Times New Roman" w:eastAsia="黑体" w:cs="Times New Roman"/>
          <w:color w:val="auto"/>
          <w:sz w:val="17"/>
          <w:szCs w:val="17"/>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（项目名称）</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b w:val="0"/>
          <w:bCs w:val="0"/>
          <w:color w:val="auto"/>
          <w:sz w:val="28"/>
          <w:szCs w:val="28"/>
          <w:highlight w:val="none"/>
        </w:rPr>
        <w:t>（</w:t>
      </w:r>
      <w:r>
        <w:rPr>
          <w:rFonts w:hint="default" w:ascii="Times New Roman" w:hAnsi="Times New Roman" w:eastAsia="黑体" w:cs="Times New Roman"/>
          <w:b w:val="0"/>
          <w:bCs w:val="0"/>
          <w:color w:val="auto"/>
          <w:sz w:val="28"/>
          <w:szCs w:val="28"/>
          <w:highlight w:val="none"/>
          <w:lang w:val="en-US" w:eastAsia="zh-CN"/>
        </w:rPr>
        <w:t>标段</w:t>
      </w:r>
      <w:r>
        <w:rPr>
          <w:rFonts w:hint="default" w:ascii="Times New Roman" w:hAnsi="Times New Roman" w:eastAsia="黑体" w:cs="Times New Roman"/>
          <w:b w:val="0"/>
          <w:bCs w:val="0"/>
          <w:color w:val="auto"/>
          <w:sz w:val="28"/>
          <w:szCs w:val="28"/>
          <w:highlight w:val="none"/>
        </w:rPr>
        <w:t>名称）</w:t>
      </w:r>
      <w:r>
        <w:rPr>
          <w:rFonts w:hint="default" w:ascii="Times New Roman" w:hAnsi="Times New Roman" w:eastAsia="黑体" w:cs="Times New Roman"/>
          <w:color w:val="auto"/>
          <w:sz w:val="28"/>
          <w:szCs w:val="28"/>
          <w:highlight w:val="none"/>
        </w:rPr>
        <w:t>勘察设计招标公告</w:t>
      </w:r>
      <w:r>
        <w:rPr>
          <w:rStyle w:val="56"/>
          <w:rFonts w:hint="default" w:ascii="Times New Roman" w:hAnsi="Times New Roman" w:eastAsia="黑体" w:cs="Times New Roman"/>
          <w:color w:val="auto"/>
          <w:sz w:val="28"/>
          <w:szCs w:val="28"/>
          <w:highlight w:val="none"/>
        </w:rPr>
        <w:footnoteReference w:id="1"/>
      </w: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9"/>
          <w:szCs w:val="29"/>
          <w:highlight w:val="none"/>
        </w:rPr>
        <w:t xml:space="preserve"> </w:t>
      </w:r>
      <w:r>
        <w:rPr>
          <w:rFonts w:hint="default" w:ascii="Times New Roman" w:hAnsi="Times New Roman" w:eastAsia="黑体" w:cs="Times New Roman"/>
          <w:color w:val="auto"/>
          <w:sz w:val="20"/>
          <w:szCs w:val="20"/>
          <w:highlight w:val="none"/>
        </w:rPr>
        <w:t xml:space="preserve">               </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25" w:name="_Toc30486"/>
      <w:bookmarkStart w:id="26" w:name="_Toc10243"/>
      <w:bookmarkStart w:id="27" w:name="_Toc14683"/>
      <w:bookmarkStart w:id="28" w:name="_Toc234832845"/>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招标条件</w:t>
      </w:r>
      <w:bookmarkEnd w:id="25"/>
      <w:bookmarkEnd w:id="26"/>
      <w:bookmarkEnd w:id="27"/>
      <w:bookmarkEnd w:id="28"/>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（批文名称及编号）批准建设，项目业主为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本项目勘察设计的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。项目已具备招标条件，现对该项目的勘察设计进行公开招标。 </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29" w:name="_Toc234832846"/>
      <w:bookmarkStart w:id="30" w:name="_Toc28128"/>
      <w:bookmarkStart w:id="31" w:name="_Toc22554"/>
      <w:bookmarkStart w:id="32" w:name="_Toc21259"/>
      <w:r>
        <w:rPr>
          <w:rFonts w:hint="default" w:ascii="Times New Roman" w:hAnsi="Times New Roman" w:eastAsia="黑体" w:cs="Times New Roman"/>
          <w:color w:val="auto"/>
          <w:sz w:val="28"/>
          <w:szCs w:val="28"/>
          <w:highlight w:val="none"/>
        </w:rPr>
        <w:t>2. 项目概况与招标范围</w:t>
      </w:r>
      <w:bookmarkEnd w:id="29"/>
      <w:bookmarkEnd w:id="30"/>
      <w:bookmarkEnd w:id="31"/>
      <w:bookmarkEnd w:id="32"/>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2.1项目概况</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w:t>
      </w:r>
      <w:r>
        <w:rPr>
          <w:rFonts w:hint="eastAsia" w:cs="Times New Roman"/>
          <w:color w:val="auto"/>
          <w:sz w:val="24"/>
          <w:highlight w:val="none"/>
          <w:u w:val="none"/>
          <w:lang w:val="en-US" w:eastAsia="zh-CN"/>
        </w:rPr>
        <w:t>详细</w:t>
      </w:r>
      <w:r>
        <w:rPr>
          <w:rFonts w:hint="default" w:ascii="Times New Roman" w:hAnsi="Times New Roman" w:cs="Times New Roman"/>
          <w:color w:val="auto"/>
          <w:sz w:val="24"/>
          <w:highlight w:val="none"/>
          <w:u w:val="none"/>
        </w:rPr>
        <w:t>的建设地点、规模、</w:t>
      </w:r>
      <w:r>
        <w:rPr>
          <w:rFonts w:hint="eastAsia" w:cs="Times New Roman"/>
          <w:color w:val="auto"/>
          <w:sz w:val="24"/>
          <w:highlight w:val="none"/>
          <w:u w:val="none"/>
          <w:lang w:val="en-US" w:eastAsia="zh-CN"/>
        </w:rPr>
        <w:t>技术标准等信息</w:t>
      </w:r>
      <w:r>
        <w:rPr>
          <w:rFonts w:hint="default" w:ascii="Times New Roman" w:hAnsi="Times New Roman" w:cs="Times New Roman"/>
          <w:color w:val="auto"/>
          <w:sz w:val="24"/>
          <w:highlight w:val="none"/>
          <w:u w:val="none"/>
        </w:rPr>
        <w:t>。</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2.2标段划分</w:t>
      </w:r>
    </w:p>
    <w:p>
      <w:pPr>
        <w:pageBreakBefore w:val="0"/>
        <w:kinsoku/>
        <w:wordWrap w:val="0"/>
        <w:bidi w:val="0"/>
        <w:spacing w:line="400" w:lineRule="atLeast"/>
        <w:ind w:firstLine="480" w:firstLineChars="200"/>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标段划分等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2.3招标范围</w:t>
      </w:r>
    </w:p>
    <w:p>
      <w:pPr>
        <w:pageBreakBefore w:val="0"/>
        <w:kinsoku/>
        <w:wordWrap w:val="0"/>
        <w:bidi w:val="0"/>
        <w:spacing w:line="400" w:lineRule="atLeast"/>
        <w:ind w:firstLine="480" w:firstLineChars="200"/>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招标范围等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cs="Times New Roman"/>
          <w:color w:val="auto"/>
          <w:sz w:val="24"/>
          <w:highlight w:val="none"/>
          <w:u w:val="none"/>
          <w:lang w:val="en-US" w:eastAsia="zh-CN"/>
        </w:rPr>
      </w:pPr>
      <w:r>
        <w:rPr>
          <w:rFonts w:hint="eastAsia" w:cs="Times New Roman"/>
          <w:color w:val="auto"/>
          <w:sz w:val="24"/>
          <w:highlight w:val="none"/>
          <w:u w:val="none"/>
          <w:lang w:val="en-US" w:eastAsia="zh-CN"/>
        </w:rPr>
        <w:t>2.4</w:t>
      </w:r>
      <w:r>
        <w:rPr>
          <w:rFonts w:hint="eastAsia"/>
          <w:color w:val="auto"/>
          <w:sz w:val="24"/>
          <w:highlight w:val="none"/>
          <w:u w:val="none"/>
        </w:rPr>
        <w:t>勘察设计服务期限</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none"/>
        </w:rPr>
        <w:t>说明本次招标项目的</w:t>
      </w:r>
      <w:r>
        <w:rPr>
          <w:rFonts w:hint="eastAsia"/>
          <w:color w:val="auto"/>
          <w:sz w:val="24"/>
          <w:highlight w:val="none"/>
        </w:rPr>
        <w:t>勘察设计服务期限</w:t>
      </w:r>
      <w:r>
        <w:rPr>
          <w:rFonts w:hint="default" w:ascii="Times New Roman" w:hAnsi="Times New Roman" w:cs="Times New Roman"/>
          <w:color w:val="auto"/>
          <w:sz w:val="24"/>
          <w:highlight w:val="none"/>
        </w:rPr>
        <w:t>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33" w:name="_Toc26847"/>
      <w:bookmarkStart w:id="34" w:name="_Toc234832847"/>
      <w:bookmarkStart w:id="35" w:name="_Toc23152"/>
      <w:bookmarkStart w:id="36" w:name="_Toc5536"/>
      <w:r>
        <w:rPr>
          <w:rFonts w:hint="default" w:ascii="Times New Roman" w:hAnsi="Times New Roman" w:eastAsia="黑体" w:cs="Times New Roman"/>
          <w:color w:val="auto"/>
          <w:sz w:val="28"/>
          <w:szCs w:val="28"/>
          <w:highlight w:val="none"/>
        </w:rPr>
        <w:t>3. 投标人资格要求</w:t>
      </w:r>
      <w:bookmarkEnd w:id="33"/>
      <w:bookmarkEnd w:id="34"/>
      <w:r>
        <w:rPr>
          <w:rStyle w:val="56"/>
          <w:rFonts w:hint="default" w:ascii="Times New Roman" w:hAnsi="Times New Roman" w:eastAsia="黑体" w:cs="Times New Roman"/>
          <w:color w:val="auto"/>
          <w:sz w:val="28"/>
          <w:szCs w:val="28"/>
          <w:highlight w:val="none"/>
        </w:rPr>
        <w:footnoteReference w:id="2"/>
      </w:r>
      <w:bookmarkEnd w:id="35"/>
      <w:bookmarkEnd w:id="36"/>
    </w:p>
    <w:p>
      <w:pPr>
        <w:pageBreakBefore w:val="0"/>
        <w:kinsoku/>
        <w:wordWrap w:val="0"/>
        <w:overflow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3.1 本次招标要求投标人在人员等方面具有相应的勘察设计能力</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的资格条件如下：</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3.1.1资质要求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3.1.2业绩要求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3.1.3信誉要求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3.1.4项目负责人要求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3.1.5其他要求</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根据《关于发布公路工程从业企业资质名录的通知》（厅公路字〔2011〕114号）要求，投标人如为名录范围的</w:t>
      </w:r>
      <w:r>
        <w:rPr>
          <w:rFonts w:hint="eastAsia" w:cs="Times New Roman"/>
          <w:color w:val="auto"/>
          <w:sz w:val="24"/>
          <w:highlight w:val="none"/>
          <w:lang w:val="en-US" w:eastAsia="zh-CN"/>
        </w:rPr>
        <w:t>设计</w:t>
      </w:r>
      <w:r>
        <w:rPr>
          <w:rFonts w:hint="default" w:ascii="Times New Roman" w:hAnsi="Times New Roman" w:cs="Times New Roman"/>
          <w:color w:val="auto"/>
          <w:sz w:val="24"/>
          <w:highlight w:val="none"/>
        </w:rPr>
        <w:t>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w:t>
      </w:r>
      <w:r>
        <w:rPr>
          <w:rFonts w:hint="eastAsia" w:cs="Times New Roman"/>
          <w:color w:val="auto"/>
          <w:sz w:val="24"/>
          <w:highlight w:val="none"/>
          <w:lang w:val="en-US" w:eastAsia="zh-CN"/>
        </w:rPr>
        <w:t>设计</w:t>
      </w:r>
      <w:r>
        <w:rPr>
          <w:rFonts w:hint="default" w:ascii="Times New Roman" w:hAnsi="Times New Roman" w:cs="Times New Roman"/>
          <w:color w:val="auto"/>
          <w:sz w:val="24"/>
          <w:highlight w:val="none"/>
        </w:rPr>
        <w:t>资质企业名录，且投标人名称和资质与该名录中的相应企业名称和资质完全一致。</w:t>
      </w:r>
      <w:r>
        <w:rPr>
          <w:rStyle w:val="56"/>
          <w:rFonts w:hint="default" w:ascii="Times New Roman" w:hAnsi="Times New Roman" w:cs="Times New Roman"/>
          <w:color w:val="auto"/>
          <w:highlight w:val="none"/>
        </w:rPr>
        <w:footnoteReference w:id="3"/>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u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2</w:t>
      </w:r>
      <w:r>
        <w:rPr>
          <w:rFonts w:hint="eastAsia" w:cs="Times New Roman"/>
          <w:color w:val="auto"/>
          <w:sz w:val="24"/>
          <w:highlight w:val="none"/>
          <w:lang w:eastAsia="zh-CN"/>
        </w:rPr>
        <w:t>）</w:t>
      </w:r>
      <w:r>
        <w:rPr>
          <w:rFonts w:hint="eastAsia" w:cs="Times New Roman"/>
          <w:color w:val="auto"/>
          <w:sz w:val="24"/>
          <w:highlight w:val="none"/>
          <w:u w:val="single"/>
          <w:lang w:val="en-US" w:eastAsia="zh-CN"/>
        </w:rPr>
        <w:t xml:space="preserve">              </w:t>
      </w:r>
      <w:r>
        <w:rPr>
          <w:rFonts w:hint="eastAsia" w:cs="Times New Roman"/>
          <w:color w:val="auto"/>
          <w:sz w:val="24"/>
          <w:highlight w:val="none"/>
          <w:u w:val="none"/>
          <w:lang w:val="en-US" w:eastAsia="zh-CN"/>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 本次招标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（接受或不接受）联合体投标。联合体投标的，应满足下列要求：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 每个投标人最多可对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（具体数量）个标段投标；被</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交通运输主管部门评为</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信用等级的投标人，最多可对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w:t>
      </w:r>
      <w:r>
        <w:rPr>
          <w:rStyle w:val="56"/>
          <w:rFonts w:hint="default" w:ascii="Times New Roman" w:hAnsi="Times New Roman" w:cs="Times New Roman"/>
          <w:color w:val="auto"/>
          <w:highlight w:val="none"/>
        </w:rPr>
        <w:footnoteReference w:id="4"/>
      </w:r>
      <w:r>
        <w:rPr>
          <w:rFonts w:hint="default" w:ascii="Times New Roman" w:hAnsi="Times New Roman" w:cs="Times New Roman"/>
          <w:color w:val="auto"/>
          <w:sz w:val="24"/>
          <w:highlight w:val="none"/>
        </w:rPr>
        <w:t>每个投标人允许中</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个标。</w:t>
      </w:r>
      <w:bookmarkStart w:id="37" w:name="_Hlk493498856"/>
      <w:r>
        <w:rPr>
          <w:rFonts w:hint="default" w:ascii="Times New Roman" w:hAnsi="Times New Roman" w:cs="Times New Roman"/>
          <w:color w:val="auto"/>
          <w:sz w:val="24"/>
          <w:highlight w:val="none"/>
        </w:rPr>
        <w:t>对投标人信用等级的认定条件为：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bookmarkEnd w:id="37"/>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w:t>
      </w:r>
      <w:bookmarkStart w:id="38" w:name="_Hlk493498874"/>
      <w:r>
        <w:rPr>
          <w:rFonts w:hint="default" w:ascii="Times New Roman" w:hAnsi="Times New Roman" w:cs="Times New Roman"/>
          <w:color w:val="auto"/>
          <w:sz w:val="24"/>
          <w:highlight w:val="none"/>
        </w:rPr>
        <w:t xml:space="preserve"> 与招标人存在利害关系可能影响招标公正性的单位，不得参加投标。</w:t>
      </w:r>
      <w:bookmarkEnd w:id="38"/>
      <w:r>
        <w:rPr>
          <w:rFonts w:hint="default" w:ascii="Times New Roman" w:hAnsi="Times New Roman" w:cs="Times New Roman"/>
          <w:color w:val="auto"/>
          <w:sz w:val="24"/>
          <w:highlight w:val="none"/>
        </w:rPr>
        <w:t>单位负责人为同一人或存在控股、管理关系的不同单位，不得参加同一标段投标，否则，相关投标均无效。</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sz w:val="24"/>
          <w:highlight w:val="none"/>
        </w:rPr>
        <w:t xml:space="preserve">3.5 </w:t>
      </w:r>
      <w:r>
        <w:rPr>
          <w:rFonts w:hint="default" w:ascii="Times New Roman" w:hAnsi="Times New Roman" w:cs="Times New Roman"/>
          <w:color w:val="auto"/>
          <w:kern w:val="28"/>
          <w:sz w:val="24"/>
          <w:highlight w:val="none"/>
        </w:rPr>
        <w:t>存在下列不良状况或不良信用记录的单位，不得以任何形式参加投标：</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网站（http://www.creditchina.gov.cn）（或中国执行信息公开网 http://zxgk.court.gov.cn/shixin/）中被列入失信被执行人名单；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（6）投标人或其法定代表人、拟委任的项目</w:t>
      </w:r>
      <w:r>
        <w:rPr>
          <w:rFonts w:hint="default" w:ascii="Times New Roman" w:hAnsi="Times New Roman" w:cs="Times New Roman"/>
          <w:color w:val="auto"/>
          <w:kern w:val="28"/>
          <w:sz w:val="24"/>
          <w:highlight w:val="none"/>
          <w:lang w:val="en-US" w:eastAsia="zh-CN"/>
        </w:rPr>
        <w:t>负责人</w:t>
      </w:r>
      <w:r>
        <w:rPr>
          <w:rFonts w:hint="default" w:ascii="Times New Roman" w:hAnsi="Times New Roman" w:cs="Times New Roman"/>
          <w:color w:val="auto"/>
          <w:kern w:val="28"/>
          <w:sz w:val="24"/>
          <w:highlight w:val="none"/>
        </w:rPr>
        <w:t>在近三年内有行贿犯罪行为的；</w:t>
      </w:r>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28"/>
          <w:sz w:val="24"/>
          <w:highlight w:val="none"/>
        </w:rPr>
        <w:t>（7）法律法规规定的其他情形。</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39" w:name="_Toc4218"/>
      <w:bookmarkStart w:id="40" w:name="_Toc8264"/>
      <w:bookmarkStart w:id="41" w:name="_Toc13645"/>
      <w:r>
        <w:rPr>
          <w:rFonts w:hint="default" w:ascii="Times New Roman" w:hAnsi="Times New Roman" w:eastAsia="黑体" w:cs="Times New Roman"/>
          <w:color w:val="auto"/>
          <w:sz w:val="28"/>
          <w:szCs w:val="28"/>
          <w:highlight w:val="none"/>
        </w:rPr>
        <w:t>4. 技术成果经济补偿</w:t>
      </w:r>
      <w:r>
        <w:rPr>
          <w:rFonts w:hint="default" w:ascii="Times New Roman" w:hAnsi="Times New Roman" w:eastAsia="黑体" w:cs="Times New Roman"/>
          <w:color w:val="auto"/>
          <w:sz w:val="28"/>
          <w:szCs w:val="28"/>
          <w:highlight w:val="none"/>
          <w:vertAlign w:val="superscript"/>
        </w:rPr>
        <w:footnoteReference w:id="5"/>
      </w:r>
      <w:bookmarkEnd w:id="39"/>
      <w:bookmarkEnd w:id="40"/>
      <w:bookmarkEnd w:id="41"/>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本次招标对未中标人投标文件中的技术成果</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（给予或不给予）经济补偿。</w:t>
      </w:r>
    </w:p>
    <w:p>
      <w:pPr>
        <w:keepNext w:val="0"/>
        <w:keepLines w:val="0"/>
        <w:pageBreakBefore w:val="0"/>
        <w:widowControl w:val="0"/>
        <w:tabs>
          <w:tab w:val="left" w:pos="360"/>
        </w:tabs>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给予经济补偿的，招标人将按如下标准支付经济补偿费：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42" w:name="_Toc234832848"/>
      <w:bookmarkStart w:id="43" w:name="_Toc2055"/>
      <w:bookmarkStart w:id="44" w:name="_Toc29192"/>
      <w:bookmarkStart w:id="45" w:name="_Toc27606"/>
      <w:r>
        <w:rPr>
          <w:rFonts w:hint="default" w:ascii="Times New Roman" w:hAnsi="Times New Roman" w:eastAsia="黑体" w:cs="Times New Roman"/>
          <w:color w:val="auto"/>
          <w:sz w:val="28"/>
          <w:szCs w:val="28"/>
          <w:highlight w:val="none"/>
        </w:rPr>
        <w:t>5. 招标文件的获取</w:t>
      </w:r>
      <w:bookmarkEnd w:id="42"/>
      <w:bookmarkEnd w:id="43"/>
      <w:bookmarkEnd w:id="44"/>
      <w:bookmarkEnd w:id="45"/>
      <w:r>
        <w:rPr>
          <w:rFonts w:hint="default" w:ascii="Times New Roman" w:hAnsi="Times New Roman" w:eastAsia="黑体" w:cs="Times New Roman"/>
          <w:color w:val="auto"/>
          <w:sz w:val="28"/>
          <w:szCs w:val="28"/>
          <w:highlight w:val="none"/>
        </w:rPr>
        <w:tab/>
      </w:r>
    </w:p>
    <w:p>
      <w:pPr>
        <w:keepNext w:val="0"/>
        <w:keepLines w:val="0"/>
        <w:pageBreakBefore w:val="0"/>
        <w:widowControl w:val="0"/>
        <w:tabs>
          <w:tab w:val="left" w:pos="360"/>
        </w:tabs>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rPr>
        <w:t>辽宁省公共资源交易</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一张网</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电子化平台</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eastAsia"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keepNext w:val="0"/>
        <w:keepLines w:val="0"/>
        <w:pageBreakBefore w:val="0"/>
        <w:widowControl w:val="0"/>
        <w:tabs>
          <w:tab w:val="left" w:pos="360"/>
        </w:tabs>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匿名免费下载招标文件和</w:t>
      </w:r>
      <w:r>
        <w:rPr>
          <w:rFonts w:hint="default" w:ascii="Times New Roman" w:hAnsi="Times New Roman" w:cs="Times New Roman"/>
          <w:color w:val="auto"/>
          <w:sz w:val="24"/>
          <w:highlight w:val="none"/>
        </w:rPr>
        <w:t>参考资料。联合体投标的，由联合体牵头人完成招标文件等资料下载。</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46" w:name="_Toc15125"/>
      <w:bookmarkStart w:id="47" w:name="_Toc20331"/>
      <w:bookmarkStart w:id="48" w:name="_Toc234832849"/>
      <w:bookmarkStart w:id="49" w:name="_Toc680"/>
      <w:r>
        <w:rPr>
          <w:rFonts w:hint="default" w:ascii="Times New Roman" w:hAnsi="Times New Roman" w:eastAsia="黑体" w:cs="Times New Roman"/>
          <w:color w:val="auto"/>
          <w:sz w:val="28"/>
          <w:szCs w:val="28"/>
          <w:highlight w:val="none"/>
        </w:rPr>
        <w:t>6. 投标文件的递交及相关事宜</w:t>
      </w:r>
      <w:bookmarkEnd w:id="46"/>
      <w:bookmarkEnd w:id="47"/>
      <w:bookmarkEnd w:id="48"/>
      <w:bookmarkEnd w:id="49"/>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.1 招标人将于下列时间和地点组织进行工程现场踏勘并召开投标预备会。</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highlight w:val="none"/>
        </w:rPr>
        <w:t>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分，投标人应在投标截止时间前，通过互联网使用CA数字证书登录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，将加密的投标文件上传。逾期未完成上传或未按规定加密的投标文件，招标人予以拒收。联合体投标的，由联合体牵头人完成投标文件的上传等工作。</w:t>
      </w:r>
    </w:p>
    <w:p>
      <w:pPr>
        <w:pStyle w:val="2"/>
        <w:pageBreakBefore w:val="0"/>
        <w:kinsoku/>
        <w:wordWrap w:val="0"/>
        <w:overflowPunct/>
        <w:bidi w:val="0"/>
        <w:spacing w:line="240" w:lineRule="auto"/>
        <w:jc w:val="left"/>
        <w:outlineLvl w:val="0"/>
        <w:rPr>
          <w:rFonts w:hint="default" w:ascii="Times New Roman" w:hAnsi="Times New Roman" w:eastAsia="黑体" w:cs="Times New Roman"/>
          <w:b w:val="0"/>
          <w:bCs/>
          <w:i w:val="0"/>
          <w:iCs w:val="0"/>
          <w:color w:val="auto"/>
          <w:kern w:val="44"/>
          <w:sz w:val="28"/>
          <w:szCs w:val="28"/>
          <w:highlight w:val="none"/>
          <w:lang w:val="en-US" w:eastAsia="zh-CN" w:bidi="ar-SA"/>
        </w:rPr>
      </w:pPr>
      <w:bookmarkStart w:id="50" w:name="_Toc16163"/>
      <w:bookmarkStart w:id="51" w:name="_Toc6994_WPSOffice_Level2"/>
      <w:bookmarkStart w:id="52" w:name="_Toc31627"/>
      <w:bookmarkStart w:id="53" w:name="_Toc27807"/>
      <w:bookmarkStart w:id="54" w:name="_Toc19991"/>
      <w:bookmarkStart w:id="55" w:name="_Toc234832850"/>
      <w:r>
        <w:rPr>
          <w:rFonts w:hint="default" w:ascii="Times New Roman" w:hAnsi="Times New Roman" w:cs="Times New Roman"/>
          <w:b w:val="0"/>
          <w:bCs/>
          <w:i w:val="0"/>
          <w:iCs w:val="0"/>
          <w:color w:val="auto"/>
          <w:kern w:val="44"/>
          <w:sz w:val="28"/>
          <w:szCs w:val="28"/>
          <w:highlight w:val="none"/>
          <w:lang w:val="en-US" w:eastAsia="zh-CN" w:bidi="ar-SA"/>
        </w:rPr>
        <w:t>7</w:t>
      </w:r>
      <w:r>
        <w:rPr>
          <w:rFonts w:hint="default" w:ascii="Times New Roman" w:hAnsi="Times New Roman" w:eastAsia="黑体" w:cs="Times New Roman"/>
          <w:b w:val="0"/>
          <w:bCs/>
          <w:i w:val="0"/>
          <w:iCs w:val="0"/>
          <w:color w:val="auto"/>
          <w:kern w:val="44"/>
          <w:sz w:val="28"/>
          <w:szCs w:val="28"/>
          <w:highlight w:val="none"/>
          <w:lang w:val="en-US" w:eastAsia="zh-CN" w:bidi="ar-SA"/>
        </w:rPr>
        <w:t>. 评标办法</w:t>
      </w:r>
      <w:bookmarkEnd w:id="50"/>
      <w:bookmarkEnd w:id="51"/>
      <w:bookmarkEnd w:id="52"/>
      <w:bookmarkEnd w:id="53"/>
      <w:bookmarkEnd w:id="54"/>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ageBreakBefore w:val="0"/>
        <w:kinsoku/>
        <w:wordWrap w:val="0"/>
        <w:overflowPunct w:val="0"/>
        <w:bidi w:val="0"/>
        <w:spacing w:before="240" w:after="240" w:line="360" w:lineRule="auto"/>
        <w:ind w:firstLine="0" w:firstLineChars="0"/>
        <w:outlineLvl w:val="0"/>
        <w:rPr>
          <w:rFonts w:hint="default" w:ascii="Times New Roman" w:hAnsi="Times New Roman" w:eastAsia="黑体" w:cs="Times New Roman"/>
          <w:color w:val="auto"/>
          <w:sz w:val="28"/>
          <w:szCs w:val="28"/>
          <w:highlight w:val="none"/>
        </w:rPr>
      </w:pPr>
      <w:bookmarkStart w:id="56" w:name="_Toc28226"/>
      <w:bookmarkStart w:id="57" w:name="_Toc1796"/>
      <w:r>
        <w:rPr>
          <w:rFonts w:hint="default" w:ascii="Times New Roman" w:hAnsi="Times New Roman" w:cs="Times New Roman"/>
          <w:color w:val="auto"/>
          <w:sz w:val="28"/>
          <w:szCs w:val="28"/>
          <w:highlight w:val="none"/>
          <w:lang w:val="en-US" w:eastAsia="zh-CN"/>
        </w:rPr>
        <w:t>8</w:t>
      </w:r>
      <w:r>
        <w:rPr>
          <w:rFonts w:hint="default" w:ascii="Times New Roman" w:hAnsi="Times New Roman" w:eastAsia="黑体" w:cs="Times New Roman"/>
          <w:color w:val="auto"/>
          <w:sz w:val="28"/>
          <w:szCs w:val="28"/>
          <w:highlight w:val="none"/>
        </w:rPr>
        <w:t>. 发布公告的媒介</w:t>
      </w:r>
      <w:bookmarkEnd w:id="55"/>
      <w:bookmarkEnd w:id="56"/>
      <w:bookmarkEnd w:id="57"/>
    </w:p>
    <w:p>
      <w:pPr>
        <w:pStyle w:val="17"/>
        <w:pageBreakBefore w:val="0"/>
        <w:widowControl w:val="0"/>
        <w:kinsoku/>
        <w:wordWrap w:val="0"/>
        <w:overflowPunct/>
        <w:topLinePunct/>
        <w:autoSpaceDE/>
        <w:autoSpaceDN/>
        <w:bidi w:val="0"/>
        <w:adjustRightInd/>
        <w:snapToGrid/>
        <w:spacing w:line="400" w:lineRule="atLeast"/>
        <w:ind w:firstLine="480" w:firstLineChars="200"/>
        <w:textAlignment w:val="auto"/>
        <w:rPr>
          <w:rFonts w:hint="default" w:ascii="Times New Roman" w:hAnsi="Times New Roman" w:cs="Times New Roman"/>
          <w:color w:val="auto"/>
          <w:szCs w:val="24"/>
          <w:highlight w:val="none"/>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p>
    <w:p>
      <w:pPr>
        <w:pStyle w:val="2"/>
        <w:pageBreakBefore w:val="0"/>
        <w:widowControl w:val="0"/>
        <w:kinsoku/>
        <w:wordWrap w:val="0"/>
        <w:overflowPunct/>
        <w:autoSpaceDE/>
        <w:autoSpaceDN/>
        <w:bidi w:val="0"/>
        <w:adjustRightInd/>
        <w:snapToGrid/>
        <w:spacing w:before="240" w:after="240" w:line="240" w:lineRule="atLeast"/>
        <w:textAlignment w:val="auto"/>
        <w:rPr>
          <w:rFonts w:hint="default" w:ascii="Times New Roman" w:hAnsi="Times New Roman" w:eastAsia="黑体" w:cs="Times New Roman"/>
          <w:color w:val="auto"/>
          <w:sz w:val="28"/>
          <w:szCs w:val="28"/>
          <w:highlight w:val="none"/>
        </w:rPr>
      </w:pPr>
      <w:bookmarkStart w:id="58" w:name="_Toc15610"/>
      <w:bookmarkStart w:id="59" w:name="_Toc25340"/>
      <w:bookmarkStart w:id="60" w:name="_Toc234832851"/>
      <w:bookmarkStart w:id="61" w:name="_Toc3763"/>
      <w:r>
        <w:rPr>
          <w:rFonts w:hint="eastAsia" w:cs="Times New Roman"/>
          <w:color w:val="auto"/>
          <w:sz w:val="28"/>
          <w:szCs w:val="28"/>
          <w:highlight w:val="none"/>
          <w:lang w:val="en-US" w:eastAsia="zh-CN"/>
        </w:rPr>
        <w:t>9</w:t>
      </w:r>
      <w:r>
        <w:rPr>
          <w:rFonts w:hint="default" w:ascii="Times New Roman" w:hAnsi="Times New Roman" w:eastAsia="黑体" w:cs="Times New Roman"/>
          <w:color w:val="auto"/>
          <w:sz w:val="28"/>
          <w:szCs w:val="28"/>
          <w:highlight w:val="none"/>
        </w:rPr>
        <w:t>. 联系方式</w:t>
      </w:r>
      <w:bookmarkEnd w:id="58"/>
      <w:bookmarkEnd w:id="59"/>
      <w:bookmarkEnd w:id="60"/>
      <w:bookmarkEnd w:id="61"/>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62" w:name="_Toc300834928"/>
      <w:bookmarkStart w:id="63" w:name="_Toc369531496"/>
      <w:bookmarkStart w:id="64" w:name="_Toc247513933"/>
      <w:bookmarkStart w:id="65" w:name="_Toc352691454"/>
      <w:bookmarkStart w:id="66" w:name="_Toc247527534"/>
      <w:bookmarkStart w:id="67" w:name="_Toc3520"/>
      <w:bookmarkStart w:id="68" w:name="_Toc361508561"/>
      <w:bookmarkStart w:id="69" w:name="_Toc384308186"/>
      <w:r>
        <w:rPr>
          <w:rFonts w:hint="default" w:ascii="Times New Roman" w:hAnsi="Times New Roman" w:eastAsia="黑体" w:cs="Times New Roman"/>
          <w:color w:val="auto"/>
          <w:sz w:val="24"/>
          <w:szCs w:val="24"/>
          <w:highlight w:val="none"/>
          <w:u w:val="single"/>
        </w:rPr>
        <w:t xml:space="preserve">                   </w:t>
      </w:r>
      <w:bookmarkEnd w:id="62"/>
      <w:bookmarkEnd w:id="63"/>
      <w:bookmarkEnd w:id="64"/>
      <w:bookmarkEnd w:id="65"/>
      <w:bookmarkEnd w:id="66"/>
      <w:bookmarkEnd w:id="67"/>
      <w:bookmarkEnd w:id="68"/>
      <w:bookmarkEnd w:id="69"/>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overflowPunct/>
        <w:bidi w:val="0"/>
        <w:spacing w:line="400" w:lineRule="atLeast"/>
        <w:ind w:firstLine="0" w:firstLineChars="0"/>
        <w:rPr>
          <w:rFonts w:hint="default" w:ascii="Times New Roman" w:hAnsi="Times New Roman" w:cs="Times New Roman"/>
          <w:color w:val="auto"/>
          <w:sz w:val="24"/>
          <w:highlight w:val="none"/>
        </w:rPr>
      </w:pPr>
    </w:p>
    <w:p>
      <w:pPr>
        <w:pageBreakBefore w:val="0"/>
        <w:kinsoku/>
        <w:wordWrap w:val="0"/>
        <w:overflowPunct/>
        <w:topLinePunct w:val="0"/>
        <w:bidi w:val="0"/>
        <w:spacing w:line="400" w:lineRule="atLeast"/>
        <w:ind w:firstLine="0" w:firstLineChars="0"/>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overflowPunct/>
        <w:topLinePunct w:val="0"/>
        <w:bidi w:val="0"/>
        <w:spacing w:line="240" w:lineRule="auto"/>
        <w:ind w:firstLine="0" w:firstLineChars="0"/>
        <w:jc w:val="left"/>
        <w:rPr>
          <w:rFonts w:hint="default" w:ascii="Times New Roman" w:hAnsi="Times New Roman" w:cs="Times New Roman"/>
          <w:color w:val="auto"/>
          <w:sz w:val="24"/>
          <w:highlight w:val="none"/>
        </w:rPr>
      </w:pPr>
    </w:p>
    <w:p>
      <w:pPr>
        <w:pageBreakBefore w:val="0"/>
        <w:kinsoku/>
        <w:wordWrap w:val="0"/>
        <w:overflowPunct/>
        <w:topLinePunct/>
        <w:bidi w:val="0"/>
        <w:spacing w:line="400" w:lineRule="atLeast"/>
        <w:ind w:firstLine="480" w:firstLineChars="200"/>
        <w:jc w:val="center"/>
        <w:rPr>
          <w:rFonts w:hint="default" w:ascii="Times New Roman" w:hAnsi="Times New Roman" w:cs="Times New Roman"/>
          <w:color w:val="auto"/>
          <w:sz w:val="24"/>
          <w:highlight w:val="none"/>
        </w:rPr>
        <w:sectPr>
          <w:headerReference r:id="rId16" w:type="default"/>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70" w:name="_Toc19176"/>
      <w:bookmarkStart w:id="71" w:name="_Toc15800"/>
      <w:bookmarkStart w:id="72" w:name="_Toc22817"/>
    </w:p>
    <w:bookmarkEnd w:id="70"/>
    <w:bookmarkEnd w:id="71"/>
    <w:bookmarkEnd w:id="72"/>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73" w:name="_Toc11566"/>
      <w:bookmarkStart w:id="74" w:name="_Toc14547"/>
      <w:bookmarkStart w:id="75" w:name="_Toc30259"/>
      <w:bookmarkStart w:id="76" w:name="_Toc29068"/>
      <w:r>
        <w:rPr>
          <w:rFonts w:hint="default" w:ascii="Times New Roman" w:hAnsi="Times New Roman" w:eastAsia="黑体" w:cs="Times New Roman"/>
          <w:color w:val="auto"/>
          <w:sz w:val="56"/>
          <w:szCs w:val="56"/>
          <w:highlight w:val="none"/>
        </w:rPr>
        <w:t>第二章  投标人须知</w:t>
      </w:r>
      <w:bookmarkEnd w:id="73"/>
      <w:bookmarkEnd w:id="74"/>
      <w:bookmarkEnd w:id="75"/>
      <w:bookmarkEnd w:id="76"/>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headerReference r:id="rId17" w:type="default"/>
          <w:footerReference r:id="rId19" w:type="default"/>
          <w:headerReference r:id="rId18" w:type="even"/>
          <w:footerReference r:id="rId20" w:type="even"/>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Style w:val="148"/>
          <w:rFonts w:hint="default" w:ascii="Times New Roman" w:hAnsi="Times New Roman" w:eastAsia="黑体" w:cs="Times New Roman"/>
          <w:color w:val="auto"/>
          <w:sz w:val="42"/>
          <w:szCs w:val="42"/>
          <w:highlight w:val="none"/>
        </w:rPr>
      </w:pPr>
      <w:bookmarkStart w:id="77" w:name="_Toc234832861"/>
      <w:bookmarkStart w:id="78" w:name="_Toc7274"/>
      <w:bookmarkStart w:id="79" w:name="_Toc20991"/>
      <w:bookmarkStart w:id="80" w:name="_Toc28061"/>
      <w:bookmarkStart w:id="81" w:name="_Toc31336"/>
      <w:r>
        <w:rPr>
          <w:rStyle w:val="148"/>
          <w:rFonts w:hint="default" w:ascii="Times New Roman" w:hAnsi="Times New Roman" w:eastAsia="黑体" w:cs="Times New Roman"/>
          <w:color w:val="auto"/>
          <w:sz w:val="42"/>
          <w:szCs w:val="42"/>
          <w:highlight w:val="none"/>
        </w:rPr>
        <w:t>第二章  投标人须知</w:t>
      </w:r>
      <w:bookmarkEnd w:id="77"/>
      <w:bookmarkEnd w:id="78"/>
      <w:bookmarkEnd w:id="79"/>
      <w:bookmarkEnd w:id="80"/>
    </w:p>
    <w:bookmarkEnd w:id="81"/>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82" w:name="_Toc11867"/>
      <w:bookmarkStart w:id="83" w:name="_Toc234832862"/>
      <w:bookmarkStart w:id="84" w:name="_Toc942"/>
      <w:bookmarkStart w:id="85" w:name="_Toc2223"/>
      <w:r>
        <w:rPr>
          <w:rFonts w:hint="default" w:ascii="Times New Roman" w:hAnsi="Times New Roman" w:eastAsia="黑体" w:cs="Times New Roman"/>
          <w:color w:val="auto"/>
          <w:sz w:val="28"/>
          <w:szCs w:val="28"/>
          <w:highlight w:val="none"/>
        </w:rPr>
        <w:t>投标人须知前附表</w:t>
      </w:r>
      <w:r>
        <w:rPr>
          <w:rStyle w:val="56"/>
          <w:rFonts w:hint="default" w:ascii="Times New Roman" w:hAnsi="Times New Roman" w:eastAsia="黑体" w:cs="Times New Roman"/>
          <w:color w:val="auto"/>
          <w:sz w:val="28"/>
          <w:szCs w:val="28"/>
          <w:highlight w:val="none"/>
        </w:rPr>
        <w:footnoteReference w:id="6"/>
      </w:r>
      <w:bookmarkEnd w:id="82"/>
      <w:bookmarkEnd w:id="83"/>
      <w:bookmarkEnd w:id="84"/>
      <w:bookmarkEnd w:id="85"/>
    </w:p>
    <w:tbl>
      <w:tblPr>
        <w:tblStyle w:val="47"/>
        <w:tblW w:w="8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2879"/>
        <w:gridCol w:w="4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  款  名  称</w:t>
            </w:r>
          </w:p>
        </w:tc>
        <w:tc>
          <w:tcPr>
            <w:tcW w:w="4889" w:type="dxa"/>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4889" w:type="dxa"/>
            <w:vAlign w:val="center"/>
          </w:tcPr>
          <w:p>
            <w:pPr>
              <w:spacing w:line="40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4889" w:type="dxa"/>
            <w:vAlign w:val="center"/>
          </w:tcPr>
          <w:p>
            <w:pPr>
              <w:spacing w:line="40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1.1.6</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标段建设规模</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详见</w:t>
            </w:r>
            <w:r>
              <w:rPr>
                <w:rFonts w:hint="default" w:ascii="Times New Roman" w:hAnsi="Times New Roman" w:cs="Times New Roman"/>
                <w:color w:val="auto"/>
                <w:sz w:val="24"/>
                <w:highlight w:val="none"/>
                <w:lang w:eastAsia="zh-CN"/>
              </w:rPr>
              <w:t>第一章</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lang w:eastAsia="zh-CN"/>
              </w:rPr>
              <w:t>招标公告</w:t>
            </w:r>
            <w:r>
              <w:rPr>
                <w:rFonts w:hint="eastAsia" w:ascii="宋体" w:hAnsi="宋体" w:eastAsia="宋体" w:cs="宋体"/>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1.1.7</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标段投资估算</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资金来源及比例</w:t>
            </w:r>
          </w:p>
        </w:tc>
        <w:tc>
          <w:tcPr>
            <w:tcW w:w="4889" w:type="dxa"/>
            <w:vAlign w:val="center"/>
          </w:tcPr>
          <w:p>
            <w:pPr>
              <w:spacing w:line="400" w:lineRule="exact"/>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cs="Times New Roman"/>
                <w:color w:val="auto"/>
                <w:sz w:val="24"/>
                <w:highlight w:val="none"/>
              </w:rPr>
              <w:t>详见</w:t>
            </w:r>
            <w:r>
              <w:rPr>
                <w:rFonts w:hint="default" w:ascii="Times New Roman" w:hAnsi="Times New Roman" w:cs="Times New Roman"/>
                <w:color w:val="auto"/>
                <w:sz w:val="24"/>
                <w:highlight w:val="none"/>
                <w:lang w:eastAsia="zh-CN"/>
              </w:rPr>
              <w:t>第一章</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lang w:eastAsia="zh-CN"/>
              </w:rPr>
              <w:t>招标公告</w:t>
            </w:r>
            <w:r>
              <w:rPr>
                <w:rFonts w:hint="eastAsia" w:ascii="宋体" w:hAnsi="宋体" w:eastAsia="宋体" w:cs="宋体"/>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4889" w:type="dxa"/>
            <w:vAlign w:val="center"/>
          </w:tcPr>
          <w:p>
            <w:pPr>
              <w:spacing w:line="400" w:lineRule="exact"/>
              <w:rPr>
                <w:rFonts w:hint="default" w:ascii="Times New Roman" w:hAnsi="Times New Roman" w:eastAsia="宋体" w:cs="Times New Roman"/>
                <w:color w:val="auto"/>
                <w:kern w:val="2"/>
                <w:sz w:val="24"/>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初勘、初测</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详勘、定测</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初步设计</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技术设计</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施工图设计</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其他：</w:t>
            </w:r>
            <w:r>
              <w:rPr>
                <w:rFonts w:hint="default" w:ascii="Times New Roman" w:hAnsi="Times New Roman" w:cs="Times New Roman"/>
                <w:color w:val="auto"/>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勘察设计服务期限</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详见</w:t>
            </w:r>
            <w:r>
              <w:rPr>
                <w:rFonts w:hint="default" w:ascii="Times New Roman" w:hAnsi="Times New Roman" w:cs="Times New Roman"/>
                <w:color w:val="auto"/>
                <w:sz w:val="24"/>
                <w:highlight w:val="none"/>
                <w:lang w:eastAsia="zh-CN"/>
              </w:rPr>
              <w:t>第一章</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lang w:eastAsia="zh-CN"/>
              </w:rPr>
              <w:t>招标公告</w:t>
            </w:r>
            <w:r>
              <w:rPr>
                <w:rFonts w:hint="eastAsia" w:ascii="宋体" w:hAnsi="宋体" w:eastAsia="宋体" w:cs="宋体"/>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r>
              <w:rPr>
                <w:rStyle w:val="56"/>
                <w:rFonts w:hint="default" w:ascii="Times New Roman" w:hAnsi="Times New Roman" w:eastAsia="黑体" w:cs="Times New Roman"/>
                <w:color w:val="auto"/>
                <w:sz w:val="24"/>
                <w:szCs w:val="24"/>
                <w:highlight w:val="none"/>
              </w:rPr>
              <w:footnoteReference w:id="7"/>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56"/>
                <w:rFonts w:hint="default" w:ascii="Times New Roman" w:hAnsi="Times New Roman" w:eastAsia="黑体" w:cs="Times New Roman"/>
                <w:color w:val="auto"/>
                <w:sz w:val="24"/>
                <w:szCs w:val="24"/>
                <w:highlight w:val="none"/>
              </w:rPr>
              <w:footnoteReference w:id="8"/>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1.4.1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rPr>
              <w:t>附录1</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业绩要求：见</w:t>
            </w:r>
            <w:r>
              <w:rPr>
                <w:rFonts w:hint="default" w:ascii="Times New Roman" w:hAnsi="Times New Roman" w:eastAsia="黑体" w:cs="Times New Roman"/>
                <w:color w:val="auto"/>
                <w:sz w:val="24"/>
                <w:szCs w:val="24"/>
                <w:highlight w:val="none"/>
              </w:rPr>
              <w:t>附录2</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rPr>
              <w:t>附录3</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项目负责人资格：见</w:t>
            </w:r>
            <w:r>
              <w:rPr>
                <w:rFonts w:hint="default" w:ascii="Times New Roman" w:hAnsi="Times New Roman" w:eastAsia="黑体" w:cs="Times New Roman"/>
                <w:color w:val="auto"/>
                <w:sz w:val="24"/>
                <w:szCs w:val="24"/>
                <w:highlight w:val="none"/>
              </w:rPr>
              <w:t>附录4</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其他要求：</w:t>
            </w:r>
            <w:r>
              <w:rPr>
                <w:rStyle w:val="56"/>
                <w:rFonts w:hint="default" w:ascii="Times New Roman" w:hAnsi="Times New Roman" w:eastAsia="黑体" w:cs="Times New Roman"/>
                <w:color w:val="auto"/>
                <w:sz w:val="24"/>
                <w:szCs w:val="24"/>
                <w:highlight w:val="none"/>
              </w:rPr>
              <w:footnoteReference w:id="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是否接受联合体投标</w:t>
            </w:r>
          </w:p>
        </w:tc>
        <w:tc>
          <w:tcPr>
            <w:tcW w:w="4889" w:type="dxa"/>
            <w:vAlign w:val="center"/>
          </w:tcPr>
          <w:p>
            <w:pPr>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09" w:type="dxa"/>
            <w:vMerge w:val="restart"/>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2879" w:type="dxa"/>
            <w:vMerge w:val="restart"/>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009" w:type="dxa"/>
            <w:vMerge w:val="continue"/>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1.11.1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分  包</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不允许</w:t>
            </w:r>
          </w:p>
          <w:p>
            <w:pPr>
              <w:pStyle w:val="15"/>
              <w:pageBreakBefore w:val="0"/>
              <w:kinsoku/>
              <w:wordWrap w:val="0"/>
              <w:overflowPunct/>
              <w:bidi w:val="0"/>
              <w:spacing w:line="360" w:lineRule="atLeast"/>
              <w:ind w:left="160" w:hanging="120" w:hangingChars="50"/>
              <w:jc w:val="both"/>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pacing w:val="-10"/>
                <w:sz w:val="24"/>
                <w:szCs w:val="24"/>
                <w:highlight w:val="none"/>
              </w:rPr>
              <w:t>允许，允许分包的工程（或不允许分包的工程）：</w:t>
            </w:r>
            <w:r>
              <w:rPr>
                <w:rFonts w:hint="default" w:ascii="Times New Roman" w:hAnsi="Times New Roman" w:cs="Times New Roman"/>
                <w:color w:val="auto"/>
                <w:sz w:val="24"/>
                <w:szCs w:val="24"/>
                <w:highlight w:val="none"/>
                <w:u w:val="single"/>
              </w:rPr>
              <w:t xml:space="preserve">      </w:t>
            </w:r>
          </w:p>
          <w:p>
            <w:pPr>
              <w:pStyle w:val="15"/>
              <w:pageBreakBefore w:val="0"/>
              <w:kinsoku/>
              <w:wordWrap w:val="0"/>
              <w:overflowPunct/>
              <w:bidi w:val="0"/>
              <w:spacing w:line="360" w:lineRule="atLeast"/>
              <w:ind w:firstLine="120" w:firstLineChars="5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对分包人的资格要求：</w:t>
            </w:r>
            <w:r>
              <w:rPr>
                <w:rFonts w:hint="default" w:ascii="Times New Roman" w:hAnsi="Times New Roman" w:cs="Times New Roman"/>
                <w:color w:val="auto"/>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009" w:type="dxa"/>
            <w:vMerge w:val="restart"/>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2879" w:type="dxa"/>
            <w:vMerge w:val="restart"/>
            <w:vAlign w:val="center"/>
          </w:tcPr>
          <w:p>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009" w:type="dxa"/>
            <w:vMerge w:val="continue"/>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2879" w:type="dxa"/>
            <w:vMerge w:val="continue"/>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2879" w:type="dxa"/>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招标文件修改发出的形式</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w:t>
            </w:r>
            <w:r>
              <w:rPr>
                <w:rFonts w:hint="default" w:ascii="Times New Roman" w:hAnsi="Times New Roman" w:cs="Times New Roman"/>
                <w:color w:val="auto"/>
                <w:sz w:val="24"/>
                <w:szCs w:val="24"/>
                <w:highlight w:val="none"/>
                <w:lang w:val="en-US" w:eastAsia="zh-CN"/>
              </w:rPr>
              <w:t>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2879" w:type="dxa"/>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投标人确认收到招标文件修改</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增值税税金的计算方法</w:t>
            </w:r>
          </w:p>
        </w:tc>
        <w:tc>
          <w:tcPr>
            <w:tcW w:w="4889" w:type="dxa"/>
            <w:vAlign w:val="center"/>
          </w:tcPr>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16449711"/>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MS Gothic" w:hAnsi="MS Gothic" w:eastAsia="宋体" w:cs="宋体"/>
                    <w:b/>
                    <w:bCs/>
                    <w:color w:val="auto"/>
                    <w:kern w:val="2"/>
                    <w:sz w:val="24"/>
                    <w:szCs w:val="24"/>
                    <w:highlight w:val="none"/>
                    <w:shd w:val="clear" w:color="auto" w:fill="FFFFFF"/>
                    <w:lang w:val="en-US" w:eastAsia="zh-CN" w:bidi="ar-SA"/>
                  </w:rPr>
                  <w:t>☐</w:t>
                </w:r>
              </w:sdtContent>
            </w:sdt>
            <w:r>
              <w:rPr>
                <w:rFonts w:hint="eastAsia" w:ascii="宋体" w:hAnsi="宋体" w:eastAsia="宋体" w:cs="宋体"/>
                <w:color w:val="auto"/>
                <w:sz w:val="24"/>
                <w:szCs w:val="24"/>
                <w:highlight w:val="none"/>
              </w:rPr>
              <w:t xml:space="preserve"> 一般计税法</w:t>
            </w:r>
          </w:p>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2691559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简易计税法</w:t>
            </w:r>
          </w:p>
          <w:p>
            <w:pP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37040858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扣缴计税法</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7788121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3.2.3</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报价方式</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总价</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3.2.4</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最高投标限价</w:t>
            </w:r>
          </w:p>
        </w:tc>
        <w:tc>
          <w:tcPr>
            <w:tcW w:w="4889" w:type="dxa"/>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无</w:t>
            </w:r>
          </w:p>
          <w:p>
            <w:pPr>
              <w:pageBreakBefore w:val="0"/>
              <w:kinsoku/>
              <w:wordWrap w:val="0"/>
              <w:bidi w:val="0"/>
              <w:spacing w:line="440" w:lineRule="exact"/>
              <w:rPr>
                <w:rFonts w:hint="default" w:ascii="Times New Roman" w:hAnsi="Times New Roman" w:eastAsia="宋体" w:cs="Times New Roman"/>
                <w:color w:val="auto"/>
                <w:sz w:val="24"/>
                <w:szCs w:val="24"/>
                <w:highlight w:val="none"/>
                <w:u w:val="single"/>
                <w:lang w:val="en-US"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lang w:val="en-US" w:eastAsia="zh-CN"/>
              </w:rPr>
              <w:t xml:space="preserve">      </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3.2.5</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2879" w:type="dxa"/>
            <w:vAlign w:val="center"/>
          </w:tcPr>
          <w:p>
            <w:pPr>
              <w:spacing w:line="36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4889" w:type="dxa"/>
            <w:vAlign w:val="center"/>
          </w:tcPr>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17"/>
              <w:topLinePunct/>
              <w:spacing w:line="360" w:lineRule="atLeast"/>
              <w:rPr>
                <w:rFonts w:hint="default" w:ascii="Times New Roman" w:hAnsi="Times New Roman" w:cs="Times New Roman"/>
                <w:color w:val="auto"/>
                <w:sz w:val="24"/>
                <w:szCs w:val="24"/>
                <w:highlight w:val="none"/>
                <w:lang w:eastAsia="zh-CN"/>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Style w:val="56"/>
                <w:rFonts w:hint="default" w:ascii="Times New Roman" w:hAnsi="Times New Roman" w:cs="Times New Roman"/>
                <w:color w:val="auto"/>
                <w:sz w:val="24"/>
                <w:szCs w:val="24"/>
                <w:highlight w:val="none"/>
              </w:rPr>
              <w:footnoteReference w:id="10"/>
            </w:r>
            <w:r>
              <w:rPr>
                <w:rFonts w:hint="default" w:ascii="Times New Roman" w:hAnsi="Times New Roman" w:cs="Times New Roman"/>
                <w:color w:val="auto"/>
                <w:sz w:val="24"/>
                <w:szCs w:val="24"/>
                <w:highlight w:val="none"/>
              </w:rPr>
              <w:t xml:space="preserve"> </w:t>
            </w:r>
          </w:p>
          <w:p>
            <w:pPr>
              <w:pStyle w:val="17"/>
              <w:topLinePunct/>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56"/>
                <w:rFonts w:hint="default" w:ascii="Times New Roman" w:hAnsi="Times New Roman" w:cs="Times New Roman"/>
                <w:color w:val="auto"/>
                <w:sz w:val="24"/>
                <w:szCs w:val="24"/>
                <w:highlight w:val="none"/>
              </w:rPr>
              <w:footnoteReference w:id="11"/>
            </w:r>
          </w:p>
          <w:p>
            <w:pPr>
              <w:pStyle w:val="17"/>
              <w:topLinePunct/>
              <w:spacing w:line="360" w:lineRule="atLeast"/>
              <w:rPr>
                <w:rFonts w:hint="default" w:ascii="Times New Roman" w:hAnsi="Times New Roman" w:cs="Times New Roman"/>
                <w:color w:val="auto"/>
                <w:sz w:val="24"/>
                <w:szCs w:val="24"/>
                <w:highlight w:val="none"/>
              </w:rPr>
            </w:pP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pacing w:val="-8"/>
                <w:sz w:val="24"/>
                <w:szCs w:val="24"/>
                <w:highlight w:val="none"/>
                <w:lang w:val="en-US" w:eastAsia="zh-CN"/>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lang w:val="en-US" w:eastAsia="zh-CN"/>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保函应由投标人自主选具有金融服务担保能力的机构出具，保函办理机构应提供电子化保函验真渠道和保函财务费用支付凭证（保函财务费用应从投标人基本账户支出）。</w:t>
            </w:r>
          </w:p>
          <w:p>
            <w:pPr>
              <w:pStyle w:val="17"/>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color w:val="auto"/>
                <w:sz w:val="24"/>
                <w:szCs w:val="24"/>
                <w:highlight w:val="none"/>
                <w:u w:val="single"/>
                <w:lang w:val="en-US" w:eastAsia="zh-CN"/>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采用其他形式：</w:t>
            </w:r>
            <w:r>
              <w:rPr>
                <w:rFonts w:hint="default" w:ascii="Times New Roman" w:hAnsi="Times New Roman" w:cs="Times New Roman"/>
                <w:color w:val="auto"/>
                <w:sz w:val="24"/>
                <w:szCs w:val="24"/>
                <w:highlight w:val="none"/>
                <w:u w:val="single"/>
                <w:lang w:val="en-US" w:eastAsia="zh-CN"/>
              </w:rPr>
              <w:t xml:space="preserve">        </w:t>
            </w:r>
          </w:p>
          <w:p>
            <w:pPr>
              <w:spacing w:line="360" w:lineRule="atLeast"/>
              <w:ind w:firstLine="240" w:firstLineChars="100"/>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2879" w:type="dxa"/>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投标保证金利息计算原则</w:t>
            </w:r>
          </w:p>
        </w:tc>
        <w:tc>
          <w:tcPr>
            <w:tcW w:w="4889" w:type="dxa"/>
            <w:vAlign w:val="center"/>
          </w:tcPr>
          <w:p>
            <w:pPr>
              <w:pStyle w:val="17"/>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资格审查资料的特殊要求</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w:t>
            </w:r>
          </w:p>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近年完成的类似项目情况的时间要求</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4889" w:type="dxa"/>
            <w:vAlign w:val="center"/>
          </w:tcPr>
          <w:p>
            <w:pPr>
              <w:pStyle w:val="17"/>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不允许</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2879" w:type="dxa"/>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4889" w:type="dxa"/>
            <w:vAlign w:val="center"/>
          </w:tcPr>
          <w:p>
            <w:pPr>
              <w:pStyle w:val="17"/>
              <w:pageBreakBefore w:val="0"/>
              <w:kinsoku/>
              <w:wordWrap w:val="0"/>
              <w:topLinePunct/>
              <w:bidi w:val="0"/>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投标人应在规定的投标截止时间前，通过互联网</w:t>
            </w:r>
            <w:r>
              <w:rPr>
                <w:rFonts w:hint="eastAsia" w:ascii="Times New Roman"/>
                <w:color w:val="auto"/>
                <w:sz w:val="24"/>
                <w:szCs w:val="32"/>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2879" w:type="dxa"/>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4889" w:type="dxa"/>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spacing w:line="440" w:lineRule="exact"/>
              <w:jc w:val="lef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17"/>
              <w:pageBreakBefore w:val="0"/>
              <w:kinsoku/>
              <w:wordWrap w:val="0"/>
              <w:topLinePunct/>
              <w:bidi w:val="0"/>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Cs w:val="24"/>
                <w:highlight w:val="none"/>
              </w:rPr>
              <w:t xml:space="preserve"> 电子版投标文件，具体要求为：</w:t>
            </w:r>
            <w:r>
              <w:rPr>
                <w:rFonts w:hint="default" w:ascii="Times New Roman" w:hAnsi="Times New Roman" w:cs="Times New Roman"/>
                <w:color w:val="auto"/>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5.1</w:t>
            </w:r>
          </w:p>
        </w:tc>
        <w:tc>
          <w:tcPr>
            <w:tcW w:w="2879" w:type="dxa"/>
            <w:vAlign w:val="center"/>
          </w:tcPr>
          <w:p>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4889" w:type="dxa"/>
            <w:vAlign w:val="center"/>
          </w:tcPr>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地点：</w:t>
            </w:r>
            <w:r>
              <w:rPr>
                <w:rFonts w:hint="default" w:ascii="Times New Roman" w:hAnsi="Times New Roman" w:cs="Times New Roman"/>
                <w:color w:val="auto"/>
                <w:kern w:val="2"/>
                <w:sz w:val="24"/>
                <w:szCs w:val="24"/>
                <w:highlight w:val="none"/>
                <w:u w:val="single"/>
                <w:lang w:val="en-US" w:eastAsia="zh-CN" w:bidi="ar-SA"/>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5.2.1</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4889" w:type="dxa"/>
            <w:vAlign w:val="center"/>
          </w:tcPr>
          <w:p>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s="Times New Roman"/>
                <w:color w:val="auto"/>
                <w:sz w:val="24"/>
                <w:szCs w:val="24"/>
                <w:highlight w:val="none"/>
                <w:u w:val="none"/>
                <w:lang w:val="en-US" w:eastAsia="zh-CN"/>
              </w:rPr>
              <w:t>分钟，当所有上传的电子投标文件均完成解密时，时长相应缩短。</w:t>
            </w:r>
          </w:p>
          <w:p>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w:t>
            </w:r>
            <w:r>
              <w:rPr>
                <w:rFonts w:hint="eastAsia" w:cs="Times New Roman"/>
                <w:color w:val="auto"/>
                <w:sz w:val="24"/>
                <w:szCs w:val="24"/>
                <w:highlight w:val="none"/>
                <w:lang w:val="en-US" w:eastAsia="zh-CN"/>
              </w:rPr>
              <w:t>除特殊说明情况外，若出现在规定时间未成功解密的情况，视为撤销投标文件</w:t>
            </w:r>
            <w:r>
              <w:rPr>
                <w:rFonts w:hint="default" w:ascii="Times New Roman" w:hAnsi="Times New Roman"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w:t>
            </w:r>
          </w:p>
        </w:tc>
        <w:tc>
          <w:tcPr>
            <w:tcW w:w="2879" w:type="dxa"/>
            <w:vAlign w:val="center"/>
          </w:tcPr>
          <w:p>
            <w:pPr>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4889" w:type="dxa"/>
            <w:vAlign w:val="center"/>
          </w:tcPr>
          <w:p>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u w:val="none"/>
                <w:lang w:eastAsia="zh"/>
              </w:rPr>
              <w:t>分钟，当所有参与第二个信封评审的电子投标文件均完成解密时，时长相应缩短。</w:t>
            </w:r>
          </w:p>
          <w:p>
            <w:pPr>
              <w:pageBreakBefore w:val="0"/>
              <w:kinsoku/>
              <w:wordWrap w:val="0"/>
              <w:bidi w:val="0"/>
              <w:spacing w:line="44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lang w:eastAsia="zh-CN"/>
              </w:rPr>
              <w:t>“不见面开标大厅”</w:t>
            </w:r>
            <w:r>
              <w:rPr>
                <w:rFonts w:hint="default" w:ascii="Times New Roman" w:hAnsi="Times New Roman" w:cs="Times New Roman"/>
                <w:color w:val="auto"/>
                <w:sz w:val="24"/>
                <w:szCs w:val="24"/>
                <w:highlight w:val="none"/>
                <w:lang w:eastAsia="zh-CN"/>
              </w:rPr>
              <w:t>所留项目联系方式正确且开评标期间全程畅通。如若投标人未解密文件或投标人电话未接通或投标人所留联系方式不正确，均视为自动放弃，按未递交处理。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56"/>
                <w:rFonts w:hint="default" w:ascii="Times New Roman" w:hAnsi="Times New Roman" w:cs="Times New Roman"/>
                <w:color w:val="auto"/>
                <w:sz w:val="24"/>
                <w:szCs w:val="24"/>
                <w:highlight w:val="none"/>
              </w:rPr>
              <w:footnoteReference w:id="12"/>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人，其中招标人代表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人，专家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w:t>
            </w:r>
          </w:p>
          <w:p>
            <w:pPr>
              <w:pageBreakBefore w:val="0"/>
              <w:kinsoku/>
              <w:wordWrap w:val="0"/>
              <w:overflowPunct/>
              <w:bidi w:val="0"/>
              <w:spacing w:line="360" w:lineRule="atLeas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评标专家确定方式：</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中标候选人公示媒介及期限</w:t>
            </w:r>
          </w:p>
        </w:tc>
        <w:tc>
          <w:tcPr>
            <w:tcW w:w="4889" w:type="dxa"/>
            <w:vAlign w:val="center"/>
          </w:tcPr>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u w:val="none"/>
              </w:rPr>
            </w:pPr>
            <w:r>
              <w:rPr>
                <w:rFonts w:hint="eastAsia" w:cs="Times New Roman"/>
                <w:color w:val="auto"/>
                <w:sz w:val="24"/>
                <w:szCs w:val="24"/>
                <w:highlight w:val="none"/>
                <w:u w:val="none"/>
                <w:lang w:eastAsia="zh-CN"/>
              </w:rPr>
              <w:t>□</w:t>
            </w:r>
            <w:r>
              <w:rPr>
                <w:rFonts w:hint="default" w:ascii="Times New Roman" w:hAnsi="Times New Roman" w:cs="Times New Roman"/>
                <w:color w:val="auto"/>
                <w:sz w:val="24"/>
                <w:szCs w:val="24"/>
                <w:highlight w:val="none"/>
                <w:u w:val="non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u w:val="none"/>
              </w:rPr>
            </w:pPr>
            <w:r>
              <w:rPr>
                <w:rFonts w:hint="eastAsia" w:cs="Times New Roman"/>
                <w:color w:val="auto"/>
                <w:sz w:val="24"/>
                <w:szCs w:val="24"/>
                <w:highlight w:val="none"/>
                <w:u w:val="none"/>
                <w:lang w:eastAsia="zh-CN"/>
              </w:rPr>
              <w:t>□</w:t>
            </w:r>
            <w:r>
              <w:rPr>
                <w:rFonts w:hint="default" w:ascii="Times New Roman" w:hAnsi="Times New Roman" w:cs="Times New Roman"/>
                <w:color w:val="auto"/>
                <w:sz w:val="24"/>
                <w:szCs w:val="24"/>
                <w:highlight w:val="none"/>
                <w:u w:val="none"/>
              </w:rPr>
              <w:t>受理异议和投诉的联系方式</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u w:val="none"/>
                <w:lang w:val="en-US" w:eastAsia="zh-CN"/>
              </w:rPr>
            </w:pPr>
            <w:r>
              <w:rPr>
                <w:rFonts w:hint="eastAsia" w:cs="Times New Roman"/>
                <w:color w:val="auto"/>
                <w:sz w:val="24"/>
                <w:szCs w:val="24"/>
                <w:highlight w:val="none"/>
                <w:u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如发现投标人存在弄虚作假行为，招标人将取消其中标候选人资格，并上报省级交通主管部门，作为不良记录纳入</w:t>
            </w:r>
            <w:r>
              <w:rPr>
                <w:rFonts w:hint="eastAsia" w:cs="Times New Roman"/>
                <w:color w:val="auto"/>
                <w:sz w:val="24"/>
                <w:szCs w:val="24"/>
                <w:highlight w:val="none"/>
                <w:u w:val="none"/>
                <w:lang w:eastAsia="zh-CN"/>
              </w:rPr>
              <w:t>全国公路建设市场监督管理系统</w:t>
            </w:r>
            <w:r>
              <w:rPr>
                <w:rFonts w:hint="default" w:ascii="Times New Roman" w:hAnsi="Times New Roman" w:cs="Times New Roman"/>
                <w:color w:val="auto"/>
                <w:sz w:val="24"/>
                <w:szCs w:val="24"/>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p>
          <w:p>
            <w:pPr>
              <w:pageBreakBefore w:val="0"/>
              <w:kinsoku/>
              <w:wordWrap w:val="0"/>
              <w:overflowPunct/>
              <w:bidi w:val="0"/>
              <w:snapToGrid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.2</w:t>
            </w:r>
          </w:p>
        </w:tc>
        <w:tc>
          <w:tcPr>
            <w:tcW w:w="2879" w:type="dxa"/>
            <w:vAlign w:val="center"/>
          </w:tcPr>
          <w:p>
            <w:pPr>
              <w:pageBreakBefore w:val="0"/>
              <w:kinsoku/>
              <w:wordWrap w:val="0"/>
              <w:overflowPunct/>
              <w:bidi w:val="0"/>
              <w:spacing w:line="360" w:lineRule="atLeas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定标规则</w:t>
            </w:r>
            <w:r>
              <w:rPr>
                <w:rStyle w:val="56"/>
                <w:rFonts w:hint="default" w:ascii="Times New Roman" w:hAnsi="Times New Roman" w:cs="Times New Roman"/>
                <w:color w:val="auto"/>
                <w:sz w:val="24"/>
                <w:szCs w:val="24"/>
                <w:highlight w:val="none"/>
              </w:rPr>
              <w:footnoteReference w:id="13"/>
            </w:r>
          </w:p>
        </w:tc>
        <w:tc>
          <w:tcPr>
            <w:tcW w:w="4889" w:type="dxa"/>
            <w:vAlign w:val="center"/>
          </w:tcPr>
          <w:p>
            <w:pPr>
              <w:pageBreakBefore w:val="0"/>
              <w:kinsoku/>
              <w:wordWrap w:val="0"/>
              <w:overflowPunct/>
              <w:bidi w:val="0"/>
              <w:snapToGrid w:val="0"/>
              <w:spacing w:line="360" w:lineRule="atLeast"/>
              <w:rPr>
                <w:rFonts w:hint="eastAsia" w:cs="Times New Roman"/>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中标通知书和中标结果通知发出的形式</w:t>
            </w:r>
          </w:p>
        </w:tc>
        <w:tc>
          <w:tcPr>
            <w:tcW w:w="4889" w:type="dxa"/>
            <w:vAlign w:val="center"/>
          </w:tcPr>
          <w:p>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书面形式</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电子形式：</w:t>
            </w:r>
            <w:r>
              <w:rPr>
                <w:rFonts w:hint="eastAsia"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eastAsiaTheme="minorEastAsia"/>
                <w:color w:val="auto"/>
                <w:sz w:val="24"/>
                <w:szCs w:val="24"/>
                <w:highlight w:val="none"/>
              </w:rPr>
              <w:t>7.7</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eastAsiaTheme="minorEastAsia"/>
                <w:color w:val="auto"/>
                <w:sz w:val="24"/>
                <w:szCs w:val="24"/>
                <w:highlight w:val="none"/>
              </w:rPr>
              <w:t>技术成果经济补偿</w:t>
            </w:r>
          </w:p>
        </w:tc>
        <w:tc>
          <w:tcPr>
            <w:tcW w:w="4889" w:type="dxa"/>
            <w:vAlign w:val="center"/>
          </w:tcPr>
          <w:p>
            <w:pPr>
              <w:pageBreakBefore w:val="0"/>
              <w:tabs>
                <w:tab w:val="left" w:pos="360"/>
              </w:tabs>
              <w:kinsoku/>
              <w:wordWrap w:val="0"/>
              <w:overflowPunct/>
              <w:bidi w:val="0"/>
              <w:spacing w:line="360" w:lineRule="atLeast"/>
              <w:rPr>
                <w:rFonts w:hint="default" w:ascii="Times New Roman" w:hAnsi="Times New Roman" w:cs="Times New Roman" w:eastAsiaTheme="minorEastAsia"/>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不补偿</w:t>
            </w:r>
          </w:p>
          <w:p>
            <w:pPr>
              <w:pageBreakBefore w:val="0"/>
              <w:kinsoku/>
              <w:wordWrap w:val="0"/>
              <w:overflowPunct/>
              <w:bidi w:val="0"/>
              <w:snapToGrid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补偿，补偿标准：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7.8.1</w:t>
            </w:r>
          </w:p>
        </w:tc>
        <w:tc>
          <w:tcPr>
            <w:tcW w:w="2879" w:type="dxa"/>
            <w:vAlign w:val="center"/>
          </w:tcPr>
          <w:p>
            <w:pPr>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履约保证金</w:t>
            </w:r>
          </w:p>
        </w:tc>
        <w:tc>
          <w:tcPr>
            <w:tcW w:w="4889" w:type="dxa"/>
            <w:vAlign w:val="center"/>
          </w:tcPr>
          <w:p>
            <w:pPr>
              <w:pStyle w:val="17"/>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17"/>
              <w:keepNext w:val="0"/>
              <w:keepLines w:val="0"/>
              <w:pageBreakBefore w:val="0"/>
              <w:widowControl w:val="0"/>
              <w:kinsoku/>
              <w:wordWrap w:val="0"/>
              <w:overflowPunct/>
              <w:topLinePunct/>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56"/>
                <w:rFonts w:hint="default" w:ascii="Times New Roman" w:hAnsi="Times New Roman" w:cs="Times New Roman"/>
                <w:color w:val="auto"/>
                <w:sz w:val="24"/>
                <w:szCs w:val="24"/>
                <w:highlight w:val="none"/>
              </w:rPr>
              <w:footnoteReference w:id="14"/>
            </w:r>
          </w:p>
          <w:p>
            <w:pPr>
              <w:wordWrap w:val="0"/>
              <w:spacing w:line="440" w:lineRule="exact"/>
              <w:ind w:firstLine="480" w:firstLineChars="200"/>
              <w:rPr>
                <w:color w:val="auto"/>
                <w:sz w:val="24"/>
                <w:highlight w:val="none"/>
              </w:rPr>
            </w:pPr>
            <w:r>
              <w:rPr>
                <w:color w:val="auto"/>
                <w:sz w:val="24"/>
                <w:highlight w:val="none"/>
              </w:rPr>
              <w:t>履约保证金的金额：</w:t>
            </w:r>
            <w:r>
              <w:rPr>
                <w:color w:val="auto"/>
                <w:sz w:val="24"/>
                <w:highlight w:val="none"/>
                <w:u w:val="single"/>
              </w:rPr>
              <w:t xml:space="preserve"> </w:t>
            </w:r>
            <w:r>
              <w:rPr>
                <w:rFonts w:hint="eastAsia"/>
                <w:color w:val="auto"/>
                <w:sz w:val="24"/>
                <w:highlight w:val="none"/>
                <w:lang w:val="en-US" w:eastAsia="zh-CN"/>
              </w:rPr>
              <w:t xml:space="preserve">       </w:t>
            </w:r>
            <w:r>
              <w:rPr>
                <w:rStyle w:val="56"/>
                <w:color w:val="auto"/>
                <w:sz w:val="24"/>
                <w:highlight w:val="none"/>
              </w:rPr>
              <w:footnoteReference w:id="15"/>
            </w:r>
          </w:p>
          <w:p>
            <w:pPr>
              <w:wordWrap w:val="0"/>
              <w:spacing w:line="440" w:lineRule="exact"/>
              <w:ind w:firstLine="448" w:firstLineChars="200"/>
              <w:rPr>
                <w:color w:val="auto"/>
                <w:sz w:val="24"/>
                <w:highlight w:val="none"/>
                <w:u w:val="single"/>
              </w:rPr>
            </w:pPr>
            <w:r>
              <w:rPr>
                <w:color w:val="auto"/>
                <w:spacing w:val="-8"/>
                <w:sz w:val="24"/>
                <w:highlight w:val="none"/>
              </w:rPr>
              <w:t>采用银行保函时，出具保函的银行级别</w:t>
            </w:r>
            <w:r>
              <w:rPr>
                <w:color w:val="auto"/>
                <w:sz w:val="24"/>
                <w:highlight w:val="none"/>
              </w:rPr>
              <w:t>：</w:t>
            </w:r>
            <w:r>
              <w:rPr>
                <w:color w:val="auto"/>
                <w:sz w:val="24"/>
                <w:highlight w:val="none"/>
                <w:u w:val="single"/>
              </w:rPr>
              <w:t xml:space="preserve">  </w:t>
            </w:r>
          </w:p>
          <w:p>
            <w:pPr>
              <w:wordWrap w:val="0"/>
              <w:spacing w:line="440" w:lineRule="exact"/>
              <w:ind w:firstLine="480" w:firstLineChars="200"/>
              <w:rPr>
                <w:rFonts w:hint="eastAsia"/>
                <w:color w:val="auto"/>
                <w:sz w:val="24"/>
                <w:highlight w:val="none"/>
                <w:u w:val="single"/>
                <w:lang w:val="en-US" w:eastAsia="zh-CN"/>
              </w:rPr>
            </w:pPr>
            <w:r>
              <w:rPr>
                <w:rFonts w:hint="eastAsia"/>
                <w:color w:val="auto"/>
                <w:sz w:val="24"/>
                <w:highlight w:val="none"/>
                <w:u w:val="none"/>
                <w:lang w:val="en-US" w:eastAsia="zh-CN"/>
              </w:rPr>
              <w:t>采用电子保函：</w:t>
            </w:r>
            <w:r>
              <w:rPr>
                <w:rFonts w:hint="eastAsia"/>
                <w:color w:val="auto"/>
                <w:sz w:val="24"/>
                <w:highlight w:val="none"/>
                <w:u w:val="single"/>
                <w:lang w:val="en-US" w:eastAsia="zh-CN"/>
              </w:rPr>
              <w:t xml:space="preserve">                 </w:t>
            </w:r>
          </w:p>
          <w:p>
            <w:pPr>
              <w:keepNext w:val="0"/>
              <w:keepLines w:val="0"/>
              <w:pageBreakBefore w:val="0"/>
              <w:widowControl w:val="0"/>
              <w:kinsoku/>
              <w:wordWrap w:val="0"/>
              <w:overflowPunct/>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8.5.1</w:t>
            </w:r>
          </w:p>
        </w:tc>
        <w:tc>
          <w:tcPr>
            <w:tcW w:w="2879" w:type="dxa"/>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4889" w:type="dxa"/>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single"/>
              </w:rPr>
              <w:t xml:space="preserve">            </w:t>
            </w:r>
          </w:p>
          <w:p>
            <w:pPr>
              <w:pageBreakBefore w:val="0"/>
              <w:kinsoku/>
              <w:wordWrap w:val="0"/>
              <w:overflow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single"/>
              </w:rPr>
              <w:t xml:space="preserve">            </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360" w:lineRule="exact"/>
              <w:ind w:left="0" w:firstLine="0" w:firstLineChars="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r>
              <w:rPr>
                <w:rFonts w:hint="eastAsia" w:cs="Times New Roman"/>
                <w:color w:val="auto"/>
                <w:sz w:val="24"/>
                <w:szCs w:val="24"/>
                <w:highlight w:val="none"/>
                <w:lang w:eastAsia="zh-CN"/>
              </w:rPr>
              <w:t>。</w:t>
            </w:r>
          </w:p>
          <w:p>
            <w:pPr>
              <w:spacing w:line="360" w:lineRule="exact"/>
              <w:ind w:left="0" w:firstLine="0" w:firstLine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tabs>
                <w:tab w:val="left" w:pos="420"/>
              </w:tabs>
              <w:spacing w:line="360" w:lineRule="exact"/>
              <w:ind w:left="0" w:firstLine="0" w:firstLine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pageBreakBefore w:val="0"/>
              <w:kinsoku/>
              <w:wordWrap w:val="0"/>
              <w:overflow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7" w:type="dxa"/>
            <w:gridSpan w:val="3"/>
            <w:vAlign w:val="center"/>
          </w:tcPr>
          <w:p>
            <w:pPr>
              <w:pageBreakBefore w:val="0"/>
              <w:kinsoku/>
              <w:wordWrap w:val="0"/>
              <w:overflowPunct/>
              <w:bidi w:val="0"/>
              <w:spacing w:line="360" w:lineRule="atLeas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技术建议书的编制要求</w:t>
            </w:r>
          </w:p>
        </w:tc>
        <w:tc>
          <w:tcPr>
            <w:tcW w:w="4889" w:type="dxa"/>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技术建议书</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eastAsia" w:cs="Times New Roman"/>
                <w:color w:val="auto"/>
                <w:sz w:val="24"/>
                <w:szCs w:val="24"/>
                <w:highlight w:val="none"/>
                <w:u w:val="single"/>
                <w:lang w:val="en-US" w:eastAsia="zh-CN"/>
              </w:rPr>
              <w:t xml:space="preserve"> A4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；不得有任何加粗、斜体、下划线、边框、底纹、阴影等标记。不得设置目录、页码、页眉、页脚；段落设置：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2879" w:type="dxa"/>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4889" w:type="dxa"/>
            <w:vAlign w:val="center"/>
          </w:tcPr>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p>
        </w:tc>
      </w:tr>
    </w:tbl>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20" w:lineRule="exact"/>
        <w:jc w:val="center"/>
        <w:rPr>
          <w:rFonts w:hint="default" w:ascii="Times New Roman" w:hAnsi="Times New Roman" w:eastAsia="黑体" w:cs="Times New Roman"/>
          <w:b/>
          <w:color w:val="auto"/>
          <w:sz w:val="18"/>
          <w:szCs w:val="18"/>
          <w:highlight w:val="none"/>
        </w:rPr>
      </w:pPr>
      <w:r>
        <w:rPr>
          <w:rFonts w:hint="default" w:ascii="Times New Roman" w:hAnsi="Times New Roman" w:eastAsia="黑体" w:cs="Times New Roman"/>
          <w:color w:val="auto"/>
          <w:sz w:val="28"/>
          <w:szCs w:val="28"/>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cs="Times New Roman"/>
          <w:color w:val="auto"/>
          <w:highlight w:val="none"/>
        </w:rPr>
      </w:pPr>
      <w:bookmarkStart w:id="86" w:name="_Toc24973"/>
      <w:bookmarkStart w:id="87" w:name="_Toc234832863"/>
      <w:bookmarkStart w:id="88" w:name="_Toc24829"/>
      <w:bookmarkStart w:id="89" w:name="_Toc8794"/>
      <w:r>
        <w:rPr>
          <w:rFonts w:hint="default" w:ascii="Times New Roman" w:hAnsi="Times New Roman" w:eastAsia="黑体" w:cs="Times New Roman"/>
          <w:color w:val="auto"/>
          <w:sz w:val="28"/>
          <w:szCs w:val="28"/>
          <w:highlight w:val="none"/>
        </w:rPr>
        <w:t>附录1  资格审查条件（资质最低要求）</w:t>
      </w:r>
      <w:r>
        <w:rPr>
          <w:rStyle w:val="56"/>
          <w:rFonts w:hint="default" w:ascii="Times New Roman" w:hAnsi="Times New Roman" w:eastAsia="黑体" w:cs="Times New Roman"/>
          <w:color w:val="auto"/>
          <w:sz w:val="28"/>
          <w:szCs w:val="28"/>
          <w:highlight w:val="none"/>
        </w:rPr>
        <w:footnoteReference w:id="16"/>
      </w:r>
      <w:bookmarkEnd w:id="86"/>
      <w:bookmarkEnd w:id="87"/>
      <w:bookmarkEnd w:id="88"/>
      <w:bookmarkEnd w:id="89"/>
    </w:p>
    <w:tbl>
      <w:tblPr>
        <w:tblStyle w:val="47"/>
        <w:tblW w:w="8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勘察设计企业资质等级要求</w:t>
            </w:r>
            <w:r>
              <w:rPr>
                <w:rStyle w:val="56"/>
                <w:rFonts w:hint="default" w:ascii="Times New Roman" w:hAnsi="Times New Roman" w:cs="Times New Roman"/>
                <w:color w:val="auto"/>
                <w:szCs w:val="21"/>
                <w:highlight w:val="none"/>
              </w:rPr>
              <w:footnoteReference w:id="1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atLeast"/>
          <w:jc w:val="center"/>
        </w:trPr>
        <w:tc>
          <w:tcPr>
            <w:tcW w:w="8596" w:type="dxa"/>
            <w:vAlign w:val="top"/>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rPr>
          <w:rFonts w:hint="default" w:ascii="Times New Roman" w:hAnsi="Times New Roman" w:eastAsia="隶书" w:cs="Times New Roman"/>
          <w:b/>
          <w:color w:val="auto"/>
          <w:sz w:val="32"/>
          <w:highlight w:val="none"/>
        </w:rPr>
      </w:pPr>
    </w:p>
    <w:p>
      <w:pPr>
        <w:pageBreakBefore w:val="0"/>
        <w:kinsoku/>
        <w:wordWrap w:val="0"/>
        <w:overflowPunct/>
        <w:bidi w:val="0"/>
        <w:adjustRightInd w:val="0"/>
        <w:snapToGrid w:val="0"/>
        <w:spacing w:line="300" w:lineRule="exact"/>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90" w:name="_Toc29742"/>
      <w:bookmarkStart w:id="91" w:name="_Toc234832865"/>
      <w:bookmarkStart w:id="92" w:name="_Toc25734"/>
      <w:bookmarkStart w:id="93" w:name="_Toc3742"/>
      <w:r>
        <w:rPr>
          <w:rFonts w:hint="default" w:ascii="Times New Roman" w:hAnsi="Times New Roman" w:eastAsia="黑体" w:cs="Times New Roman"/>
          <w:color w:val="auto"/>
          <w:sz w:val="28"/>
          <w:szCs w:val="28"/>
          <w:highlight w:val="none"/>
        </w:rPr>
        <w:t>附录2  资格审查条件（业绩最低要求）</w:t>
      </w:r>
      <w:r>
        <w:rPr>
          <w:rStyle w:val="56"/>
          <w:rFonts w:hint="default" w:ascii="Times New Roman" w:hAnsi="Times New Roman" w:eastAsia="黑体" w:cs="Times New Roman"/>
          <w:color w:val="auto"/>
          <w:sz w:val="28"/>
          <w:szCs w:val="28"/>
          <w:highlight w:val="none"/>
        </w:rPr>
        <w:footnoteReference w:id="18"/>
      </w:r>
      <w:bookmarkEnd w:id="90"/>
      <w:bookmarkEnd w:id="91"/>
      <w:bookmarkEnd w:id="92"/>
      <w:bookmarkEnd w:id="93"/>
    </w:p>
    <w:tbl>
      <w:tblPr>
        <w:tblStyle w:val="47"/>
        <w:tblW w:w="8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 绩 要 求</w:t>
            </w:r>
            <w:r>
              <w:rPr>
                <w:rStyle w:val="56"/>
                <w:rFonts w:hint="default" w:ascii="Times New Roman" w:hAnsi="Times New Roman" w:cs="Times New Roman"/>
                <w:color w:val="auto"/>
                <w:szCs w:val="21"/>
                <w:highlight w:val="none"/>
              </w:rPr>
              <w:footnoteReference w:id="1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3"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atLeast"/>
          <w:jc w:val="center"/>
        </w:trPr>
        <w:tc>
          <w:tcPr>
            <w:tcW w:w="8596" w:type="dxa"/>
            <w:vAlign w:val="top"/>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rPr>
          <w:rFonts w:hint="default" w:ascii="Times New Roman" w:hAnsi="Times New Roman" w:eastAsia="隶书" w:cs="Times New Roman"/>
          <w:b/>
          <w:color w:val="auto"/>
          <w:sz w:val="32"/>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94" w:name="_Toc234832866"/>
      <w:bookmarkStart w:id="95" w:name="_Toc29357"/>
      <w:bookmarkStart w:id="96" w:name="_Toc6776"/>
      <w:bookmarkStart w:id="97" w:name="_Toc28252"/>
      <w:r>
        <w:rPr>
          <w:rFonts w:hint="default" w:ascii="Times New Roman" w:hAnsi="Times New Roman" w:eastAsia="黑体" w:cs="Times New Roman"/>
          <w:color w:val="auto"/>
          <w:sz w:val="28"/>
          <w:szCs w:val="28"/>
          <w:highlight w:val="none"/>
        </w:rPr>
        <w:t>附录3  资格审查条件（信誉最低要求）</w:t>
      </w:r>
      <w:r>
        <w:rPr>
          <w:rStyle w:val="56"/>
          <w:rFonts w:hint="default" w:ascii="Times New Roman" w:hAnsi="Times New Roman" w:eastAsia="黑体" w:cs="Times New Roman"/>
          <w:color w:val="auto"/>
          <w:sz w:val="28"/>
          <w:szCs w:val="28"/>
          <w:highlight w:val="none"/>
        </w:rPr>
        <w:footnoteReference w:id="20"/>
      </w:r>
      <w:bookmarkEnd w:id="94"/>
      <w:bookmarkEnd w:id="95"/>
      <w:bookmarkEnd w:id="96"/>
      <w:bookmarkEnd w:id="97"/>
    </w:p>
    <w:tbl>
      <w:tblPr>
        <w:tblStyle w:val="47"/>
        <w:tblW w:w="8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596"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atLeast"/>
          <w:jc w:val="center"/>
        </w:trPr>
        <w:tc>
          <w:tcPr>
            <w:tcW w:w="8596" w:type="dxa"/>
            <w:vAlign w:val="top"/>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300" w:lineRule="exact"/>
        <w:rPr>
          <w:rFonts w:hint="default" w:ascii="Times New Roman" w:hAnsi="Times New Roman" w:eastAsia="隶书" w:cs="Times New Roman"/>
          <w:color w:val="auto"/>
          <w:sz w:val="32"/>
          <w:highlight w:val="none"/>
        </w:rPr>
      </w:pPr>
    </w:p>
    <w:p>
      <w:pPr>
        <w:pageBreakBefore w:val="0"/>
        <w:kinsoku/>
        <w:wordWrap w:val="0"/>
        <w:overflowPunct/>
        <w:bidi w:val="0"/>
        <w:adjustRightInd w:val="0"/>
        <w:snapToGrid w:val="0"/>
        <w:spacing w:line="300" w:lineRule="auto"/>
        <w:rPr>
          <w:rFonts w:hint="default" w:ascii="Times New Roman" w:hAnsi="Times New Roman" w:cs="Times New Roman"/>
          <w:bCs/>
          <w:color w:val="auto"/>
          <w:highlight w:val="none"/>
        </w:rPr>
      </w:pPr>
    </w:p>
    <w:p>
      <w:pPr>
        <w:pageBreakBefore w:val="0"/>
        <w:kinsoku/>
        <w:wordWrap w:val="0"/>
        <w:overflowPunct/>
        <w:bidi w:val="0"/>
        <w:adjustRightInd w:val="0"/>
        <w:snapToGrid w:val="0"/>
        <w:spacing w:line="300" w:lineRule="auto"/>
        <w:ind w:firstLine="963" w:firstLineChars="400"/>
        <w:jc w:val="center"/>
        <w:rPr>
          <w:rFonts w:hint="default" w:ascii="Times New Roman" w:hAnsi="Times New Roman" w:eastAsia="黑体" w:cs="Times New Roman"/>
          <w:b/>
          <w:color w:val="auto"/>
          <w:sz w:val="24"/>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98" w:name="_Toc25260"/>
      <w:bookmarkStart w:id="99" w:name="_Toc12418"/>
      <w:bookmarkStart w:id="100" w:name="_Toc234832867"/>
      <w:bookmarkStart w:id="101" w:name="_Toc15986"/>
      <w:r>
        <w:rPr>
          <w:rFonts w:hint="default" w:ascii="Times New Roman" w:hAnsi="Times New Roman" w:eastAsia="黑体" w:cs="Times New Roman"/>
          <w:color w:val="auto"/>
          <w:sz w:val="28"/>
          <w:szCs w:val="28"/>
          <w:highlight w:val="none"/>
        </w:rPr>
        <w:t>附录4  资格审查条件（项目负责人最低要求）</w:t>
      </w:r>
      <w:r>
        <w:rPr>
          <w:rStyle w:val="56"/>
          <w:rFonts w:hint="default" w:ascii="Times New Roman" w:hAnsi="Times New Roman" w:eastAsia="黑体" w:cs="Times New Roman"/>
          <w:color w:val="auto"/>
          <w:sz w:val="28"/>
          <w:szCs w:val="28"/>
          <w:highlight w:val="none"/>
        </w:rPr>
        <w:footnoteReference w:id="21"/>
      </w:r>
      <w:bookmarkEnd w:id="98"/>
      <w:bookmarkEnd w:id="99"/>
      <w:bookmarkEnd w:id="100"/>
      <w:bookmarkEnd w:id="101"/>
    </w:p>
    <w:tbl>
      <w:tblPr>
        <w:tblStyle w:val="47"/>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0"/>
        <w:gridCol w:w="1748"/>
        <w:gridCol w:w="4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2140"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  员</w:t>
            </w:r>
          </w:p>
        </w:tc>
        <w:tc>
          <w:tcPr>
            <w:tcW w:w="1748"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tc>
        <w:tc>
          <w:tcPr>
            <w:tcW w:w="4889"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 格 要 求</w:t>
            </w:r>
            <w:r>
              <w:rPr>
                <w:rStyle w:val="56"/>
                <w:rFonts w:hint="default" w:ascii="Times New Roman" w:hAnsi="Times New Roman" w:cs="Times New Roman"/>
                <w:color w:val="auto"/>
                <w:szCs w:val="21"/>
                <w:highlight w:val="none"/>
              </w:rPr>
              <w:footnoteReference w:id="2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2140" w:type="dxa"/>
            <w:vAlign w:val="center"/>
          </w:tcPr>
          <w:p>
            <w:pPr>
              <w:pageBreakBefore w:val="0"/>
              <w:kinsoku/>
              <w:wordWrap w:val="0"/>
              <w:overflowPunct/>
              <w:bidi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w:t>
            </w:r>
          </w:p>
        </w:tc>
        <w:tc>
          <w:tcPr>
            <w:tcW w:w="1748"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4889" w:type="dxa"/>
            <w:vAlign w:val="center"/>
          </w:tcPr>
          <w:p>
            <w:pPr>
              <w:pageBreakBefore w:val="0"/>
              <w:kinsoku/>
              <w:wordWrap w:val="0"/>
              <w:overflowPunct/>
              <w:bidi w:val="0"/>
              <w:adjustRightInd w:val="0"/>
              <w:snapToGrid w:val="0"/>
              <w:spacing w:line="300" w:lineRule="auto"/>
              <w:rPr>
                <w:rFonts w:hint="default" w:ascii="Times New Roman" w:hAnsi="Times New Roman" w:cs="Times New Roman"/>
                <w:color w:val="auto"/>
                <w:szCs w:val="21"/>
                <w:highlight w:val="none"/>
              </w:rPr>
            </w:pPr>
          </w:p>
        </w:tc>
      </w:tr>
    </w:tbl>
    <w:p>
      <w:pPr>
        <w:pageBreakBefore w:val="0"/>
        <w:kinsoku/>
        <w:wordWrap w:val="0"/>
        <w:overflowPunct/>
        <w:bidi w:val="0"/>
        <w:adjustRightInd w:val="0"/>
        <w:snapToGrid w:val="0"/>
        <w:spacing w:line="240" w:lineRule="exact"/>
        <w:rPr>
          <w:rFonts w:hint="default" w:ascii="Times New Roman" w:hAnsi="Times New Roman" w:eastAsia="隶书" w:cs="Times New Roman"/>
          <w:b/>
          <w:bCs/>
          <w:color w:val="auto"/>
          <w:sz w:val="32"/>
          <w:szCs w:val="32"/>
          <w:highlight w:val="none"/>
        </w:rPr>
      </w:pPr>
    </w:p>
    <w:p>
      <w:pPr>
        <w:pageBreakBefore w:val="0"/>
        <w:kinsoku/>
        <w:wordWrap w:val="0"/>
        <w:overflowPunct/>
        <w:bidi w:val="0"/>
        <w:adjustRightInd w:val="0"/>
        <w:snapToGrid w:val="0"/>
        <w:spacing w:line="300" w:lineRule="auto"/>
        <w:ind w:right="-512" w:rightChars="-244" w:firstLine="421" w:firstLineChars="200"/>
        <w:rPr>
          <w:rFonts w:hint="default" w:ascii="Times New Roman" w:hAnsi="Times New Roman" w:cs="Times New Roman"/>
          <w:b/>
          <w:iCs/>
          <w:color w:val="auto"/>
          <w:szCs w:val="21"/>
          <w:highlight w:val="none"/>
        </w:rPr>
      </w:pPr>
      <w:r>
        <w:rPr>
          <w:rFonts w:hint="default" w:ascii="Times New Roman" w:hAnsi="Times New Roman" w:cs="Times New Roman"/>
          <w:b/>
          <w:iCs/>
          <w:color w:val="auto"/>
          <w:szCs w:val="21"/>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102" w:name="_Toc234832868"/>
      <w:bookmarkStart w:id="103" w:name="_Toc3969"/>
      <w:bookmarkStart w:id="104" w:name="_Toc21803"/>
      <w:bookmarkStart w:id="105" w:name="_Toc17247"/>
      <w:r>
        <w:rPr>
          <w:rFonts w:hint="default" w:ascii="Times New Roman" w:hAnsi="Times New Roman" w:eastAsia="黑体" w:cs="Times New Roman"/>
          <w:color w:val="auto"/>
          <w:sz w:val="28"/>
          <w:szCs w:val="28"/>
          <w:highlight w:val="none"/>
        </w:rPr>
        <w:t>附录5  资格审查条件（分项负责人最低要求）</w:t>
      </w:r>
      <w:r>
        <w:rPr>
          <w:rFonts w:hint="default" w:ascii="Times New Roman" w:hAnsi="Times New Roman" w:eastAsia="黑体" w:cs="Times New Roman"/>
          <w:color w:val="auto"/>
          <w:sz w:val="28"/>
          <w:szCs w:val="28"/>
          <w:highlight w:val="none"/>
          <w:vertAlign w:val="superscript"/>
        </w:rPr>
        <w:footnoteReference w:id="23"/>
      </w:r>
      <w:bookmarkEnd w:id="102"/>
      <w:bookmarkEnd w:id="103"/>
      <w:bookmarkEnd w:id="104"/>
      <w:bookmarkEnd w:id="105"/>
    </w:p>
    <w:tbl>
      <w:tblPr>
        <w:tblStyle w:val="47"/>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0"/>
        <w:gridCol w:w="1297"/>
        <w:gridCol w:w="5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780"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  员</w:t>
            </w:r>
          </w:p>
        </w:tc>
        <w:tc>
          <w:tcPr>
            <w:tcW w:w="1297"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tc>
        <w:tc>
          <w:tcPr>
            <w:tcW w:w="5700"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工程地质勘察</w:t>
            </w:r>
          </w:p>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分项负责人</w:t>
            </w:r>
          </w:p>
        </w:tc>
        <w:tc>
          <w:tcPr>
            <w:tcW w:w="1297"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c>
          <w:tcPr>
            <w:tcW w:w="5700" w:type="dxa"/>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工程造价</w:t>
            </w:r>
          </w:p>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分项负责人</w:t>
            </w:r>
          </w:p>
        </w:tc>
        <w:tc>
          <w:tcPr>
            <w:tcW w:w="1297"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c>
          <w:tcPr>
            <w:tcW w:w="5700" w:type="dxa"/>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w:t>
            </w:r>
          </w:p>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分项负责人</w:t>
            </w:r>
          </w:p>
        </w:tc>
        <w:tc>
          <w:tcPr>
            <w:tcW w:w="1297"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c>
          <w:tcPr>
            <w:tcW w:w="5700" w:type="dxa"/>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w:t>
            </w:r>
          </w:p>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分项负责人</w:t>
            </w: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bl>
    <w:p>
      <w:pPr>
        <w:pageBreakBefore w:val="0"/>
        <w:kinsoku/>
        <w:wordWrap w:val="0"/>
        <w:overflowPunct/>
        <w:bidi w:val="0"/>
        <w:adjustRightInd w:val="0"/>
        <w:snapToGrid w:val="0"/>
        <w:spacing w:line="400" w:lineRule="atLeast"/>
        <w:jc w:val="center"/>
        <w:rPr>
          <w:rFonts w:hint="default" w:ascii="Times New Roman" w:hAnsi="Times New Roman" w:eastAsia="黑体" w:cs="Times New Roman"/>
          <w:color w:val="auto"/>
          <w:sz w:val="24"/>
          <w:highlight w:val="none"/>
        </w:rPr>
      </w:pP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106" w:name="_Toc234832870"/>
      <w:bookmarkStart w:id="107" w:name="_Toc26477"/>
      <w:bookmarkStart w:id="108" w:name="_Toc18062"/>
      <w:bookmarkStart w:id="109" w:name="_Toc31246"/>
      <w:r>
        <w:rPr>
          <w:rFonts w:hint="default" w:ascii="Times New Roman" w:hAnsi="Times New Roman" w:eastAsia="黑体" w:cs="Times New Roman"/>
          <w:b w:val="0"/>
          <w:color w:val="auto"/>
          <w:sz w:val="28"/>
          <w:szCs w:val="28"/>
          <w:highlight w:val="none"/>
        </w:rPr>
        <w:t>1. 总则</w:t>
      </w:r>
      <w:bookmarkEnd w:id="106"/>
      <w:bookmarkEnd w:id="107"/>
      <w:bookmarkEnd w:id="108"/>
      <w:bookmarkEnd w:id="109"/>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110" w:name="_Toc8149"/>
      <w:bookmarkStart w:id="111" w:name="_Toc29344"/>
      <w:bookmarkStart w:id="112" w:name="_Toc9007"/>
      <w:bookmarkStart w:id="113" w:name="_Toc234832871"/>
      <w:r>
        <w:rPr>
          <w:rFonts w:hint="default" w:ascii="Times New Roman" w:hAnsi="Times New Roman" w:eastAsia="黑体" w:cs="Times New Roman"/>
          <w:b w:val="0"/>
          <w:color w:val="auto"/>
          <w:sz w:val="24"/>
          <w:szCs w:val="24"/>
          <w:highlight w:val="none"/>
        </w:rPr>
        <w:t>1.1 项目概况</w:t>
      </w:r>
      <w:bookmarkEnd w:id="110"/>
      <w:bookmarkEnd w:id="111"/>
      <w:bookmarkEnd w:id="112"/>
      <w:bookmarkEnd w:id="11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 根据《中华人民共和国招标投标法》《中华人民共和国招标投标法实施条例》《公路工程建设项目招标投标管理办法》等有关法律、法规和规章的规定，本招标项目已具备招标条件，现对本标段勘察设计进行招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 本招标项目招标人：见投标人须知前附表。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 本标段招标代理机构：见投标人须知前附表。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 本招标项目名称：见投标人须知前附表。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 本标段建设地点：见投标人须知前附表。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1.1.6 本标段建设规模：见投标人须知前附表。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1.1.7 本标段投资估算：见投标人须知前附表。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114" w:name="_Toc25536"/>
      <w:bookmarkStart w:id="115" w:name="_Toc21177"/>
      <w:bookmarkStart w:id="116" w:name="_Toc10145"/>
      <w:bookmarkStart w:id="117" w:name="_Toc234832872"/>
      <w:r>
        <w:rPr>
          <w:rFonts w:hint="default" w:ascii="Times New Roman" w:hAnsi="Times New Roman" w:cs="Times New Roman"/>
          <w:color w:val="auto"/>
          <w:highlight w:val="none"/>
        </w:rPr>
        <w:t>1.2 招标项目的资金来源和落实情况</w:t>
      </w:r>
      <w:bookmarkEnd w:id="114"/>
      <w:bookmarkEnd w:id="115"/>
      <w:bookmarkEnd w:id="116"/>
      <w:bookmarkEnd w:id="117"/>
      <w:r>
        <w:rPr>
          <w:rFonts w:hint="default" w:ascii="Times New Roman" w:hAnsi="Times New Roman" w:cs="Times New Roman"/>
          <w:color w:val="auto"/>
          <w:highlight w:val="none"/>
        </w:rPr>
        <w:t xml:space="preserve">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 资金来源及比例：见投标人须知前附表。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 资金落实情况：见投标人须知前附表。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118" w:name="_Toc11323"/>
      <w:bookmarkStart w:id="119" w:name="_Toc234832873"/>
      <w:bookmarkStart w:id="120" w:name="_Toc13802"/>
      <w:bookmarkStart w:id="121" w:name="_Toc24710"/>
      <w:r>
        <w:rPr>
          <w:rFonts w:hint="default" w:ascii="Times New Roman" w:hAnsi="Times New Roman" w:cs="Times New Roman"/>
          <w:color w:val="auto"/>
          <w:highlight w:val="none"/>
        </w:rPr>
        <w:t>1.3 招标范围、勘察设计服务期限、质量要求和安全目标</w:t>
      </w:r>
      <w:bookmarkEnd w:id="118"/>
      <w:bookmarkEnd w:id="119"/>
      <w:bookmarkEnd w:id="120"/>
      <w:bookmarkEnd w:id="12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 招标范围：见投标人须知前附表。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 本标段的勘察设计服务期限：见投标人须知前附表。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 本标段的质量要求：见投标人须知前附表。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 本标段的安全目标：见投标人须知前附表。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122" w:name="_Toc2004"/>
      <w:bookmarkStart w:id="123" w:name="_Toc234832875"/>
      <w:bookmarkStart w:id="124" w:name="_Toc8403"/>
      <w:bookmarkStart w:id="125" w:name="_Toc29774"/>
      <w:r>
        <w:rPr>
          <w:rFonts w:hint="default" w:ascii="Times New Roman" w:hAnsi="Times New Roman" w:cs="Times New Roman"/>
          <w:color w:val="auto"/>
          <w:highlight w:val="none"/>
        </w:rPr>
        <w:t>1.4 投标人资格要求</w:t>
      </w:r>
      <w:bookmarkEnd w:id="122"/>
      <w:bookmarkEnd w:id="123"/>
      <w:bookmarkEnd w:id="124"/>
      <w:bookmarkEnd w:id="12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 投标人应具备承担本标段勘察设计的资质条件、能力和信誉。</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（1）资质要求：见投标人须知前附表；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（2）业绩要求：见投标人须知前附表；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（3）信誉要求：见投标人须知前附表；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（4）项目负责人资格：见投标人须知前附表；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（5）其他要求：见投标人须知前附表。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1.4.2 投标人须知前附表规定接受联合体投标的，联合体除应符合本章第1.4.1项和投标人须知前附表的要求外，还应遵守以下规定：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（3）联合体各方不得再以自己名义单独或参加其他联合体在同一标段中投标；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（5）尽管委任了联合体牵头人，但联合体各成员在投标、签订合同与履行合同过程中，仍负有连带的和各自的法律责任。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 投标人（包括联合体各成员）不得与本标段相关单位存在下列关联情形：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（1）为招标人不具有独立法人资格的附属机构（单位）；</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（2）与招标人存在利害关系且可能影响招标公正性；</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（3）与本标段的其他投标人同为一个单位负责人；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（4）与本标段的其他投标人存在控股、管理关系；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（5）为本标段的代建人；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（6）为本标段的招标代理机构；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（7）与本标段的代建人或招标代理机构同为一个法定代表人；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（8）与本标段的代建人或招标代理机构存在控股或参股关系；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（9）法律法规或投标人须知前附表规定的其他情形。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 投标人（包括联合体各成员）不得存在下列不良状况或不良信用记录：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（1）被省级及以上交通运输主管部门取消招标项目所在地的投标资格且处于有效期内；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（2）被责令停业，暂扣或吊销执照，或吊销资质证书；</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（3）进入清算程序，或被宣告破产，或其他丧失履约能力的情形；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（4）在国家企业信用信息公示系统（http://www.gsxt.gov.cn/）中被列入严重违法失信企业名单；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网站（http://www.creditchina.gov.cn/）（或中国执行信息公开网 http://zxgk.court.gov.cn/shixin/）中被列入失信被执行人名单；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（6）投标人或其法定代表人、拟委任的项目负责人在近三年内有行贿犯罪行为的；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（7）法律法规或投标人须知前附表规定的其他情形。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1.4.5 </w:t>
      </w:r>
      <w:r>
        <w:rPr>
          <w:rFonts w:hint="default" w:ascii="Times New Roman" w:hAnsi="Times New Roman" w:cs="Times New Roman"/>
          <w:color w:val="auto"/>
          <w:sz w:val="24"/>
          <w:highlight w:val="none"/>
        </w:rPr>
        <w:t>根据《关于发布公路工程从业企业资质名录的通知》（厅公路字〔2011〕114号）要求，投标人如为名录范围的</w:t>
      </w:r>
      <w:r>
        <w:rPr>
          <w:rFonts w:hint="eastAsia" w:cs="Times New Roman"/>
          <w:color w:val="auto"/>
          <w:sz w:val="24"/>
          <w:highlight w:val="none"/>
          <w:lang w:val="en-US" w:eastAsia="zh-CN"/>
        </w:rPr>
        <w:t>设计</w:t>
      </w:r>
      <w:r>
        <w:rPr>
          <w:rFonts w:hint="default" w:ascii="Times New Roman" w:hAnsi="Times New Roman" w:cs="Times New Roman"/>
          <w:color w:val="auto"/>
          <w:sz w:val="24"/>
          <w:highlight w:val="none"/>
        </w:rPr>
        <w:t>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w:t>
      </w:r>
      <w:r>
        <w:rPr>
          <w:rFonts w:hint="eastAsia" w:cs="Times New Roman"/>
          <w:color w:val="auto"/>
          <w:sz w:val="24"/>
          <w:highlight w:val="none"/>
          <w:lang w:val="en-US" w:eastAsia="zh-CN"/>
        </w:rPr>
        <w:t>设计</w:t>
      </w:r>
      <w:r>
        <w:rPr>
          <w:rFonts w:hint="default" w:ascii="Times New Roman" w:hAnsi="Times New Roman" w:cs="Times New Roman"/>
          <w:color w:val="auto"/>
          <w:sz w:val="24"/>
          <w:highlight w:val="none"/>
        </w:rPr>
        <w:t>资质企业名录，且投标人名称和资质与该名录中的相应企业名称和资质完全一致。</w:t>
      </w:r>
      <w:r>
        <w:rPr>
          <w:rStyle w:val="56"/>
          <w:color w:val="auto"/>
          <w:highlight w:val="none"/>
        </w:rPr>
        <w:footnoteReference w:id="24"/>
      </w:r>
    </w:p>
    <w:p>
      <w:pPr>
        <w:pStyle w:val="2"/>
        <w:pageBreakBefore w:val="0"/>
        <w:kinsoku/>
        <w:wordWrap w:val="0"/>
        <w:overflowPunct/>
        <w:bidi w:val="0"/>
        <w:rPr>
          <w:rFonts w:hint="default" w:ascii="Times New Roman" w:hAnsi="Times New Roman" w:cs="Times New Roman"/>
          <w:color w:val="auto"/>
          <w:highlight w:val="none"/>
        </w:rPr>
      </w:pPr>
      <w:bookmarkStart w:id="126" w:name="_Toc14175"/>
      <w:bookmarkStart w:id="127" w:name="_Toc19333"/>
      <w:bookmarkStart w:id="128" w:name="_Toc20626"/>
      <w:bookmarkStart w:id="129" w:name="_Toc234832876"/>
      <w:r>
        <w:rPr>
          <w:rFonts w:hint="default" w:ascii="Times New Roman" w:hAnsi="Times New Roman" w:cs="Times New Roman"/>
          <w:color w:val="auto"/>
          <w:highlight w:val="none"/>
        </w:rPr>
        <w:t>1.5 费用承担</w:t>
      </w:r>
      <w:bookmarkEnd w:id="126"/>
      <w:bookmarkEnd w:id="127"/>
      <w:bookmarkEnd w:id="128"/>
      <w:bookmarkEnd w:id="12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投标人准备和参加投标活动发生的费用自理。</w:t>
      </w:r>
    </w:p>
    <w:p>
      <w:pPr>
        <w:pStyle w:val="2"/>
        <w:pageBreakBefore w:val="0"/>
        <w:kinsoku/>
        <w:wordWrap w:val="0"/>
        <w:overflowPunct/>
        <w:bidi w:val="0"/>
        <w:rPr>
          <w:rFonts w:hint="default" w:ascii="Times New Roman" w:hAnsi="Times New Roman" w:cs="Times New Roman"/>
          <w:color w:val="auto"/>
          <w:highlight w:val="none"/>
        </w:rPr>
      </w:pPr>
      <w:bookmarkStart w:id="130" w:name="_Toc24141"/>
      <w:bookmarkStart w:id="131" w:name="_Toc1408"/>
      <w:bookmarkStart w:id="132" w:name="_Toc6740"/>
      <w:bookmarkStart w:id="133" w:name="_Toc234832877"/>
      <w:r>
        <w:rPr>
          <w:rFonts w:hint="default" w:ascii="Times New Roman" w:hAnsi="Times New Roman" w:cs="Times New Roman"/>
          <w:color w:val="auto"/>
          <w:highlight w:val="none"/>
        </w:rPr>
        <w:t>1.6 保密</w:t>
      </w:r>
      <w:bookmarkEnd w:id="130"/>
      <w:bookmarkEnd w:id="131"/>
      <w:bookmarkEnd w:id="132"/>
      <w:bookmarkEnd w:id="13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参与招标投标活动的各方应对招标文件和投标文件中的商业和技术等秘密保密，否则应承担相应的法律责任。</w:t>
      </w:r>
    </w:p>
    <w:p>
      <w:pPr>
        <w:pStyle w:val="2"/>
        <w:pageBreakBefore w:val="0"/>
        <w:kinsoku/>
        <w:wordWrap w:val="0"/>
        <w:overflowPunct/>
        <w:bidi w:val="0"/>
        <w:rPr>
          <w:rFonts w:hint="default" w:ascii="Times New Roman" w:hAnsi="Times New Roman" w:cs="Times New Roman"/>
          <w:color w:val="auto"/>
          <w:highlight w:val="none"/>
        </w:rPr>
      </w:pPr>
      <w:bookmarkStart w:id="134" w:name="_Toc17131"/>
      <w:bookmarkStart w:id="135" w:name="_Toc19492"/>
      <w:bookmarkStart w:id="136" w:name="_Toc22922"/>
      <w:bookmarkStart w:id="137" w:name="_Toc234832878"/>
      <w:r>
        <w:rPr>
          <w:rFonts w:hint="default" w:ascii="Times New Roman" w:hAnsi="Times New Roman" w:cs="Times New Roman"/>
          <w:color w:val="auto"/>
          <w:highlight w:val="none"/>
        </w:rPr>
        <w:t>1.7 语言文字</w:t>
      </w:r>
      <w:bookmarkEnd w:id="134"/>
      <w:bookmarkEnd w:id="135"/>
      <w:bookmarkEnd w:id="136"/>
      <w:bookmarkEnd w:id="13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招标投标文件使用的语言文字为中文。专用术语使用外文的，应附有中文注释。</w:t>
      </w:r>
    </w:p>
    <w:p>
      <w:pPr>
        <w:pStyle w:val="2"/>
        <w:pageBreakBefore w:val="0"/>
        <w:kinsoku/>
        <w:wordWrap w:val="0"/>
        <w:overflowPunct/>
        <w:bidi w:val="0"/>
        <w:rPr>
          <w:rFonts w:hint="default" w:ascii="Times New Roman" w:hAnsi="Times New Roman" w:cs="Times New Roman"/>
          <w:color w:val="auto"/>
          <w:highlight w:val="none"/>
        </w:rPr>
      </w:pPr>
      <w:bookmarkStart w:id="138" w:name="_Toc234832879"/>
      <w:bookmarkStart w:id="139" w:name="_Toc31531"/>
      <w:bookmarkStart w:id="140" w:name="_Toc23187"/>
      <w:bookmarkStart w:id="141" w:name="_Toc21718"/>
      <w:r>
        <w:rPr>
          <w:rFonts w:hint="default" w:ascii="Times New Roman" w:hAnsi="Times New Roman" w:cs="Times New Roman"/>
          <w:color w:val="auto"/>
          <w:highlight w:val="none"/>
        </w:rPr>
        <w:t>1.8 计量单位</w:t>
      </w:r>
      <w:bookmarkEnd w:id="138"/>
      <w:bookmarkEnd w:id="139"/>
      <w:bookmarkEnd w:id="140"/>
      <w:bookmarkEnd w:id="14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pPr>
        <w:pStyle w:val="2"/>
        <w:pageBreakBefore w:val="0"/>
        <w:kinsoku/>
        <w:wordWrap w:val="0"/>
        <w:overflowPunct/>
        <w:bidi w:val="0"/>
        <w:rPr>
          <w:rFonts w:hint="default" w:ascii="Times New Roman" w:hAnsi="Times New Roman" w:cs="Times New Roman"/>
          <w:color w:val="auto"/>
          <w:highlight w:val="none"/>
        </w:rPr>
      </w:pPr>
      <w:bookmarkStart w:id="142" w:name="_Toc234832880"/>
      <w:bookmarkStart w:id="143" w:name="_Toc13891"/>
      <w:bookmarkStart w:id="144" w:name="_Toc9384"/>
      <w:bookmarkStart w:id="145" w:name="_Toc804"/>
      <w:r>
        <w:rPr>
          <w:rFonts w:hint="default" w:ascii="Times New Roman" w:hAnsi="Times New Roman" w:cs="Times New Roman"/>
          <w:color w:val="auto"/>
          <w:highlight w:val="none"/>
        </w:rPr>
        <w:t>1.9 踏勘现场</w:t>
      </w:r>
      <w:bookmarkEnd w:id="142"/>
      <w:bookmarkEnd w:id="143"/>
      <w:bookmarkEnd w:id="144"/>
      <w:bookmarkEnd w:id="14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 投标人踏勘现场发生的费用自理。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 除招标人的原因外，投标人自行负责在踏勘现场中所发生的人员伤亡和财产损失。</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 招标人在踏勘现场中介绍的工程场地和相关的周边环境情况，供投标人在编制投标文件时参考，招标人不对投标人据此作出的判断和决策负责。</w:t>
      </w:r>
    </w:p>
    <w:p>
      <w:pPr>
        <w:pStyle w:val="2"/>
        <w:pageBreakBefore w:val="0"/>
        <w:kinsoku/>
        <w:wordWrap w:val="0"/>
        <w:overflowPunct/>
        <w:bidi w:val="0"/>
        <w:rPr>
          <w:rFonts w:hint="default" w:ascii="Times New Roman" w:hAnsi="Times New Roman" w:cs="Times New Roman"/>
          <w:color w:val="auto"/>
          <w:highlight w:val="none"/>
        </w:rPr>
      </w:pPr>
      <w:bookmarkStart w:id="146" w:name="_Toc234832881"/>
      <w:bookmarkStart w:id="147" w:name="_Toc17598"/>
      <w:bookmarkStart w:id="148" w:name="_Toc8621"/>
      <w:bookmarkStart w:id="149" w:name="_Toc14405"/>
      <w:r>
        <w:rPr>
          <w:rFonts w:hint="default" w:ascii="Times New Roman" w:hAnsi="Times New Roman" w:cs="Times New Roman"/>
          <w:color w:val="auto"/>
          <w:highlight w:val="none"/>
        </w:rPr>
        <w:t>1.10 投标预备会</w:t>
      </w:r>
      <w:bookmarkEnd w:id="146"/>
      <w:bookmarkEnd w:id="147"/>
      <w:bookmarkEnd w:id="148"/>
      <w:bookmarkEnd w:id="14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1.10.2 投标人应按投标人须知前附表规定的时间和形式将提出的问题送达招标人，以便招标人在会议期间澄清。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1.10.3 投标预备会后，招标人将对投标人所提问题的澄清，以本章第2.2款规定的形式通知所有</w:t>
      </w:r>
      <w:r>
        <w:rPr>
          <w:rFonts w:hint="default" w:ascii="Times New Roman" w:hAnsi="Times New Roman" w:cs="Times New Roman"/>
          <w:color w:val="auto"/>
          <w:sz w:val="24"/>
          <w:highlight w:val="none"/>
          <w:lang w:val="en-US" w:eastAsia="zh-CN"/>
        </w:rPr>
        <w:t>获取</w:t>
      </w:r>
      <w:r>
        <w:rPr>
          <w:rFonts w:hint="default" w:ascii="Times New Roman" w:hAnsi="Times New Roman" w:eastAsia="宋体" w:cs="Times New Roman"/>
          <w:color w:val="auto"/>
          <w:sz w:val="24"/>
          <w:highlight w:val="none"/>
        </w:rPr>
        <w:t>招标文件的投标人。该澄清内容为招标文件的组成部分。</w:t>
      </w:r>
    </w:p>
    <w:p>
      <w:pPr>
        <w:pStyle w:val="2"/>
        <w:pageBreakBefore w:val="0"/>
        <w:kinsoku/>
        <w:wordWrap w:val="0"/>
        <w:overflowPunct/>
        <w:bidi w:val="0"/>
        <w:rPr>
          <w:rFonts w:hint="default" w:ascii="Times New Roman" w:hAnsi="Times New Roman" w:cs="Times New Roman"/>
          <w:color w:val="auto"/>
          <w:highlight w:val="none"/>
        </w:rPr>
      </w:pPr>
      <w:bookmarkStart w:id="150" w:name="_Toc26961"/>
      <w:bookmarkStart w:id="151" w:name="_Toc23461"/>
      <w:bookmarkStart w:id="152" w:name="_Toc28846"/>
      <w:bookmarkStart w:id="153" w:name="_Toc234832882"/>
      <w:r>
        <w:rPr>
          <w:rFonts w:hint="default" w:ascii="Times New Roman" w:hAnsi="Times New Roman" w:cs="Times New Roman"/>
          <w:color w:val="auto"/>
          <w:highlight w:val="none"/>
        </w:rPr>
        <w:t>1.11 分包</w:t>
      </w:r>
      <w:bookmarkEnd w:id="150"/>
      <w:bookmarkEnd w:id="151"/>
      <w:bookmarkEnd w:id="152"/>
      <w:bookmarkEnd w:id="15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1.11.1 投标人拟在中标后将中标项目的非主体、非关键性勘察设计工作进行分包的，应符合以下规定：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（1）分包内容要求：允许分包的范围仅限于工程设计中跨专业或有特殊要求的勘察、设计工作。招标人允许分包或不允许分包的工程（如有）应在投标人须知前附表中载明。</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（2）接受分包的第三人资格要求：分包人的资格能力应与其分包工程的标准和规模相适应，且具备投标人须知前附表中规定的资格条件。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（3）其他要求：</w:t>
      </w:r>
      <w:r>
        <w:rPr>
          <w:rFonts w:hint="default" w:ascii="Times New Roman" w:hAnsi="Times New Roman" w:eastAsia="宋体" w:cs="Times New Roman"/>
          <w:color w:val="auto"/>
          <w:sz w:val="24"/>
          <w:highlight w:val="none"/>
          <w:lang w:val="en-US" w:eastAsia="zh-CN"/>
        </w:rPr>
        <w:t>见投标人须知前附表</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1.11.2 中标人不得向他人转让中标项目，接受分包的人不得再次分包。中标人应就分包项目向招标人负责，接受分包的人就分包项目承担连带责任。</w:t>
      </w:r>
    </w:p>
    <w:p>
      <w:pPr>
        <w:pStyle w:val="2"/>
        <w:pageBreakBefore w:val="0"/>
        <w:kinsoku/>
        <w:wordWrap w:val="0"/>
        <w:overflowPunct/>
        <w:bidi w:val="0"/>
        <w:rPr>
          <w:rFonts w:hint="default" w:ascii="Times New Roman" w:hAnsi="Times New Roman" w:cs="Times New Roman"/>
          <w:color w:val="auto"/>
          <w:highlight w:val="none"/>
        </w:rPr>
      </w:pPr>
      <w:bookmarkStart w:id="154" w:name="_Toc234832883"/>
      <w:bookmarkStart w:id="155" w:name="_Toc7588"/>
      <w:bookmarkStart w:id="156" w:name="_Toc24721"/>
      <w:bookmarkStart w:id="157" w:name="_Toc27104"/>
      <w:r>
        <w:rPr>
          <w:rFonts w:hint="default" w:ascii="Times New Roman" w:hAnsi="Times New Roman" w:cs="Times New Roman"/>
          <w:color w:val="auto"/>
          <w:highlight w:val="none"/>
        </w:rPr>
        <w:t xml:space="preserve">1.12 </w:t>
      </w:r>
      <w:bookmarkEnd w:id="154"/>
      <w:r>
        <w:rPr>
          <w:rFonts w:hint="default" w:ascii="Times New Roman" w:hAnsi="Times New Roman" w:cs="Times New Roman"/>
          <w:color w:val="auto"/>
          <w:highlight w:val="none"/>
        </w:rPr>
        <w:t>响应和偏差</w:t>
      </w:r>
      <w:bookmarkEnd w:id="155"/>
      <w:bookmarkEnd w:id="156"/>
      <w:bookmarkEnd w:id="15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1.12.1 投标文件偏离招标文件某些要求，视为投标文件存在偏差。偏差包括重大偏差和细微偏差。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1.12.2 投标文件应对招标文件的实质性要求和条件作出满足性或更有利于招标人的响应，否则，视为投标文件存在重大偏差，投标人的投标将被否决。</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中所列任一否决投标情形的，均属于存在重大偏差。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1.12.3 投标文件中的下列偏差为细微偏差：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的规定对投标价进行算术性错误修正后，最终投标报价未超过最高投标限价（如有）的情况下，出现第三章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规定的算术性错误；</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（2）技术建议书不够完善；</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（3）投标个别文字有遗漏错误等不影响投标文件实质性内容的偏差。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1.12.4 评标委员会对投标文件中的细微偏差按如下规定处理：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（1）对于本章第1.12.3项（1）目所述的细微偏差，按照第三章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的规定予以修正并要求投标人进行澄清；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（2）对于本章第1.12.3项（2）、（3）目所述的细微偏差，可在相关评分因素的评分中酌情扣分。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1.12.5 投标人应根据招标文件的要求提供技术建议书等内容以对招标文件作出响应。</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158" w:name="_Toc10137"/>
      <w:bookmarkStart w:id="159" w:name="_Toc16378"/>
      <w:bookmarkStart w:id="160" w:name="_Toc234832884"/>
      <w:bookmarkStart w:id="161" w:name="_Toc15830"/>
      <w:r>
        <w:rPr>
          <w:rFonts w:hint="default" w:ascii="Times New Roman" w:hAnsi="Times New Roman" w:eastAsia="黑体" w:cs="Times New Roman"/>
          <w:b w:val="0"/>
          <w:color w:val="auto"/>
          <w:sz w:val="28"/>
          <w:szCs w:val="28"/>
          <w:highlight w:val="none"/>
        </w:rPr>
        <w:t>2. 招标文件</w:t>
      </w:r>
      <w:bookmarkEnd w:id="158"/>
      <w:bookmarkEnd w:id="159"/>
      <w:bookmarkEnd w:id="160"/>
      <w:bookmarkEnd w:id="161"/>
    </w:p>
    <w:p>
      <w:pPr>
        <w:pStyle w:val="2"/>
        <w:pageBreakBefore w:val="0"/>
        <w:kinsoku/>
        <w:wordWrap w:val="0"/>
        <w:overflowPunct/>
        <w:bidi w:val="0"/>
        <w:rPr>
          <w:rFonts w:hint="default" w:ascii="Times New Roman" w:hAnsi="Times New Roman" w:cs="Times New Roman"/>
          <w:color w:val="auto"/>
          <w:highlight w:val="none"/>
        </w:rPr>
      </w:pPr>
      <w:bookmarkStart w:id="162" w:name="_Toc27319"/>
      <w:bookmarkStart w:id="163" w:name="_Toc234832885"/>
      <w:bookmarkStart w:id="164" w:name="_Toc10317"/>
      <w:bookmarkStart w:id="165" w:name="_Toc27841"/>
      <w:r>
        <w:rPr>
          <w:rFonts w:hint="default" w:ascii="Times New Roman" w:hAnsi="Times New Roman" w:cs="Times New Roman"/>
          <w:color w:val="auto"/>
          <w:highlight w:val="none"/>
        </w:rPr>
        <w:t>2.1 招标文件的组成</w:t>
      </w:r>
      <w:bookmarkEnd w:id="162"/>
      <w:bookmarkEnd w:id="163"/>
      <w:bookmarkEnd w:id="164"/>
      <w:bookmarkEnd w:id="16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（5）发包人要求；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（6）投标文件格式；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（7）投标人须知前附表规定的其他资料。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当招标文件、招标文件的澄清或修改等在同一内容的表述上不一致时，以最后发出的书面文件为准。</w:t>
      </w:r>
    </w:p>
    <w:p>
      <w:pPr>
        <w:pStyle w:val="2"/>
        <w:pageBreakBefore w:val="0"/>
        <w:kinsoku/>
        <w:wordWrap w:val="0"/>
        <w:overflowPunct/>
        <w:bidi w:val="0"/>
        <w:rPr>
          <w:rFonts w:hint="default" w:ascii="Times New Roman" w:hAnsi="Times New Roman" w:cs="Times New Roman"/>
          <w:color w:val="auto"/>
          <w:highlight w:val="none"/>
        </w:rPr>
      </w:pPr>
      <w:bookmarkStart w:id="166" w:name="_Toc234832886"/>
      <w:bookmarkStart w:id="167" w:name="_Toc24381"/>
      <w:bookmarkStart w:id="168" w:name="_Toc25417"/>
      <w:bookmarkStart w:id="169" w:name="_Toc1585"/>
      <w:r>
        <w:rPr>
          <w:rFonts w:hint="default" w:ascii="Times New Roman" w:hAnsi="Times New Roman" w:cs="Times New Roman"/>
          <w:color w:val="auto"/>
          <w:highlight w:val="none"/>
        </w:rPr>
        <w:t>2.2 招标文件的澄清</w:t>
      </w:r>
      <w:bookmarkEnd w:id="166"/>
      <w:bookmarkEnd w:id="167"/>
      <w:bookmarkEnd w:id="168"/>
      <w:bookmarkEnd w:id="16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招标文件的澄清以投标人须知前附表规定的形式发给所有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的投标人，但不指明澄清问题的来源。澄清发出的时间距本章第4.2.1项规定的投标截止时间不足15日，且澄清内容可能影响投标文件编制的，将相应延长投标截止时间。</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除非招标人认为确有必要答复，否则，招标人有权拒绝回复投标人在本章第2.2.1项规定的时间后提出的任何澄清要求。</w:t>
      </w:r>
    </w:p>
    <w:p>
      <w:pPr>
        <w:pStyle w:val="2"/>
        <w:pageBreakBefore w:val="0"/>
        <w:kinsoku/>
        <w:wordWrap w:val="0"/>
        <w:overflowPunct/>
        <w:bidi w:val="0"/>
        <w:rPr>
          <w:rFonts w:hint="default" w:ascii="Times New Roman" w:hAnsi="Times New Roman" w:cs="Times New Roman"/>
          <w:color w:val="auto"/>
          <w:highlight w:val="none"/>
        </w:rPr>
      </w:pPr>
      <w:bookmarkStart w:id="170" w:name="_Toc234832887"/>
      <w:bookmarkStart w:id="171" w:name="_Toc10952"/>
      <w:bookmarkStart w:id="172" w:name="_Toc11743"/>
      <w:bookmarkStart w:id="173" w:name="_Toc8183"/>
      <w:r>
        <w:rPr>
          <w:rFonts w:hint="default" w:ascii="Times New Roman" w:hAnsi="Times New Roman" w:cs="Times New Roman"/>
          <w:color w:val="auto"/>
          <w:highlight w:val="none"/>
        </w:rPr>
        <w:t>2.3 招标文件的修改</w:t>
      </w:r>
      <w:bookmarkEnd w:id="170"/>
      <w:bookmarkEnd w:id="171"/>
      <w:bookmarkEnd w:id="172"/>
      <w:bookmarkEnd w:id="17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 招标人以投标人须知前附表规定的形式修改招标文件。修改招标文件的时间距本章第4.2.1项规定的投标截止时间不足15日，且修改内容可能影响投标文件编制的，将相应延长投标截止时间。</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2.3.2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174" w:name="_Toc29751"/>
      <w:bookmarkStart w:id="175" w:name="_Toc8435"/>
      <w:bookmarkStart w:id="176" w:name="_Toc15127"/>
      <w:r>
        <w:rPr>
          <w:rFonts w:hint="default" w:ascii="Times New Roman" w:hAnsi="Times New Roman" w:cs="Times New Roman"/>
          <w:color w:val="auto"/>
          <w:highlight w:val="none"/>
        </w:rPr>
        <w:t>2.4 招标文件的异议</w:t>
      </w:r>
      <w:bookmarkEnd w:id="174"/>
      <w:bookmarkEnd w:id="175"/>
      <w:bookmarkEnd w:id="17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177" w:name="_Toc5268"/>
      <w:bookmarkStart w:id="178" w:name="_Toc26616"/>
      <w:bookmarkStart w:id="179" w:name="_Toc234832888"/>
      <w:bookmarkStart w:id="180" w:name="_Toc16399"/>
      <w:r>
        <w:rPr>
          <w:rFonts w:hint="default" w:ascii="Times New Roman" w:hAnsi="Times New Roman" w:eastAsia="黑体" w:cs="Times New Roman"/>
          <w:b w:val="0"/>
          <w:color w:val="auto"/>
          <w:sz w:val="28"/>
          <w:szCs w:val="28"/>
          <w:highlight w:val="none"/>
        </w:rPr>
        <w:t>3. 投标文件</w:t>
      </w:r>
      <w:bookmarkEnd w:id="177"/>
      <w:bookmarkEnd w:id="178"/>
      <w:bookmarkEnd w:id="179"/>
      <w:bookmarkEnd w:id="180"/>
    </w:p>
    <w:p>
      <w:pPr>
        <w:pStyle w:val="2"/>
        <w:pageBreakBefore w:val="0"/>
        <w:kinsoku/>
        <w:wordWrap w:val="0"/>
        <w:overflowPunct/>
        <w:bidi w:val="0"/>
        <w:rPr>
          <w:rFonts w:hint="default" w:ascii="Times New Roman" w:hAnsi="Times New Roman" w:cs="Times New Roman"/>
          <w:color w:val="auto"/>
          <w:highlight w:val="none"/>
        </w:rPr>
      </w:pPr>
      <w:bookmarkStart w:id="181" w:name="_Toc5543"/>
      <w:bookmarkStart w:id="182" w:name="_Toc234832889"/>
      <w:bookmarkStart w:id="183" w:name="_Toc25604"/>
      <w:bookmarkStart w:id="184" w:name="_Toc26670"/>
      <w:r>
        <w:rPr>
          <w:rFonts w:hint="default" w:ascii="Times New Roman" w:hAnsi="Times New Roman" w:cs="Times New Roman"/>
          <w:color w:val="auto"/>
          <w:highlight w:val="none"/>
        </w:rPr>
        <w:t>3.1 投标文件的组成</w:t>
      </w:r>
      <w:bookmarkEnd w:id="181"/>
      <w:bookmarkEnd w:id="182"/>
      <w:bookmarkEnd w:id="183"/>
      <w:bookmarkEnd w:id="18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投标文件应采用双信封形式，包括下列内容：</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w:t>
      </w:r>
      <w:r>
        <w:rPr>
          <w:rFonts w:hint="eastAsia" w:cs="Times New Roman"/>
          <w:color w:val="auto"/>
          <w:sz w:val="24"/>
          <w:highlight w:val="none"/>
          <w:lang w:eastAsia="zh-CN"/>
        </w:rPr>
        <w:t>（</w:t>
      </w:r>
      <w:r>
        <w:rPr>
          <w:rFonts w:hint="eastAsia" w:cs="Times New Roman"/>
          <w:color w:val="auto"/>
          <w:sz w:val="24"/>
          <w:highlight w:val="none"/>
          <w:lang w:val="en-US" w:eastAsia="zh-CN"/>
        </w:rPr>
        <w:t>如有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（4）投标保证金</w:t>
      </w:r>
      <w:r>
        <w:rPr>
          <w:rFonts w:hint="eastAsia" w:cs="Times New Roman"/>
          <w:color w:val="auto"/>
          <w:sz w:val="24"/>
          <w:highlight w:val="none"/>
          <w:lang w:eastAsia="zh-CN"/>
        </w:rPr>
        <w:t>（</w:t>
      </w:r>
      <w:r>
        <w:rPr>
          <w:rFonts w:hint="eastAsia" w:cs="Times New Roman"/>
          <w:color w:val="auto"/>
          <w:sz w:val="24"/>
          <w:highlight w:val="none"/>
          <w:lang w:val="en-US" w:eastAsia="zh-CN"/>
        </w:rPr>
        <w:t>如有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（5）拟分包项目情况表；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（6）资格审查资料；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（7）拟分包项目情况表（</w:t>
      </w:r>
      <w:r>
        <w:rPr>
          <w:rFonts w:hint="default" w:ascii="Times New Roman" w:hAnsi="Times New Roman" w:eastAsia="宋体" w:cs="Times New Roman"/>
          <w:color w:val="auto"/>
          <w:sz w:val="24"/>
          <w:highlight w:val="none"/>
          <w:lang w:val="en-US" w:eastAsia="zh-CN"/>
        </w:rPr>
        <w:t>如有</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）技术建议书；</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）投标人须知前附表规定的其他资料。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（2）勘察设计费用清单。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投标人须知前附表未要求提交投标保证金的，投标文件不包括本章第3.1.1（4）目所指的投标保证金。</w:t>
      </w:r>
    </w:p>
    <w:p>
      <w:pPr>
        <w:pStyle w:val="2"/>
        <w:pageBreakBefore w:val="0"/>
        <w:kinsoku/>
        <w:wordWrap w:val="0"/>
        <w:overflowPunct/>
        <w:bidi w:val="0"/>
        <w:rPr>
          <w:rFonts w:hint="default" w:ascii="Times New Roman" w:hAnsi="Times New Roman" w:cs="Times New Roman"/>
          <w:color w:val="auto"/>
          <w:highlight w:val="none"/>
        </w:rPr>
      </w:pPr>
      <w:bookmarkStart w:id="185" w:name="_Toc26695"/>
      <w:bookmarkStart w:id="186" w:name="_Toc3907"/>
      <w:bookmarkStart w:id="187" w:name="_Toc12165"/>
      <w:bookmarkStart w:id="188" w:name="_Toc234832890"/>
      <w:r>
        <w:rPr>
          <w:rFonts w:hint="default" w:ascii="Times New Roman" w:hAnsi="Times New Roman" w:cs="Times New Roman"/>
          <w:color w:val="auto"/>
          <w:highlight w:val="none"/>
        </w:rPr>
        <w:t>3.2 投标报价</w:t>
      </w:r>
      <w:bookmarkEnd w:id="185"/>
      <w:bookmarkEnd w:id="186"/>
      <w:bookmarkEnd w:id="187"/>
      <w:bookmarkEnd w:id="188"/>
      <w:r>
        <w:rPr>
          <w:rFonts w:hint="default" w:ascii="Times New Roman" w:hAnsi="Times New Roman" w:cs="Times New Roman"/>
          <w:color w:val="auto"/>
          <w:highlight w:val="none"/>
        </w:rPr>
        <w:t xml:space="preserve">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投标报价应包括国家规定的增值税税金，除投标人须知前附表另有规定外，增值税税金按一般计税方法计算。投标人应按第六章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的要求在投标函中进行报价并填写勘察设计费用清单相应表格。</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投标人应充分了解本项目的总体情况以及影响投标报价的其他要素，按照招标文件规定的勘察设计工作内容和计划工作量，自行测算勘察设计费用。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w:t>
      </w:r>
      <w:bookmarkStart w:id="189" w:name="_Toc15242"/>
      <w:bookmarkEnd w:id="189"/>
      <w:bookmarkStart w:id="190" w:name="_Toc152045543"/>
      <w:bookmarkEnd w:id="190"/>
      <w:bookmarkStart w:id="191" w:name="_Toc352691487"/>
      <w:bookmarkEnd w:id="191"/>
      <w:bookmarkStart w:id="192" w:name="_Toc361508599"/>
      <w:bookmarkEnd w:id="192"/>
      <w:bookmarkStart w:id="193" w:name="_Toc247527568"/>
      <w:bookmarkEnd w:id="193"/>
      <w:bookmarkStart w:id="194" w:name="_Toc247513967"/>
      <w:bookmarkEnd w:id="194"/>
      <w:bookmarkStart w:id="195" w:name="_Toc369531530"/>
      <w:bookmarkEnd w:id="195"/>
      <w:bookmarkStart w:id="196" w:name="_Toc144974511"/>
      <w:bookmarkEnd w:id="196"/>
      <w:bookmarkStart w:id="197" w:name="_Toc152042319"/>
      <w:bookmarkEnd w:id="197"/>
      <w:bookmarkStart w:id="198" w:name="_Toc300834964"/>
      <w:bookmarkEnd w:id="198"/>
      <w:bookmarkStart w:id="199" w:name="_Toc384308224"/>
      <w:bookmarkEnd w:id="199"/>
      <w:r>
        <w:rPr>
          <w:rFonts w:hint="default" w:ascii="Times New Roman" w:hAnsi="Times New Roman" w:eastAsia="宋体" w:cs="Times New Roman"/>
          <w:color w:val="auto"/>
          <w:sz w:val="24"/>
          <w:highlight w:val="none"/>
        </w:rPr>
        <w:t xml:space="preserve"> 本项目的报价方式见投标人须知前附表。投标人在投标截止时间前修改投标函中的投标报价总额，应同时修改投标文件</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勘察设计费用清单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中的相应报价。此修改须符合本章第4.3款的有关要求。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招标人设有最高投标限价的，投标人的投标报价不得超过最高投标限价，最高投标限价在投标</w:t>
      </w:r>
      <w:bookmarkStart w:id="200" w:name="_Toc369531531"/>
      <w:bookmarkStart w:id="201" w:name="_Toc10429"/>
      <w:bookmarkStart w:id="202" w:name="_Toc152042320"/>
      <w:bookmarkStart w:id="203" w:name="_Toc300834965"/>
      <w:bookmarkStart w:id="204" w:name="_Toc352691488"/>
      <w:bookmarkStart w:id="205" w:name="_Toc361508600"/>
      <w:bookmarkStart w:id="206" w:name="_Toc152045544"/>
      <w:bookmarkStart w:id="207" w:name="_Toc247527569"/>
      <w:bookmarkStart w:id="208" w:name="_Toc384308225"/>
      <w:bookmarkStart w:id="209" w:name="_Toc247513968"/>
      <w:bookmarkStart w:id="210" w:name="_Toc144974512"/>
      <w:r>
        <w:rPr>
          <w:rFonts w:hint="default" w:ascii="Times New Roman" w:hAnsi="Times New Roman" w:eastAsia="宋体" w:cs="Times New Roman"/>
          <w:color w:val="auto"/>
          <w:sz w:val="24"/>
          <w:highlight w:val="none"/>
        </w:rPr>
        <w:t>人须知前附表中载明。</w:t>
      </w:r>
      <w:bookmarkEnd w:id="200"/>
      <w:bookmarkEnd w:id="201"/>
      <w:bookmarkEnd w:id="202"/>
      <w:bookmarkEnd w:id="203"/>
      <w:bookmarkEnd w:id="204"/>
      <w:bookmarkEnd w:id="205"/>
      <w:bookmarkEnd w:id="206"/>
      <w:bookmarkEnd w:id="207"/>
      <w:bookmarkEnd w:id="208"/>
      <w:bookmarkEnd w:id="209"/>
      <w:bookmarkEnd w:id="21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投标报价的其他要求见投标人须知前附表。</w:t>
      </w:r>
    </w:p>
    <w:p>
      <w:pPr>
        <w:pStyle w:val="2"/>
        <w:pageBreakBefore w:val="0"/>
        <w:kinsoku/>
        <w:wordWrap w:val="0"/>
        <w:overflowPunct/>
        <w:bidi w:val="0"/>
        <w:rPr>
          <w:rFonts w:hint="default" w:ascii="Times New Roman" w:hAnsi="Times New Roman" w:cs="Times New Roman"/>
          <w:color w:val="auto"/>
          <w:highlight w:val="none"/>
        </w:rPr>
      </w:pPr>
      <w:bookmarkStart w:id="211" w:name="_Toc234832891"/>
      <w:bookmarkStart w:id="212" w:name="_Toc30467"/>
      <w:bookmarkStart w:id="213" w:name="_Toc13452"/>
      <w:bookmarkStart w:id="214" w:name="_Toc29087"/>
      <w:r>
        <w:rPr>
          <w:rFonts w:hint="default" w:ascii="Times New Roman" w:hAnsi="Times New Roman" w:cs="Times New Roman"/>
          <w:color w:val="auto"/>
          <w:highlight w:val="none"/>
        </w:rPr>
        <w:t>3.3 投标有效期</w:t>
      </w:r>
      <w:bookmarkEnd w:id="211"/>
      <w:bookmarkEnd w:id="212"/>
      <w:bookmarkEnd w:id="213"/>
      <w:bookmarkEnd w:id="21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除投标人须知前附表另有规定外，投标有效期为90日。</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 在投标有效期内，投标人撤销投标文件的，应承担招标文件和法律规定的责任。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出现特殊情况需要延长投标有效期的，招标人</w:t>
      </w:r>
      <w:r>
        <w:rPr>
          <w:rFonts w:hint="eastAsia"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pStyle w:val="2"/>
        <w:pageBreakBefore w:val="0"/>
        <w:kinsoku/>
        <w:wordWrap w:val="0"/>
        <w:overflowPunct/>
        <w:bidi w:val="0"/>
        <w:rPr>
          <w:rFonts w:hint="default" w:ascii="Times New Roman" w:hAnsi="Times New Roman" w:cs="Times New Roman"/>
          <w:color w:val="auto"/>
          <w:highlight w:val="none"/>
        </w:rPr>
      </w:pPr>
      <w:bookmarkStart w:id="215" w:name="_Toc234832892"/>
      <w:bookmarkStart w:id="216" w:name="_Toc13446"/>
      <w:bookmarkStart w:id="217" w:name="_Toc12400"/>
      <w:bookmarkStart w:id="218" w:name="_Toc8095"/>
      <w:r>
        <w:rPr>
          <w:rFonts w:hint="default" w:ascii="Times New Roman" w:hAnsi="Times New Roman" w:cs="Times New Roman"/>
          <w:color w:val="auto"/>
          <w:highlight w:val="none"/>
        </w:rPr>
        <w:t>3.4 投标保证金</w:t>
      </w:r>
      <w:bookmarkEnd w:id="215"/>
      <w:bookmarkEnd w:id="216"/>
      <w:bookmarkEnd w:id="217"/>
      <w:bookmarkEnd w:id="218"/>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投标人在递交投标文件的同时，应按投标人须知前附表规定的金额和第六章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w:t>
      </w:r>
      <w:r>
        <w:rPr>
          <w:rFonts w:hint="eastAsia" w:cs="Times New Roman"/>
          <w:color w:val="auto"/>
          <w:sz w:val="24"/>
          <w:highlight w:val="none"/>
          <w:lang w:eastAsia="zh-CN"/>
        </w:rPr>
        <w:t>原件扫描件</w:t>
      </w:r>
      <w:r>
        <w:rPr>
          <w:rFonts w:hint="eastAsia" w:cs="Times New Roman"/>
          <w:color w:val="auto"/>
          <w:sz w:val="24"/>
          <w:highlight w:val="none"/>
          <w:lang w:val="en-US" w:eastAsia="zh-CN"/>
        </w:rPr>
        <w:t>编辑</w:t>
      </w:r>
      <w:r>
        <w:rPr>
          <w:rFonts w:hint="default" w:ascii="Times New Roman" w:hAnsi="Times New Roman" w:eastAsia="宋体" w:cs="Times New Roman"/>
          <w:color w:val="auto"/>
          <w:sz w:val="24"/>
          <w:highlight w:val="none"/>
        </w:rPr>
        <w:t>在投标文件内。</w:t>
      </w:r>
    </w:p>
    <w:p>
      <w:pPr>
        <w:pageBreakBefore w:val="0"/>
        <w:kinsoku/>
        <w:wordWrap w:val="0"/>
        <w:overflowPunct/>
        <w:bidi w:val="0"/>
        <w:spacing w:line="400" w:lineRule="atLeast"/>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）若采用电子保函形式提交，投标人应在投标文件中提供电子保函的扫描件和电子化保函验真渠道。</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投标人不按本章第3.4.1项要求提交投标保证金的，评标委员会将否决其投标。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利息计算原则见投标人须知前附表。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有下列情形之一的，投标保证金将不予退还：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（3）发生投标人须知前附表规定的其他可以不予退还投标保证金的情形。</w:t>
      </w:r>
    </w:p>
    <w:p>
      <w:pPr>
        <w:pStyle w:val="2"/>
        <w:pageBreakBefore w:val="0"/>
        <w:kinsoku/>
        <w:wordWrap w:val="0"/>
        <w:overflowPunct/>
        <w:bidi w:val="0"/>
        <w:rPr>
          <w:rFonts w:hint="default" w:ascii="Times New Roman" w:hAnsi="Times New Roman" w:cs="Times New Roman"/>
          <w:color w:val="auto"/>
          <w:highlight w:val="none"/>
        </w:rPr>
      </w:pPr>
      <w:bookmarkStart w:id="219" w:name="_Toc234832894"/>
      <w:bookmarkStart w:id="220" w:name="_Toc29802"/>
      <w:bookmarkStart w:id="221" w:name="_Toc3702"/>
      <w:bookmarkStart w:id="222" w:name="_Toc29788"/>
      <w:r>
        <w:rPr>
          <w:rFonts w:hint="default" w:ascii="Times New Roman" w:hAnsi="Times New Roman" w:cs="Times New Roman"/>
          <w:color w:val="auto"/>
          <w:highlight w:val="none"/>
        </w:rPr>
        <w:t>3.5 资格审查资料</w:t>
      </w:r>
      <w:bookmarkEnd w:id="219"/>
      <w:bookmarkEnd w:id="220"/>
      <w:bookmarkEnd w:id="221"/>
      <w:bookmarkEnd w:id="22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除投标人须知前附表另有规定外，投标人应按下列规定提供资格审查资料，以证明其满足本章第1.4款规定的资质、业绩、信誉等要求。</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val="en-US"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3.5.1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应附企业法人营业执照、勘察资质证书、设计资质证书、</w:t>
      </w:r>
      <w:r>
        <w:rPr>
          <w:rFonts w:hint="default" w:ascii="Times New Roman" w:hAnsi="Times New Roman" w:cs="Times New Roman"/>
          <w:color w:val="auto"/>
          <w:sz w:val="24"/>
          <w:szCs w:val="24"/>
          <w:highlight w:val="none"/>
          <w:lang w:eastAsia="zh-CN"/>
        </w:rPr>
        <w:t>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eastAsia" w:cs="Times New Roman"/>
          <w:color w:val="auto"/>
          <w:sz w:val="24"/>
          <w:szCs w:val="24"/>
          <w:highlight w:val="none"/>
          <w:lang w:eastAsia="zh-CN"/>
        </w:rPr>
        <w:t>原件扫描件</w:t>
      </w:r>
      <w:r>
        <w:rPr>
          <w:rFonts w:hint="default" w:ascii="Times New Roman" w:hAnsi="Times New Roman" w:eastAsia="宋体" w:cs="Times New Roman"/>
          <w:color w:val="auto"/>
          <w:sz w:val="24"/>
          <w:highlight w:val="none"/>
        </w:rPr>
        <w:t>，投标人在交通运输部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公路工程设计资质企业名录中的网页截图</w:t>
      </w:r>
      <w:r>
        <w:rPr>
          <w:rStyle w:val="56"/>
          <w:rFonts w:hint="default" w:ascii="Times New Roman" w:hAnsi="Times New Roman" w:eastAsia="宋体" w:cs="Times New Roman"/>
          <w:color w:val="auto"/>
          <w:sz w:val="24"/>
          <w:highlight w:val="none"/>
        </w:rPr>
        <w:footnoteReference w:id="25"/>
      </w:r>
      <w:r>
        <w:rPr>
          <w:rFonts w:hint="default" w:ascii="Times New Roman" w:hAnsi="Times New Roman" w:eastAsia="宋体" w:cs="Times New Roman"/>
          <w:color w:val="auto"/>
          <w:sz w:val="24"/>
          <w:highlight w:val="none"/>
        </w:rPr>
        <w:t>，以及投标人在国家企业信用信息公示系统中基础信息（体现股东及出资详细信息）的网页截图。</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企业法人营业执照、勘察资质证书、设计资质证书、基本账户开户许可证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3.5.2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pPr>
        <w:pageBreakBefore w:val="0"/>
        <w:kinsoku/>
        <w:wordWrap w:val="0"/>
        <w:topLinePunct/>
        <w:bidi w:val="0"/>
        <w:spacing w:line="400" w:lineRule="atLeast"/>
        <w:ind w:firstLine="480" w:firstLineChars="200"/>
        <w:rPr>
          <w:rFonts w:hint="eastAsia" w:ascii="宋体" w:hAnsi="宋体" w:eastAsia="宋体" w:cs="宋体"/>
          <w:color w:val="auto"/>
          <w:sz w:val="24"/>
          <w:highlight w:val="none"/>
        </w:rPr>
      </w:pPr>
      <w:r>
        <w:rPr>
          <w:rFonts w:hint="eastAsia" w:cs="Times New Roman"/>
          <w:color w:val="auto"/>
          <w:sz w:val="24"/>
          <w:highlight w:val="none"/>
          <w:lang w:val="en-US" w:eastAsia="zh-CN"/>
        </w:rPr>
        <w:t>投标人应在</w:t>
      </w:r>
      <w:r>
        <w:rPr>
          <w:rFonts w:hint="eastAsia" w:ascii="宋体" w:hAnsi="宋体" w:eastAsia="宋体" w:cs="宋体"/>
          <w:color w:val="auto"/>
          <w:sz w:val="24"/>
          <w:highlight w:val="none"/>
        </w:rPr>
        <w:t>“辽宁省公共资源交易一张网电子化平台”</w:t>
      </w:r>
      <w:r>
        <w:rPr>
          <w:rFonts w:hint="eastAsia" w:ascii="宋体" w:hAnsi="宋体" w:cs="宋体"/>
          <w:color w:val="auto"/>
          <w:sz w:val="24"/>
          <w:highlight w:val="none"/>
          <w:lang w:eastAsia="zh-CN"/>
        </w:rPr>
        <w:t>主体信息库</w:t>
      </w:r>
      <w:r>
        <w:rPr>
          <w:rFonts w:hint="eastAsia" w:ascii="宋体" w:hAnsi="宋体" w:eastAsia="宋体" w:cs="宋体"/>
          <w:color w:val="auto"/>
          <w:sz w:val="24"/>
          <w:highlight w:val="none"/>
        </w:rPr>
        <w:t>中选择并进行超链接</w:t>
      </w:r>
      <w:r>
        <w:rPr>
          <w:rFonts w:hint="eastAsia" w:ascii="宋体" w:hAnsi="宋体" w:cs="宋体"/>
          <w:color w:val="auto"/>
          <w:sz w:val="24"/>
          <w:highlight w:val="none"/>
          <w:lang w:eastAsia="zh-CN"/>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3.5.3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”（或中国执行信息公开网）</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近三年内（以投标截止日期为截止日、往前推算3个年度）投标人单位、个人（指法定代表人、拟投入的项目负责人）均无行贿犯罪行为的书面承诺</w:t>
      </w:r>
      <w:r>
        <w:rPr>
          <w:rFonts w:hint="eastAsia" w:cs="Times New Roman"/>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（格式详见招标文件第六章）</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3.5.4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拟委任的项目负责人资历表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应附项目负责人的身份证、职称资格证书和资格审查条件所要求的其他相关证书的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，以及投标人所属社保机构出具的拟委任的项目负责人的社保缴费证明或其他能够证明拟委任的项目负责人参加社保的有效证明材料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3.5.5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拟委任的分项负责人汇总表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（如有）应填报满足投标人须知前附表附录5规定的各专业分项负责人的相关信息。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拟委任的分项负责人资历表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（如有）中分项负责人应附身份证、职称资格证书和资格审查条件所要求的其他相关证书的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，以及投标人所属社保机构出具的社保缴费证明或其他能够证明其参加社保的有效证明材料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3.5.6 投标人须知前附表规定接受联合体投标的，本章第3.5.1项至第3.5.5项规定的表格和资料应包括联合体各方相关情况。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3.5.7 除合同条款约定的特殊情形外，投标人在投标文件中填报的项目负责人不允许更换。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 投标人应根据本单位实际情况及时完成相关信息的申报、录入和动态更新，并对相关信息的真实性、完整性和准确性负责。</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合同价款或履约保证金中扣除不超过5％签约合同价的金额作为违约金。同时招标人将投标人上述弄虚作假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223" w:name="_Toc4769"/>
      <w:bookmarkStart w:id="224" w:name="_Toc28100"/>
      <w:bookmarkStart w:id="225" w:name="_Toc16919"/>
      <w:bookmarkStart w:id="226" w:name="_Toc234832895"/>
      <w:r>
        <w:rPr>
          <w:rFonts w:hint="default" w:ascii="Times New Roman" w:hAnsi="Times New Roman" w:cs="Times New Roman"/>
          <w:color w:val="auto"/>
          <w:highlight w:val="none"/>
        </w:rPr>
        <w:t>3.6 备选投标方案</w:t>
      </w:r>
      <w:bookmarkEnd w:id="223"/>
      <w:bookmarkEnd w:id="224"/>
      <w:bookmarkEnd w:id="225"/>
      <w:bookmarkEnd w:id="22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除投标人须知前附表规定允许外，投标人不得递交备选投标方案，否则其投标将被否决。</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投标人提供两个或两个以上投标报价，或在投标文件中提供一个报价，但同时提供两个或两个以上</w:t>
      </w:r>
      <w:bookmarkStart w:id="227" w:name="_Toc144974518"/>
      <w:bookmarkStart w:id="228" w:name="_Toc152045550"/>
      <w:bookmarkStart w:id="229" w:name="_Toc352691495"/>
      <w:bookmarkStart w:id="230" w:name="_Toc29902"/>
      <w:bookmarkStart w:id="231" w:name="_Toc300834971"/>
      <w:bookmarkStart w:id="232" w:name="_Toc384308232"/>
      <w:bookmarkStart w:id="233" w:name="_Toc369531538"/>
      <w:bookmarkStart w:id="234" w:name="_Toc152042326"/>
      <w:bookmarkStart w:id="235" w:name="_Toc361508607"/>
      <w:bookmarkStart w:id="236" w:name="_Toc247513974"/>
      <w:bookmarkStart w:id="237" w:name="_Toc247527575"/>
      <w:r>
        <w:rPr>
          <w:rFonts w:hint="default" w:ascii="Times New Roman" w:hAnsi="Times New Roman" w:eastAsia="宋体" w:cs="Times New Roman"/>
          <w:color w:val="auto"/>
          <w:sz w:val="24"/>
          <w:highlight w:val="none"/>
        </w:rPr>
        <w:t>技术建议书的</w:t>
      </w:r>
      <w:bookmarkEnd w:id="227"/>
      <w:bookmarkEnd w:id="228"/>
      <w:bookmarkEnd w:id="229"/>
      <w:bookmarkEnd w:id="230"/>
      <w:bookmarkEnd w:id="231"/>
      <w:bookmarkEnd w:id="232"/>
      <w:bookmarkEnd w:id="233"/>
      <w:bookmarkEnd w:id="234"/>
      <w:bookmarkEnd w:id="235"/>
      <w:bookmarkEnd w:id="236"/>
      <w:bookmarkEnd w:id="237"/>
      <w:r>
        <w:rPr>
          <w:rFonts w:hint="default" w:ascii="Times New Roman" w:hAnsi="Times New Roman" w:eastAsia="宋体" w:cs="Times New Roman"/>
          <w:color w:val="auto"/>
          <w:sz w:val="24"/>
          <w:highlight w:val="none"/>
        </w:rPr>
        <w:t>，视为提供备选方案。</w:t>
      </w:r>
    </w:p>
    <w:p>
      <w:pPr>
        <w:pStyle w:val="2"/>
        <w:pageBreakBefore w:val="0"/>
        <w:kinsoku/>
        <w:wordWrap w:val="0"/>
        <w:overflowPunct/>
        <w:bidi w:val="0"/>
        <w:rPr>
          <w:rFonts w:hint="default" w:ascii="Times New Roman" w:hAnsi="Times New Roman" w:cs="Times New Roman"/>
          <w:color w:val="auto"/>
          <w:highlight w:val="none"/>
        </w:rPr>
      </w:pPr>
      <w:bookmarkStart w:id="238" w:name="_Toc8830"/>
      <w:bookmarkStart w:id="239" w:name="_Toc234832896"/>
      <w:bookmarkStart w:id="240" w:name="_Toc11668"/>
      <w:bookmarkStart w:id="241" w:name="_Toc12399"/>
      <w:r>
        <w:rPr>
          <w:rFonts w:hint="default" w:ascii="Times New Roman" w:hAnsi="Times New Roman" w:cs="Times New Roman"/>
          <w:color w:val="auto"/>
          <w:highlight w:val="none"/>
        </w:rPr>
        <w:t>3.7 投标文件的编制</w:t>
      </w:r>
      <w:bookmarkEnd w:id="238"/>
      <w:bookmarkEnd w:id="239"/>
      <w:bookmarkEnd w:id="240"/>
      <w:bookmarkEnd w:id="24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投标文件应按第六章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投标文件应对招标文件有关勘察设计服务期限、投标有效期、质量要求、安全目标、发包人要求、招标范围等实质性内容作出响应。</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投标文件的制作应满足以下规定：</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主体信息库</w:t>
      </w:r>
      <w:r>
        <w:rPr>
          <w:rFonts w:hint="default" w:ascii="Times New Roman" w:hAnsi="Times New Roman" w:cs="Times New Roman"/>
          <w:color w:val="auto"/>
          <w:sz w:val="24"/>
          <w:szCs w:val="24"/>
          <w:highlight w:val="none"/>
        </w:rPr>
        <w:t>中选择并进行超链接，未标示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eastAsia" w:cs="Times New Roman"/>
          <w:color w:val="auto"/>
          <w:sz w:val="24"/>
          <w:szCs w:val="24"/>
          <w:highlight w:val="none"/>
          <w:lang w:val="en-US" w:eastAsia="zh-CN"/>
        </w:rPr>
        <w:t>六</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 数字证书加盖投标人的单位电子印章和（或）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的个人电子印章或电子签名。联合体投标的，投标文件由联合体牵头人按上述规定加盖联合体牵头人单位电子印章和（或）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 数字证书对投标文件进行文件加密，形成加密的投标文件。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 因投标人自身原因而导致投标文件无法导入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3.7.5 </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 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pPr>
        <w:pStyle w:val="2"/>
        <w:pageBreakBefore w:val="0"/>
        <w:kinsoku/>
        <w:wordWrap w:val="0"/>
        <w:overflowPunct/>
        <w:bidi w:val="0"/>
        <w:spacing w:before="360" w:after="240" w:line="240" w:lineRule="atLeast"/>
        <w:rPr>
          <w:rFonts w:hint="default" w:ascii="Times New Roman" w:hAnsi="Times New Roman" w:eastAsia="宋体" w:cs="Times New Roman"/>
          <w:b w:val="0"/>
          <w:color w:val="auto"/>
          <w:sz w:val="28"/>
          <w:szCs w:val="28"/>
          <w:highlight w:val="none"/>
        </w:rPr>
      </w:pPr>
      <w:bookmarkStart w:id="242" w:name="_Toc29365"/>
      <w:bookmarkStart w:id="243" w:name="_Toc12988"/>
      <w:bookmarkStart w:id="244" w:name="_Toc12926"/>
      <w:bookmarkStart w:id="245" w:name="_Toc234832897"/>
      <w:r>
        <w:rPr>
          <w:rFonts w:hint="default" w:ascii="Times New Roman" w:hAnsi="Times New Roman" w:eastAsia="黑体" w:cs="Times New Roman"/>
          <w:b w:val="0"/>
          <w:color w:val="auto"/>
          <w:sz w:val="28"/>
          <w:szCs w:val="28"/>
          <w:highlight w:val="none"/>
        </w:rPr>
        <w:t>4. 投标</w:t>
      </w:r>
      <w:bookmarkEnd w:id="242"/>
      <w:bookmarkEnd w:id="243"/>
      <w:bookmarkEnd w:id="244"/>
      <w:bookmarkEnd w:id="245"/>
      <w:r>
        <w:rPr>
          <w:rFonts w:hint="default" w:ascii="Times New Roman" w:hAnsi="Times New Roman" w:eastAsia="宋体" w:cs="Times New Roman"/>
          <w:b w:val="0"/>
          <w:color w:val="auto"/>
          <w:sz w:val="28"/>
          <w:szCs w:val="28"/>
          <w:highlight w:val="none"/>
        </w:rPr>
        <w:tab/>
      </w:r>
    </w:p>
    <w:p>
      <w:pPr>
        <w:pStyle w:val="2"/>
        <w:bidi w:val="0"/>
        <w:rPr>
          <w:rFonts w:hint="default" w:ascii="Times New Roman" w:hAnsi="Times New Roman" w:cs="Times New Roman"/>
          <w:color w:val="auto"/>
          <w:highlight w:val="none"/>
        </w:rPr>
      </w:pPr>
      <w:bookmarkStart w:id="246" w:name="_Toc2436"/>
      <w:bookmarkStart w:id="247" w:name="_Toc17830"/>
      <w:bookmarkStart w:id="248" w:name="_Toc2664"/>
      <w:bookmarkStart w:id="249" w:name="_Toc15249"/>
      <w:r>
        <w:rPr>
          <w:rFonts w:hint="default" w:ascii="Times New Roman" w:hAnsi="Times New Roman" w:cs="Times New Roman"/>
          <w:color w:val="auto"/>
          <w:highlight w:val="none"/>
        </w:rPr>
        <w:t>4.1 投标文件的密封和标记</w:t>
      </w:r>
      <w:bookmarkEnd w:id="246"/>
      <w:bookmarkEnd w:id="247"/>
      <w:bookmarkEnd w:id="248"/>
      <w:bookmarkEnd w:id="249"/>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pPr>
        <w:pStyle w:val="2"/>
        <w:bidi w:val="0"/>
        <w:rPr>
          <w:rFonts w:hint="default" w:ascii="Times New Roman" w:hAnsi="Times New Roman" w:cs="Times New Roman"/>
          <w:color w:val="auto"/>
          <w:highlight w:val="none"/>
        </w:rPr>
      </w:pPr>
      <w:bookmarkStart w:id="250" w:name="_Toc26227"/>
      <w:bookmarkStart w:id="251" w:name="_Toc31971"/>
      <w:bookmarkStart w:id="252" w:name="_Toc23313"/>
      <w:bookmarkStart w:id="253" w:name="_Toc26071"/>
      <w:r>
        <w:rPr>
          <w:rFonts w:hint="default" w:ascii="Times New Roman" w:hAnsi="Times New Roman" w:cs="Times New Roman"/>
          <w:color w:val="auto"/>
          <w:highlight w:val="none"/>
        </w:rPr>
        <w:t>4.2 投标文件的递交</w:t>
      </w:r>
      <w:bookmarkEnd w:id="250"/>
      <w:bookmarkEnd w:id="251"/>
      <w:bookmarkEnd w:id="252"/>
      <w:bookmarkEnd w:id="253"/>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 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4.2.2 根据本章第4.1款的规定，投标人递交的投标文件，只要出现应当拒收的情形，其投标文件予以拒收。</w:t>
      </w:r>
    </w:p>
    <w:p>
      <w:pPr>
        <w:pStyle w:val="2"/>
        <w:bidi w:val="0"/>
        <w:rPr>
          <w:rFonts w:hint="default" w:ascii="Times New Roman" w:hAnsi="Times New Roman" w:cs="Times New Roman"/>
          <w:color w:val="auto"/>
          <w:highlight w:val="none"/>
        </w:rPr>
      </w:pPr>
      <w:bookmarkStart w:id="254" w:name="_Toc5755"/>
      <w:bookmarkStart w:id="255" w:name="_Toc22511"/>
      <w:bookmarkStart w:id="256" w:name="_Toc31061"/>
      <w:bookmarkStart w:id="257" w:name="_Toc10970"/>
      <w:r>
        <w:rPr>
          <w:rFonts w:hint="default" w:ascii="Times New Roman" w:hAnsi="Times New Roman" w:cs="Times New Roman"/>
          <w:color w:val="auto"/>
          <w:highlight w:val="none"/>
        </w:rPr>
        <w:t>4.3 投标文件的修改与撤回</w:t>
      </w:r>
      <w:bookmarkEnd w:id="254"/>
      <w:bookmarkEnd w:id="255"/>
      <w:bookmarkEnd w:id="256"/>
      <w:bookmarkEnd w:id="257"/>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 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 投标人撤回投标文件的，招标人自收到投标人书面撤回通知之日起5日内退还已收取的投标保证金。</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58" w:name="_Toc29489"/>
      <w:bookmarkStart w:id="259" w:name="_Toc234832901"/>
      <w:bookmarkStart w:id="260" w:name="_Toc20016"/>
      <w:bookmarkStart w:id="261" w:name="_Toc6008"/>
      <w:r>
        <w:rPr>
          <w:rFonts w:hint="default" w:ascii="Times New Roman" w:hAnsi="Times New Roman" w:eastAsia="黑体" w:cs="Times New Roman"/>
          <w:b w:val="0"/>
          <w:color w:val="auto"/>
          <w:sz w:val="28"/>
          <w:szCs w:val="28"/>
          <w:highlight w:val="none"/>
        </w:rPr>
        <w:t>5. 开标</w:t>
      </w:r>
      <w:bookmarkEnd w:id="258"/>
      <w:bookmarkEnd w:id="259"/>
      <w:bookmarkEnd w:id="260"/>
      <w:bookmarkEnd w:id="261"/>
    </w:p>
    <w:p>
      <w:pPr>
        <w:pStyle w:val="2"/>
        <w:pageBreakBefore w:val="0"/>
        <w:kinsoku/>
        <w:wordWrap w:val="0"/>
        <w:overflowPunct/>
        <w:bidi w:val="0"/>
        <w:rPr>
          <w:rFonts w:hint="default" w:ascii="Times New Roman" w:hAnsi="Times New Roman" w:cs="Times New Roman"/>
          <w:color w:val="auto"/>
          <w:highlight w:val="none"/>
        </w:rPr>
      </w:pPr>
      <w:bookmarkStart w:id="262" w:name="_Toc18474"/>
      <w:bookmarkStart w:id="263" w:name="_Toc4989"/>
      <w:bookmarkStart w:id="264" w:name="_Toc30858"/>
      <w:bookmarkStart w:id="265" w:name="_Toc234832902"/>
      <w:r>
        <w:rPr>
          <w:rFonts w:hint="default" w:ascii="Times New Roman" w:hAnsi="Times New Roman" w:cs="Times New Roman"/>
          <w:color w:val="auto"/>
          <w:highlight w:val="none"/>
        </w:rPr>
        <w:t>5.1 开标时间和地点</w:t>
      </w:r>
      <w:bookmarkEnd w:id="262"/>
      <w:bookmarkEnd w:id="263"/>
      <w:bookmarkEnd w:id="26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5.1.1 招标人在投标人须知前附表规定的投标截止时间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开标时间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和地点在</w:t>
      </w:r>
      <w:r>
        <w:rPr>
          <w:rFonts w:hint="eastAsia" w:ascii="宋体" w:hAnsi="宋体" w:eastAsia="宋体" w:cs="宋体"/>
          <w:color w:val="auto"/>
          <w:sz w:val="24"/>
          <w:highlight w:val="none"/>
        </w:rPr>
        <w:t>“辽宁省公共资源交易中心不见面开标大厅”（以下简称“不见面开标大厅”）</w:t>
      </w:r>
      <w:r>
        <w:rPr>
          <w:rFonts w:hint="default" w:ascii="Times New Roman" w:hAnsi="Times New Roman" w:eastAsia="宋体" w:cs="Times New Roman"/>
          <w:color w:val="auto"/>
          <w:sz w:val="24"/>
          <w:highlight w:val="none"/>
        </w:rPr>
        <w:t>上公开进行第一个信封（商务及技术文件）开标，所有投标人均应当准时在线参加开标。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招标人还将在投标人须知前附表规定的时间和地点对投标文件第二个信封（报价文件）在</w:t>
      </w:r>
      <w:r>
        <w:rPr>
          <w:rFonts w:hint="eastAsia" w:ascii="宋体" w:hAnsi="宋体" w:eastAsia="宋体" w:cs="宋体"/>
          <w:color w:val="auto"/>
          <w:sz w:val="24"/>
          <w:highlight w:val="none"/>
        </w:rPr>
        <w:t>“不见面开标大厅”</w:t>
      </w:r>
      <w:r>
        <w:rPr>
          <w:rFonts w:hint="default" w:ascii="Times New Roman" w:hAnsi="Times New Roman" w:eastAsia="宋体" w:cs="Times New Roman"/>
          <w:color w:val="auto"/>
          <w:sz w:val="24"/>
          <w:highlight w:val="none"/>
        </w:rPr>
        <w:t>进行公开开标，并邀请所有投标人代表准时参加。</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投标人代表应按时参加第一个信封（商务及技术文件）及第二个信封（报价文件）</w:t>
      </w:r>
      <w:r>
        <w:rPr>
          <w:rFonts w:hint="eastAsia" w:cs="Times New Roman"/>
          <w:color w:val="auto"/>
          <w:sz w:val="24"/>
          <w:highlight w:val="none"/>
          <w:lang w:val="en-US" w:eastAsia="zh-CN"/>
        </w:rPr>
        <w:t>线上</w:t>
      </w:r>
      <w:r>
        <w:rPr>
          <w:rFonts w:hint="default" w:ascii="Times New Roman" w:hAnsi="Times New Roman" w:eastAsia="宋体" w:cs="Times New Roman"/>
          <w:color w:val="auto"/>
          <w:sz w:val="24"/>
          <w:highlight w:val="none"/>
        </w:rPr>
        <w:t>开标会。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5.1.2 投标人应当在能够保证设施设备可靠、互联网畅通的任意地点，通过互联网在线参加开标，并实时在线关注招标人的操作情况。</w:t>
      </w:r>
    </w:p>
    <w:bookmarkEnd w:id="265"/>
    <w:p>
      <w:pPr>
        <w:pStyle w:val="2"/>
        <w:pageBreakBefore w:val="0"/>
        <w:kinsoku/>
        <w:wordWrap w:val="0"/>
        <w:overflowPunct/>
        <w:bidi w:val="0"/>
        <w:rPr>
          <w:rFonts w:hint="default" w:ascii="Times New Roman" w:hAnsi="Times New Roman" w:cs="Times New Roman"/>
          <w:color w:val="auto"/>
          <w:highlight w:val="none"/>
        </w:rPr>
      </w:pPr>
      <w:bookmarkStart w:id="266" w:name="_Toc32020"/>
      <w:bookmarkStart w:id="267" w:name="_Toc29405"/>
      <w:bookmarkStart w:id="268" w:name="_Toc1098"/>
      <w:bookmarkStart w:id="269" w:name="_Toc234832905"/>
      <w:r>
        <w:rPr>
          <w:rFonts w:hint="default" w:ascii="Times New Roman" w:hAnsi="Times New Roman" w:cs="Times New Roman"/>
          <w:color w:val="auto"/>
          <w:highlight w:val="none"/>
        </w:rPr>
        <w:t>5.2 开标程序</w:t>
      </w:r>
      <w:bookmarkEnd w:id="266"/>
      <w:bookmarkEnd w:id="267"/>
      <w:bookmarkEnd w:id="268"/>
      <w:bookmarkEnd w:id="26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 主持人按下列程序对投标文件第一个信封（商务及技术文件）进行开标：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（3）投标人代表通过互联网使用CA数字证书登录</w:t>
      </w:r>
      <w:r>
        <w:rPr>
          <w:rFonts w:hint="eastAsia" w:ascii="宋体" w:hAnsi="宋体" w:eastAsia="宋体" w:cs="宋体"/>
          <w:color w:val="auto"/>
          <w:sz w:val="24"/>
          <w:szCs w:val="24"/>
          <w:highlight w:val="none"/>
        </w:rPr>
        <w:t>“不见面开标大厅”</w:t>
      </w:r>
      <w:r>
        <w:rPr>
          <w:rFonts w:hint="default" w:ascii="Times New Roman" w:hAnsi="Times New Roman" w:cs="Times New Roman"/>
          <w:color w:val="auto"/>
          <w:sz w:val="24"/>
          <w:szCs w:val="24"/>
          <w:highlight w:val="none"/>
        </w:rPr>
        <w:t>在投标人须知前附表规定的时间内解密加密的投标文件第一个信封（商务及技术文件）；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（5）导入并读取所有解密成功的投标文件第一个信封（商务及技术文件）的内容；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（6）公布标段名称、投标人名称的递交情况、勘察设计服务期限及其他内容，并记录在案；</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（7）投标人代表对开标记录进行确认。投标人代表对开标结果有异议的应在规定时间内通过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（8）开标结束。</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 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 招标人将按照本章第5.1款规定的时间和地点对投标文件第二个信封（报价文件）进行开标。主持人按下列程序进行开标：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 xml:space="preserve">）公布标段名称、投标人名称、投标报价及其他内容，并记录在案； </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）开标结束。</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 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（1）未在投标函上填写投标总价；</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w:t>
      </w:r>
      <w:r>
        <w:rPr>
          <w:rFonts w:hint="eastAsia" w:cs="Times New Roman"/>
          <w:color w:val="auto"/>
          <w:sz w:val="24"/>
          <w:highlight w:val="none"/>
          <w:lang w:eastAsia="zh-CN"/>
        </w:rPr>
        <w:t>（</w:t>
      </w:r>
      <w:r>
        <w:rPr>
          <w:rFonts w:hint="eastAsia" w:cs="Times New Roman"/>
          <w:color w:val="auto"/>
          <w:sz w:val="24"/>
          <w:highlight w:val="none"/>
          <w:lang w:val="en-US" w:eastAsia="zh-CN"/>
        </w:rPr>
        <w:t>如有</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highlight w:val="none"/>
        </w:rPr>
        <w:t>（4）投标函上填写的标段号与上传的对应项目标段号不一致（如分标段）。</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 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eastAsia"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w:t>
      </w:r>
    </w:p>
    <w:p>
      <w:pPr>
        <w:pStyle w:val="2"/>
        <w:pageBreakBefore w:val="0"/>
        <w:kinsoku/>
        <w:wordWrap w:val="0"/>
        <w:overflowPunct/>
        <w:bidi w:val="0"/>
        <w:rPr>
          <w:rFonts w:hint="default" w:ascii="Times New Roman" w:hAnsi="Times New Roman" w:cs="Times New Roman"/>
          <w:color w:val="auto"/>
          <w:highlight w:val="none"/>
        </w:rPr>
      </w:pPr>
      <w:bookmarkStart w:id="270" w:name="_Toc9187"/>
      <w:bookmarkStart w:id="271" w:name="_Toc20310"/>
      <w:bookmarkStart w:id="272" w:name="_Toc27062"/>
      <w:r>
        <w:rPr>
          <w:rFonts w:hint="default" w:ascii="Times New Roman" w:hAnsi="Times New Roman" w:cs="Times New Roman"/>
          <w:color w:val="auto"/>
          <w:highlight w:val="none"/>
        </w:rPr>
        <w:t>5.3 开标补救措施</w:t>
      </w:r>
      <w:bookmarkEnd w:id="270"/>
      <w:bookmarkEnd w:id="271"/>
      <w:bookmarkEnd w:id="27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 开标过程中因本章第5.3.2项、第5.3.3项所列原因，导致系统无法正常运行，将按投标人须知前附表的规定采取补救措施。</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 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系统故障导致投标人无法正常上传加密的投标文件，投标人应打印并递交电子交易平台自动生成的上传失败的异常记录单。</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 当出现以下情况时，应对未开标的中止电子开标，并在恢复正常后及时安排时间开标：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5.3.4 采取补救措施时，必须对原有资料及信息作出妥善保密处理。</w:t>
      </w:r>
    </w:p>
    <w:p>
      <w:pPr>
        <w:pStyle w:val="2"/>
        <w:pageBreakBefore w:val="0"/>
        <w:kinsoku/>
        <w:wordWrap w:val="0"/>
        <w:overflowPunct/>
        <w:bidi w:val="0"/>
        <w:rPr>
          <w:rFonts w:hint="default" w:ascii="Times New Roman" w:hAnsi="Times New Roman" w:cs="Times New Roman"/>
          <w:color w:val="auto"/>
          <w:highlight w:val="none"/>
        </w:rPr>
      </w:pPr>
      <w:bookmarkStart w:id="273" w:name="_Toc31651"/>
      <w:bookmarkStart w:id="274" w:name="_Toc28876"/>
      <w:bookmarkStart w:id="275" w:name="_Toc7867"/>
      <w:r>
        <w:rPr>
          <w:rFonts w:hint="default" w:ascii="Times New Roman" w:hAnsi="Times New Roman" w:cs="Times New Roman"/>
          <w:color w:val="auto"/>
          <w:highlight w:val="none"/>
        </w:rPr>
        <w:t>5.4 开标异议</w:t>
      </w:r>
      <w:bookmarkEnd w:id="273"/>
      <w:bookmarkEnd w:id="274"/>
      <w:bookmarkEnd w:id="275"/>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276" w:name="_Toc30655"/>
      <w:bookmarkStart w:id="277" w:name="_Toc234832906"/>
      <w:bookmarkStart w:id="278" w:name="_Toc5003"/>
      <w:bookmarkStart w:id="279" w:name="_Toc13236"/>
      <w:r>
        <w:rPr>
          <w:rFonts w:hint="default" w:ascii="Times New Roman" w:hAnsi="Times New Roman" w:eastAsia="黑体" w:cs="Times New Roman"/>
          <w:b w:val="0"/>
          <w:color w:val="auto"/>
          <w:sz w:val="28"/>
          <w:szCs w:val="28"/>
          <w:highlight w:val="none"/>
        </w:rPr>
        <w:t>6. 评标</w:t>
      </w:r>
      <w:bookmarkEnd w:id="276"/>
      <w:bookmarkEnd w:id="277"/>
      <w:bookmarkEnd w:id="278"/>
      <w:bookmarkEnd w:id="279"/>
    </w:p>
    <w:p>
      <w:pPr>
        <w:pStyle w:val="2"/>
        <w:pageBreakBefore w:val="0"/>
        <w:kinsoku/>
        <w:wordWrap w:val="0"/>
        <w:overflowPunct/>
        <w:bidi w:val="0"/>
        <w:rPr>
          <w:rFonts w:hint="default" w:ascii="Times New Roman" w:hAnsi="Times New Roman" w:cs="Times New Roman"/>
          <w:color w:val="auto"/>
          <w:highlight w:val="none"/>
        </w:rPr>
      </w:pPr>
      <w:bookmarkStart w:id="280" w:name="_Toc234832907"/>
      <w:bookmarkStart w:id="281" w:name="_Toc19623"/>
      <w:bookmarkStart w:id="282" w:name="_Toc9035"/>
      <w:bookmarkStart w:id="283" w:name="_Toc20816"/>
      <w:r>
        <w:rPr>
          <w:rFonts w:hint="default" w:ascii="Times New Roman" w:hAnsi="Times New Roman" w:cs="Times New Roman"/>
          <w:color w:val="auto"/>
          <w:highlight w:val="none"/>
        </w:rPr>
        <w:t>6.1 评标委员会</w:t>
      </w:r>
      <w:bookmarkEnd w:id="280"/>
      <w:bookmarkEnd w:id="281"/>
      <w:bookmarkEnd w:id="282"/>
      <w:bookmarkEnd w:id="28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 评标委员会成员有下列情形之一的，应主动提出回避：</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pStyle w:val="2"/>
        <w:pageBreakBefore w:val="0"/>
        <w:kinsoku/>
        <w:wordWrap w:val="0"/>
        <w:overflowPunct/>
        <w:bidi w:val="0"/>
        <w:rPr>
          <w:rFonts w:hint="default" w:ascii="Times New Roman" w:hAnsi="Times New Roman" w:cs="Times New Roman"/>
          <w:color w:val="auto"/>
          <w:highlight w:val="none"/>
        </w:rPr>
      </w:pPr>
      <w:bookmarkStart w:id="284" w:name="_Toc234832908"/>
      <w:bookmarkStart w:id="285" w:name="_Toc3799"/>
      <w:bookmarkStart w:id="286" w:name="_Toc28911"/>
      <w:bookmarkStart w:id="287" w:name="_Toc5510"/>
      <w:r>
        <w:rPr>
          <w:rFonts w:hint="default" w:ascii="Times New Roman" w:hAnsi="Times New Roman" w:cs="Times New Roman"/>
          <w:color w:val="auto"/>
          <w:highlight w:val="none"/>
        </w:rPr>
        <w:t>6.2 评标原则</w:t>
      </w:r>
      <w:bookmarkEnd w:id="284"/>
      <w:bookmarkEnd w:id="285"/>
      <w:bookmarkEnd w:id="286"/>
      <w:bookmarkEnd w:id="28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pPr>
        <w:pStyle w:val="2"/>
        <w:pageBreakBefore w:val="0"/>
        <w:kinsoku/>
        <w:wordWrap w:val="0"/>
        <w:overflowPunct/>
        <w:bidi w:val="0"/>
        <w:rPr>
          <w:rFonts w:hint="default" w:ascii="Times New Roman" w:hAnsi="Times New Roman" w:cs="Times New Roman"/>
          <w:color w:val="auto"/>
          <w:highlight w:val="none"/>
        </w:rPr>
      </w:pPr>
      <w:bookmarkStart w:id="288" w:name="_Toc22590"/>
      <w:bookmarkStart w:id="289" w:name="_Toc234832909"/>
      <w:bookmarkStart w:id="290" w:name="_Toc28116"/>
      <w:bookmarkStart w:id="291" w:name="_Toc26216"/>
      <w:r>
        <w:rPr>
          <w:rFonts w:hint="default" w:ascii="Times New Roman" w:hAnsi="Times New Roman" w:cs="Times New Roman"/>
          <w:color w:val="auto"/>
          <w:highlight w:val="none"/>
        </w:rPr>
        <w:t>6.3 评标</w:t>
      </w:r>
      <w:bookmarkEnd w:id="288"/>
      <w:bookmarkEnd w:id="289"/>
      <w:bookmarkEnd w:id="290"/>
      <w:bookmarkEnd w:id="291"/>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 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92" w:name="_Toc12259"/>
      <w:bookmarkStart w:id="293" w:name="_Toc352691502"/>
      <w:bookmarkStart w:id="294" w:name="_Toc152042334"/>
      <w:bookmarkStart w:id="295" w:name="_Toc361508615"/>
      <w:bookmarkStart w:id="296" w:name="_Toc152045558"/>
      <w:bookmarkStart w:id="297" w:name="_Toc369531546"/>
      <w:bookmarkStart w:id="298" w:name="_Toc247513982"/>
      <w:bookmarkStart w:id="299" w:name="_Toc247527583"/>
      <w:bookmarkStart w:id="300" w:name="_Toc384308240"/>
      <w:bookmarkStart w:id="301" w:name="_Toc300834979"/>
      <w:bookmarkStart w:id="302" w:name="_Toc144974526"/>
      <w:r>
        <w:rPr>
          <w:rFonts w:hint="default" w:ascii="Times New Roman" w:hAnsi="Times New Roman" w:cs="Times New Roman"/>
          <w:color w:val="auto"/>
          <w:sz w:val="24"/>
          <w:szCs w:val="24"/>
          <w:highlight w:val="none"/>
        </w:rPr>
        <w:t>候选人的人数见投标人须知前附</w:t>
      </w:r>
      <w:bookmarkEnd w:id="292"/>
      <w:bookmarkEnd w:id="293"/>
      <w:bookmarkEnd w:id="294"/>
      <w:bookmarkEnd w:id="295"/>
      <w:bookmarkEnd w:id="296"/>
      <w:bookmarkEnd w:id="297"/>
      <w:bookmarkEnd w:id="298"/>
      <w:bookmarkEnd w:id="299"/>
      <w:bookmarkEnd w:id="300"/>
      <w:bookmarkEnd w:id="301"/>
      <w:bookmarkEnd w:id="302"/>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303" w:name="_Toc234832910"/>
      <w:bookmarkStart w:id="304" w:name="_Toc663"/>
      <w:bookmarkStart w:id="305" w:name="_Toc4079"/>
      <w:bookmarkStart w:id="306" w:name="_Toc28439"/>
      <w:r>
        <w:rPr>
          <w:rFonts w:hint="default" w:ascii="Times New Roman" w:hAnsi="Times New Roman" w:cs="Times New Roman"/>
          <w:color w:val="auto"/>
          <w:highlight w:val="none"/>
        </w:rPr>
        <w:t>7. 合同授予</w:t>
      </w:r>
      <w:bookmarkEnd w:id="303"/>
      <w:bookmarkEnd w:id="304"/>
      <w:bookmarkEnd w:id="305"/>
      <w:bookmarkEnd w:id="306"/>
    </w:p>
    <w:p>
      <w:pPr>
        <w:pStyle w:val="2"/>
        <w:pageBreakBefore w:val="0"/>
        <w:kinsoku/>
        <w:wordWrap w:val="0"/>
        <w:overflowPunct/>
        <w:bidi w:val="0"/>
        <w:rPr>
          <w:rFonts w:hint="default" w:ascii="Times New Roman" w:hAnsi="Times New Roman" w:cs="Times New Roman"/>
          <w:color w:val="auto"/>
          <w:highlight w:val="none"/>
        </w:rPr>
      </w:pPr>
      <w:bookmarkStart w:id="307" w:name="_Toc12239"/>
      <w:bookmarkStart w:id="308" w:name="_Toc8376"/>
      <w:bookmarkStart w:id="309" w:name="_Toc9210"/>
      <w:bookmarkStart w:id="310" w:name="_Toc234832911"/>
      <w:r>
        <w:rPr>
          <w:rFonts w:hint="default" w:ascii="Times New Roman" w:hAnsi="Times New Roman" w:cs="Times New Roman"/>
          <w:color w:val="auto"/>
          <w:highlight w:val="none"/>
        </w:rPr>
        <w:t>7.1 中标候选人公示</w:t>
      </w:r>
      <w:bookmarkEnd w:id="307"/>
      <w:bookmarkEnd w:id="308"/>
      <w:bookmarkEnd w:id="30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（1）中标候选人排序、名称、投标报价，对勘察设计质量要求、安全目标和勘察设计服务期限的响应情况；</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（2）中标候选人在投标文件中承诺的项目负责人姓名、个人业绩、相关证书名称和编号；</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pPr>
        <w:pStyle w:val="2"/>
        <w:pageBreakBefore w:val="0"/>
        <w:kinsoku/>
        <w:wordWrap w:val="0"/>
        <w:overflowPunct/>
        <w:bidi w:val="0"/>
        <w:rPr>
          <w:rFonts w:hint="default" w:ascii="Times New Roman" w:hAnsi="Times New Roman" w:cs="Times New Roman"/>
          <w:color w:val="auto"/>
          <w:highlight w:val="none"/>
        </w:rPr>
      </w:pPr>
      <w:bookmarkStart w:id="311" w:name="_Toc5567"/>
      <w:bookmarkStart w:id="312" w:name="_Toc1206"/>
      <w:bookmarkStart w:id="313" w:name="_Toc9104"/>
      <w:r>
        <w:rPr>
          <w:rFonts w:hint="default" w:ascii="Times New Roman" w:hAnsi="Times New Roman" w:cs="Times New Roman"/>
          <w:color w:val="auto"/>
          <w:highlight w:val="none"/>
        </w:rPr>
        <w:t>7.2 评标结果异议</w:t>
      </w:r>
      <w:bookmarkEnd w:id="311"/>
      <w:bookmarkEnd w:id="312"/>
      <w:bookmarkEnd w:id="31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pPr>
        <w:pStyle w:val="2"/>
        <w:pageBreakBefore w:val="0"/>
        <w:kinsoku/>
        <w:wordWrap w:val="0"/>
        <w:overflowPunct/>
        <w:bidi w:val="0"/>
        <w:rPr>
          <w:rFonts w:hint="default" w:ascii="Times New Roman" w:hAnsi="Times New Roman" w:cs="Times New Roman"/>
          <w:color w:val="auto"/>
          <w:highlight w:val="none"/>
        </w:rPr>
      </w:pPr>
      <w:bookmarkStart w:id="314" w:name="_Toc6751"/>
      <w:bookmarkStart w:id="315" w:name="_Toc5507"/>
      <w:bookmarkStart w:id="316" w:name="_Toc8154"/>
      <w:r>
        <w:rPr>
          <w:rFonts w:hint="default" w:ascii="Times New Roman" w:hAnsi="Times New Roman" w:cs="Times New Roman"/>
          <w:color w:val="auto"/>
          <w:highlight w:val="none"/>
        </w:rPr>
        <w:t>7.3 中标候选人履约能力审查</w:t>
      </w:r>
      <w:bookmarkEnd w:id="314"/>
      <w:bookmarkEnd w:id="315"/>
      <w:bookmarkEnd w:id="31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2"/>
        <w:pageBreakBefore w:val="0"/>
        <w:kinsoku/>
        <w:wordWrap w:val="0"/>
        <w:overflowPunct/>
        <w:bidi w:val="0"/>
        <w:rPr>
          <w:rFonts w:hint="default" w:ascii="Times New Roman" w:hAnsi="Times New Roman" w:cs="Times New Roman"/>
          <w:color w:val="auto"/>
          <w:highlight w:val="none"/>
        </w:rPr>
      </w:pPr>
      <w:bookmarkStart w:id="317" w:name="_Toc22972"/>
      <w:bookmarkStart w:id="318" w:name="_Toc18025"/>
      <w:bookmarkStart w:id="319" w:name="_Toc28983"/>
      <w:r>
        <w:rPr>
          <w:rFonts w:hint="default" w:ascii="Times New Roman" w:hAnsi="Times New Roman" w:cs="Times New Roman"/>
          <w:color w:val="auto"/>
          <w:highlight w:val="none"/>
        </w:rPr>
        <w:t>7.4 定标</w:t>
      </w:r>
      <w:bookmarkEnd w:id="310"/>
      <w:bookmarkEnd w:id="317"/>
      <w:bookmarkEnd w:id="318"/>
      <w:bookmarkEnd w:id="31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7.4.1按照投标人须知前附表的规定，招标人或招标人授权的评标委员会依法确定中标人。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7.4.2招标人依据投标须知前附表的定标规则，在评标委员会推荐的中标候选人中确定中标人。</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7.4.3招标人授权评标委员会按前附表7.4.2项规定的规则直接定标。</w:t>
      </w:r>
    </w:p>
    <w:p>
      <w:pPr>
        <w:pStyle w:val="2"/>
        <w:pageBreakBefore w:val="0"/>
        <w:kinsoku/>
        <w:wordWrap w:val="0"/>
        <w:overflowPunct/>
        <w:bidi w:val="0"/>
        <w:rPr>
          <w:rFonts w:hint="default" w:ascii="Times New Roman" w:hAnsi="Times New Roman" w:cs="Times New Roman"/>
          <w:color w:val="auto"/>
          <w:highlight w:val="none"/>
        </w:rPr>
      </w:pPr>
      <w:bookmarkStart w:id="320" w:name="_Toc234832912"/>
      <w:bookmarkStart w:id="321" w:name="_Toc9581"/>
      <w:bookmarkStart w:id="322" w:name="_Toc17473"/>
      <w:bookmarkStart w:id="323" w:name="_Toc31179"/>
      <w:r>
        <w:rPr>
          <w:rFonts w:hint="default" w:ascii="Times New Roman" w:hAnsi="Times New Roman" w:cs="Times New Roman"/>
          <w:color w:val="auto"/>
          <w:highlight w:val="none"/>
        </w:rPr>
        <w:t>7.5 中标通知</w:t>
      </w:r>
      <w:bookmarkEnd w:id="320"/>
      <w:bookmarkEnd w:id="321"/>
      <w:bookmarkEnd w:id="322"/>
      <w:bookmarkEnd w:id="323"/>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pPr>
        <w:pStyle w:val="2"/>
        <w:pageBreakBefore w:val="0"/>
        <w:kinsoku/>
        <w:wordWrap w:val="0"/>
        <w:overflowPunct/>
        <w:bidi w:val="0"/>
        <w:rPr>
          <w:rFonts w:hint="default" w:ascii="Times New Roman" w:hAnsi="Times New Roman" w:cs="Times New Roman"/>
          <w:color w:val="auto"/>
          <w:highlight w:val="none"/>
        </w:rPr>
      </w:pPr>
      <w:bookmarkStart w:id="324" w:name="_Toc29488"/>
      <w:bookmarkStart w:id="325" w:name="_Toc8299"/>
      <w:bookmarkStart w:id="326" w:name="_Toc501257108"/>
      <w:bookmarkStart w:id="327" w:name="_Toc25247"/>
      <w:r>
        <w:rPr>
          <w:rFonts w:hint="default" w:ascii="Times New Roman" w:hAnsi="Times New Roman" w:cs="Times New Roman"/>
          <w:color w:val="auto"/>
          <w:highlight w:val="none"/>
        </w:rPr>
        <w:t>7.6 中标结果公告</w:t>
      </w:r>
      <w:bookmarkEnd w:id="324"/>
      <w:bookmarkEnd w:id="325"/>
      <w:bookmarkEnd w:id="326"/>
      <w:bookmarkEnd w:id="327"/>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pPr>
        <w:pStyle w:val="2"/>
        <w:pageBreakBefore w:val="0"/>
        <w:kinsoku/>
        <w:wordWrap w:val="0"/>
        <w:overflowPunct/>
        <w:bidi w:val="0"/>
        <w:rPr>
          <w:rFonts w:hint="default" w:ascii="Times New Roman" w:hAnsi="Times New Roman" w:cs="Times New Roman"/>
          <w:color w:val="auto"/>
          <w:highlight w:val="none"/>
        </w:rPr>
      </w:pPr>
      <w:bookmarkStart w:id="328" w:name="_Toc24461"/>
      <w:bookmarkStart w:id="329" w:name="_Toc482188479"/>
      <w:bookmarkStart w:id="330" w:name="_Toc492300399"/>
      <w:bookmarkStart w:id="331" w:name="_Toc13801"/>
      <w:bookmarkStart w:id="332" w:name="_Toc25343"/>
      <w:r>
        <w:rPr>
          <w:rFonts w:hint="default" w:ascii="Times New Roman" w:hAnsi="Times New Roman" w:cs="Times New Roman"/>
          <w:color w:val="auto"/>
          <w:highlight w:val="none"/>
        </w:rPr>
        <w:t>7.7 技术成果经济补偿</w:t>
      </w:r>
      <w:bookmarkEnd w:id="328"/>
      <w:bookmarkEnd w:id="329"/>
      <w:bookmarkEnd w:id="330"/>
      <w:bookmarkEnd w:id="331"/>
      <w:bookmarkEnd w:id="33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对符合招标文件规定的未中标人的技术成果进行补偿的，招标人将按投标人须知前附表规定的标准给予经济补偿，未中标人在投标文件中声明放弃技术成果经济补偿费的除外。招标人将于中标通知书发出后30日内向未中标人支付技术成果经济补偿费。</w:t>
      </w:r>
    </w:p>
    <w:p>
      <w:pPr>
        <w:pStyle w:val="2"/>
        <w:pageBreakBefore w:val="0"/>
        <w:kinsoku/>
        <w:wordWrap w:val="0"/>
        <w:overflowPunct/>
        <w:bidi w:val="0"/>
        <w:rPr>
          <w:rFonts w:hint="default" w:ascii="Times New Roman" w:hAnsi="Times New Roman" w:cs="Times New Roman"/>
          <w:color w:val="auto"/>
          <w:highlight w:val="none"/>
        </w:rPr>
      </w:pPr>
      <w:bookmarkStart w:id="333" w:name="_Toc234832913"/>
      <w:bookmarkStart w:id="334" w:name="_Toc26654"/>
      <w:bookmarkStart w:id="335" w:name="_Toc19848"/>
      <w:bookmarkStart w:id="336" w:name="_Toc19252"/>
      <w:r>
        <w:rPr>
          <w:rFonts w:hint="default" w:ascii="Times New Roman" w:hAnsi="Times New Roman" w:cs="Times New Roman"/>
          <w:color w:val="auto"/>
          <w:highlight w:val="none"/>
        </w:rPr>
        <w:t>7.8 履约</w:t>
      </w:r>
      <w:bookmarkEnd w:id="333"/>
      <w:r>
        <w:rPr>
          <w:rFonts w:hint="default" w:ascii="Times New Roman" w:hAnsi="Times New Roman" w:cs="Times New Roman"/>
          <w:color w:val="auto"/>
          <w:highlight w:val="none"/>
        </w:rPr>
        <w:t>保证金</w:t>
      </w:r>
      <w:bookmarkEnd w:id="334"/>
      <w:bookmarkEnd w:id="335"/>
      <w:bookmarkEnd w:id="33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7.8.1 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 中标人不能按本章第7.8.1项要求提交履约保证金的，视为放弃中标，其投标保证金不予退还，给招标人造成的损失超过投标保证金数额的，中标人还应对超过部分予以赔偿。</w:t>
      </w:r>
    </w:p>
    <w:p>
      <w:pPr>
        <w:pStyle w:val="2"/>
        <w:pageBreakBefore w:val="0"/>
        <w:kinsoku/>
        <w:wordWrap w:val="0"/>
        <w:overflowPunct/>
        <w:bidi w:val="0"/>
        <w:rPr>
          <w:rFonts w:hint="default" w:ascii="Times New Roman" w:hAnsi="Times New Roman" w:cs="Times New Roman"/>
          <w:color w:val="auto"/>
          <w:highlight w:val="none"/>
        </w:rPr>
      </w:pPr>
      <w:bookmarkStart w:id="337" w:name="_Toc234832914"/>
      <w:bookmarkStart w:id="338" w:name="_Toc20559"/>
      <w:bookmarkStart w:id="339" w:name="_Toc1758"/>
      <w:bookmarkStart w:id="340" w:name="_Toc26514"/>
      <w:r>
        <w:rPr>
          <w:rFonts w:hint="default" w:ascii="Times New Roman" w:hAnsi="Times New Roman" w:cs="Times New Roman"/>
          <w:color w:val="auto"/>
          <w:highlight w:val="none"/>
        </w:rPr>
        <w:t>7.9 签订合同</w:t>
      </w:r>
      <w:bookmarkEnd w:id="337"/>
      <w:bookmarkEnd w:id="338"/>
      <w:bookmarkEnd w:id="339"/>
      <w:bookmarkEnd w:id="34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7.9.1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7.9.2 发出中标通知书后，招标人无正当理由拒签合同，或在签订合同时向中标人提出附加条件的，招标人向中标人退还投标保证金；给中标人造成损失的，还应赔偿损失。</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招标人不得以压低勘察设计费、增加工作量、缩短勘察设计服务期限等作为中标的条件，不得与中标人再行订立背离合同实质性内容的其他协议。</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7.9.</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 xml:space="preserve"> 联合体中标的，联合体各方应共同与招标人签订合同，就中标项目向招标人承担连带责任。</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7.9.</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招标人和中标人在签订合同协议书的同时，须按照本招标文件规定的格式和要求签订廉政合同，明确双方在廉政建设方面的权利和义务以及应承担的违约责任。</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341" w:name="_Toc13635"/>
      <w:bookmarkStart w:id="342" w:name="_Toc22384"/>
      <w:bookmarkStart w:id="343" w:name="_Toc234832918"/>
      <w:bookmarkStart w:id="344" w:name="_Toc9782"/>
      <w:r>
        <w:rPr>
          <w:rFonts w:hint="default" w:ascii="Times New Roman" w:hAnsi="Times New Roman" w:eastAsia="黑体" w:cs="Times New Roman"/>
          <w:b w:val="0"/>
          <w:color w:val="auto"/>
          <w:sz w:val="28"/>
          <w:szCs w:val="28"/>
          <w:highlight w:val="none"/>
        </w:rPr>
        <w:t>8. 纪律和监督</w:t>
      </w:r>
      <w:bookmarkEnd w:id="341"/>
      <w:bookmarkEnd w:id="342"/>
      <w:bookmarkEnd w:id="343"/>
      <w:bookmarkEnd w:id="344"/>
    </w:p>
    <w:p>
      <w:pPr>
        <w:pStyle w:val="2"/>
        <w:pageBreakBefore w:val="0"/>
        <w:kinsoku/>
        <w:wordWrap w:val="0"/>
        <w:overflowPunct/>
        <w:bidi w:val="0"/>
        <w:rPr>
          <w:rFonts w:hint="default" w:ascii="Times New Roman" w:hAnsi="Times New Roman" w:cs="Times New Roman"/>
          <w:color w:val="auto"/>
          <w:highlight w:val="none"/>
        </w:rPr>
      </w:pPr>
      <w:bookmarkStart w:id="345" w:name="_Toc27602"/>
      <w:bookmarkStart w:id="346" w:name="_Toc9881"/>
      <w:bookmarkStart w:id="347" w:name="_Toc24893"/>
      <w:bookmarkStart w:id="348" w:name="_Toc234832919"/>
      <w:r>
        <w:rPr>
          <w:rFonts w:hint="default" w:ascii="Times New Roman" w:hAnsi="Times New Roman" w:cs="Times New Roman"/>
          <w:color w:val="auto"/>
          <w:highlight w:val="none"/>
        </w:rPr>
        <w:t>8.1 对招标人的纪律要求</w:t>
      </w:r>
      <w:bookmarkEnd w:id="345"/>
      <w:bookmarkEnd w:id="346"/>
      <w:bookmarkEnd w:id="347"/>
      <w:bookmarkEnd w:id="348"/>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pPr>
        <w:pStyle w:val="2"/>
        <w:pageBreakBefore w:val="0"/>
        <w:kinsoku/>
        <w:wordWrap w:val="0"/>
        <w:overflowPunct/>
        <w:bidi w:val="0"/>
        <w:rPr>
          <w:rFonts w:hint="default" w:ascii="Times New Roman" w:hAnsi="Times New Roman" w:cs="Times New Roman"/>
          <w:color w:val="auto"/>
          <w:highlight w:val="none"/>
        </w:rPr>
      </w:pPr>
      <w:bookmarkStart w:id="349" w:name="_Toc13991"/>
      <w:bookmarkStart w:id="350" w:name="_Toc9408"/>
      <w:bookmarkStart w:id="351" w:name="_Toc18908"/>
      <w:bookmarkStart w:id="352" w:name="_Toc234832920"/>
      <w:r>
        <w:rPr>
          <w:rFonts w:hint="default" w:ascii="Times New Roman" w:hAnsi="Times New Roman" w:cs="Times New Roman"/>
          <w:color w:val="auto"/>
          <w:highlight w:val="none"/>
        </w:rPr>
        <w:t>8.2 对投标人的纪律要求</w:t>
      </w:r>
      <w:bookmarkEnd w:id="349"/>
      <w:bookmarkEnd w:id="350"/>
      <w:bookmarkEnd w:id="351"/>
      <w:bookmarkEnd w:id="352"/>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pPr>
        <w:pStyle w:val="2"/>
        <w:pageBreakBefore w:val="0"/>
        <w:kinsoku/>
        <w:wordWrap w:val="0"/>
        <w:overflowPunct/>
        <w:bidi w:val="0"/>
        <w:rPr>
          <w:rFonts w:hint="default" w:ascii="Times New Roman" w:hAnsi="Times New Roman" w:cs="Times New Roman"/>
          <w:color w:val="auto"/>
          <w:highlight w:val="none"/>
        </w:rPr>
      </w:pPr>
      <w:bookmarkStart w:id="353" w:name="_Toc234832921"/>
      <w:bookmarkStart w:id="354" w:name="_Toc15381"/>
      <w:bookmarkStart w:id="355" w:name="_Toc25192"/>
      <w:bookmarkStart w:id="356" w:name="_Toc29632"/>
      <w:r>
        <w:rPr>
          <w:rFonts w:hint="default" w:ascii="Times New Roman" w:hAnsi="Times New Roman" w:cs="Times New Roman"/>
          <w:color w:val="auto"/>
          <w:highlight w:val="none"/>
        </w:rPr>
        <w:t>8.3 对评标委员会成员的纪律要求</w:t>
      </w:r>
      <w:bookmarkEnd w:id="353"/>
      <w:bookmarkEnd w:id="354"/>
      <w:bookmarkEnd w:id="355"/>
      <w:bookmarkEnd w:id="356"/>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pPr>
        <w:pStyle w:val="2"/>
        <w:pageBreakBefore w:val="0"/>
        <w:kinsoku/>
        <w:wordWrap w:val="0"/>
        <w:overflowPunct/>
        <w:bidi w:val="0"/>
        <w:rPr>
          <w:rFonts w:hint="default" w:ascii="Times New Roman" w:hAnsi="Times New Roman" w:cs="Times New Roman"/>
          <w:color w:val="auto"/>
          <w:highlight w:val="none"/>
        </w:rPr>
      </w:pPr>
      <w:bookmarkStart w:id="357" w:name="_Toc26600"/>
      <w:bookmarkStart w:id="358" w:name="_Toc30779"/>
      <w:bookmarkStart w:id="359" w:name="_Toc234832922"/>
      <w:bookmarkStart w:id="360" w:name="_Toc3547"/>
      <w:r>
        <w:rPr>
          <w:rFonts w:hint="default" w:ascii="Times New Roman" w:hAnsi="Times New Roman" w:cs="Times New Roman"/>
          <w:color w:val="auto"/>
          <w:highlight w:val="none"/>
        </w:rPr>
        <w:t>8.4 对与评标活动有关的工作人员的纪律要求</w:t>
      </w:r>
      <w:bookmarkEnd w:id="357"/>
      <w:bookmarkEnd w:id="358"/>
      <w:bookmarkEnd w:id="359"/>
      <w:bookmarkEnd w:id="360"/>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pPr>
        <w:pStyle w:val="2"/>
        <w:pageBreakBefore w:val="0"/>
        <w:kinsoku/>
        <w:wordWrap w:val="0"/>
        <w:overflowPunct/>
        <w:bidi w:val="0"/>
        <w:rPr>
          <w:rFonts w:hint="default" w:ascii="Times New Roman" w:hAnsi="Times New Roman" w:cs="Times New Roman"/>
          <w:color w:val="auto"/>
          <w:highlight w:val="none"/>
        </w:rPr>
      </w:pPr>
      <w:bookmarkStart w:id="361" w:name="_Toc17681"/>
      <w:bookmarkStart w:id="362" w:name="_Toc27845"/>
      <w:bookmarkStart w:id="363" w:name="_Toc234832923"/>
      <w:bookmarkStart w:id="364" w:name="_Toc2214"/>
      <w:r>
        <w:rPr>
          <w:rFonts w:hint="default" w:ascii="Times New Roman" w:hAnsi="Times New Roman" w:cs="Times New Roman"/>
          <w:color w:val="auto"/>
          <w:highlight w:val="none"/>
        </w:rPr>
        <w:t>8.5 投诉</w:t>
      </w:r>
      <w:bookmarkEnd w:id="361"/>
      <w:bookmarkEnd w:id="362"/>
      <w:bookmarkEnd w:id="363"/>
      <w:bookmarkEnd w:id="364"/>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 投标人或其他利害关系人对招标文件、开标和评标结果提出投诉的，应按照本章第2.4款、第5.3款和第7.2款的规定先向招标人提出异议。异议答复期间</w:t>
      </w:r>
      <w:bookmarkStart w:id="365" w:name="_Toc247527595"/>
      <w:bookmarkStart w:id="366" w:name="_Toc152042346"/>
      <w:bookmarkStart w:id="367" w:name="_Toc300834993"/>
      <w:bookmarkStart w:id="368" w:name="_Toc144974538"/>
      <w:bookmarkStart w:id="369" w:name="_Toc247513994"/>
      <w:bookmarkStart w:id="370" w:name="_Toc352691517"/>
      <w:bookmarkStart w:id="371" w:name="_Toc384308255"/>
      <w:bookmarkStart w:id="372" w:name="_Toc369531561"/>
      <w:bookmarkStart w:id="373" w:name="_Toc152045570"/>
      <w:bookmarkStart w:id="374" w:name="_Toc361508630"/>
      <w:bookmarkStart w:id="375" w:name="_Toc12776"/>
      <w:r>
        <w:rPr>
          <w:rFonts w:hint="default" w:ascii="Times New Roman" w:hAnsi="Times New Roman" w:eastAsia="宋体" w:cs="Times New Roman"/>
          <w:color w:val="auto"/>
          <w:sz w:val="24"/>
          <w:highlight w:val="none"/>
        </w:rPr>
        <w:t>不计算在第8.5.</w:t>
      </w:r>
      <w:bookmarkEnd w:id="365"/>
      <w:bookmarkEnd w:id="366"/>
      <w:bookmarkEnd w:id="367"/>
      <w:bookmarkEnd w:id="368"/>
      <w:bookmarkEnd w:id="369"/>
      <w:bookmarkEnd w:id="370"/>
      <w:bookmarkEnd w:id="371"/>
      <w:bookmarkEnd w:id="372"/>
      <w:bookmarkEnd w:id="373"/>
      <w:bookmarkEnd w:id="374"/>
      <w:bookmarkEnd w:id="375"/>
      <w:r>
        <w:rPr>
          <w:rFonts w:hint="default" w:ascii="Times New Roman" w:hAnsi="Times New Roman" w:eastAsia="宋体" w:cs="Times New Roman"/>
          <w:color w:val="auto"/>
          <w:sz w:val="24"/>
          <w:highlight w:val="none"/>
        </w:rPr>
        <w:t>1项规定的期限内。</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376" w:name="_Toc25008"/>
      <w:bookmarkStart w:id="377" w:name="_Toc3253"/>
      <w:bookmarkStart w:id="378" w:name="_Toc12264"/>
      <w:r>
        <w:rPr>
          <w:rFonts w:hint="default" w:ascii="Times New Roman" w:hAnsi="Times New Roman" w:eastAsia="黑体" w:cs="Times New Roman"/>
          <w:b w:val="0"/>
          <w:color w:val="auto"/>
          <w:sz w:val="28"/>
          <w:szCs w:val="28"/>
          <w:highlight w:val="none"/>
        </w:rPr>
        <w:t xml:space="preserve">9. </w:t>
      </w:r>
      <w:bookmarkStart w:id="379" w:name="_Toc234832924"/>
      <w:r>
        <w:rPr>
          <w:rFonts w:hint="default" w:ascii="Times New Roman" w:hAnsi="Times New Roman" w:eastAsia="黑体" w:cs="Times New Roman"/>
          <w:b w:val="0"/>
          <w:color w:val="auto"/>
          <w:sz w:val="28"/>
          <w:szCs w:val="28"/>
          <w:highlight w:val="none"/>
        </w:rPr>
        <w:t>需要补充的其他内容</w:t>
      </w:r>
      <w:bookmarkEnd w:id="376"/>
      <w:bookmarkEnd w:id="377"/>
      <w:bookmarkEnd w:id="378"/>
      <w:bookmarkEnd w:id="379"/>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pPr>
        <w:pageBreakBefore w:val="0"/>
        <w:kinsoku/>
        <w:wordWrap w:val="0"/>
        <w:overflowPunct/>
        <w:bidi w:val="0"/>
        <w:spacing w:line="400" w:lineRule="atLeast"/>
        <w:ind w:firstLine="480" w:firstLineChars="200"/>
        <w:rPr>
          <w:rFonts w:hint="default" w:ascii="Times New Roman" w:hAnsi="Times New Roman" w:eastAsia="隶书" w:cs="Times New Roman"/>
          <w:color w:val="auto"/>
          <w:sz w:val="24"/>
          <w:highlight w:val="none"/>
        </w:rPr>
      </w:pPr>
    </w:p>
    <w:p>
      <w:pPr>
        <w:pageBreakBefore w:val="0"/>
        <w:kinsoku/>
        <w:wordWrap w:val="0"/>
        <w:overflowPunct/>
        <w:bidi w:val="0"/>
        <w:spacing w:line="400" w:lineRule="atLeast"/>
        <w:ind w:firstLine="480" w:firstLineChars="200"/>
        <w:rPr>
          <w:rFonts w:hint="default" w:ascii="Times New Roman" w:hAnsi="Times New Roman" w:eastAsia="隶书" w:cs="Times New Roman"/>
          <w:color w:val="auto"/>
          <w:sz w:val="24"/>
          <w:highlight w:val="none"/>
        </w:rPr>
      </w:pP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隶书" w:cs="Times New Roman"/>
          <w:color w:val="auto"/>
          <w:sz w:val="24"/>
          <w:highlight w:val="none"/>
        </w:rPr>
        <w:br w:type="page"/>
      </w:r>
      <w:bookmarkStart w:id="380" w:name="_Toc14395"/>
      <w:bookmarkStart w:id="381" w:name="_Toc5346"/>
      <w:bookmarkStart w:id="382" w:name="_Toc20521"/>
      <w:bookmarkStart w:id="383" w:name="_Toc234832925"/>
      <w:r>
        <w:rPr>
          <w:rFonts w:hint="default" w:ascii="Times New Roman" w:hAnsi="Times New Roman" w:eastAsia="黑体" w:cs="Times New Roman"/>
          <w:b w:val="0"/>
          <w:color w:val="auto"/>
          <w:sz w:val="24"/>
          <w:szCs w:val="24"/>
          <w:highlight w:val="none"/>
        </w:rPr>
        <w:t xml:space="preserve">附件一 开标记录表 </w:t>
      </w:r>
      <w:bookmarkEnd w:id="380"/>
      <w:bookmarkEnd w:id="381"/>
      <w:r>
        <w:rPr>
          <w:rStyle w:val="56"/>
          <w:rFonts w:hint="default" w:ascii="Times New Roman" w:hAnsi="Times New Roman" w:eastAsia="黑体" w:cs="Times New Roman"/>
          <w:b w:val="0"/>
          <w:color w:val="auto"/>
          <w:sz w:val="28"/>
          <w:szCs w:val="28"/>
          <w:highlight w:val="none"/>
        </w:rPr>
        <w:footnoteReference w:id="26"/>
      </w:r>
      <w:bookmarkEnd w:id="382"/>
    </w:p>
    <w:p>
      <w:pPr>
        <w:pageBreakBefore w:val="0"/>
        <w:kinsoku/>
        <w:wordWrap w:val="0"/>
        <w:overflowPunct/>
        <w:bidi w:val="0"/>
        <w:spacing w:before="0" w:after="0" w:line="240" w:lineRule="atLeast"/>
        <w:rPr>
          <w:rFonts w:hint="eastAsia" w:ascii="宋体" w:hAnsi="宋体" w:eastAsia="宋体" w:cs="宋体"/>
          <w:color w:val="auto"/>
          <w:sz w:val="24"/>
          <w:szCs w:val="24"/>
          <w:highlight w:val="none"/>
          <w:u w:val="none"/>
          <w:lang w:val="en-US" w:eastAsia="zh-CN"/>
        </w:rPr>
      </w:pPr>
    </w:p>
    <w:p>
      <w:pPr>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eastAsia" w:ascii="宋体" w:hAnsi="宋体" w:eastAsia="宋体" w:cs="宋体"/>
          <w:color w:val="auto"/>
          <w:sz w:val="24"/>
          <w:szCs w:val="24"/>
          <w:highlight w:val="none"/>
          <w:u w:val="none"/>
          <w:lang w:val="en-US" w:eastAsia="zh-CN"/>
        </w:rPr>
        <w:t>以</w:t>
      </w:r>
      <w:r>
        <w:rPr>
          <w:rFonts w:hint="eastAsia" w:ascii="宋体" w:hAnsi="宋体" w:eastAsia="宋体" w:cs="宋体"/>
          <w:b w:val="0"/>
          <w:bCs w:val="0"/>
          <w:color w:val="auto"/>
          <w:sz w:val="24"/>
          <w:szCs w:val="24"/>
          <w:highlight w:val="none"/>
          <w:u w:val="none"/>
          <w:lang w:val="en-US" w:eastAsia="zh-CN"/>
        </w:rPr>
        <w:t>电子</w:t>
      </w:r>
      <w:r>
        <w:rPr>
          <w:rFonts w:hint="eastAsia" w:ascii="宋体" w:hAnsi="宋体" w:eastAsia="宋体" w:cs="宋体"/>
          <w:color w:val="auto"/>
          <w:sz w:val="24"/>
          <w:szCs w:val="24"/>
          <w:highlight w:val="none"/>
          <w:u w:val="none"/>
          <w:lang w:val="en-US" w:eastAsia="zh-CN"/>
        </w:rPr>
        <w:t>交易平台生成格式为准。</w:t>
      </w:r>
      <w:bookmarkEnd w:id="383"/>
      <w:bookmarkStart w:id="384" w:name="_Toc10690"/>
      <w:bookmarkStart w:id="385" w:name="_Toc501257120"/>
      <w:bookmarkStart w:id="386" w:name="_Toc234832926"/>
      <w:r>
        <w:rPr>
          <w:rFonts w:hint="default" w:ascii="Times New Roman" w:hAnsi="Times New Roman" w:eastAsia="黑体" w:cs="Times New Roman"/>
          <w:b w:val="0"/>
          <w:color w:val="auto"/>
          <w:sz w:val="24"/>
          <w:szCs w:val="24"/>
          <w:highlight w:val="none"/>
        </w:rPr>
        <w:br w:type="page"/>
      </w:r>
    </w:p>
    <w:p>
      <w:pPr>
        <w:pStyle w:val="2"/>
        <w:pageBreakBefore w:val="0"/>
        <w:kinsoku/>
        <w:wordWrap w:val="0"/>
        <w:overflowPunct/>
        <w:bidi w:val="0"/>
        <w:spacing w:before="0" w:after="0" w:line="240" w:lineRule="atLeast"/>
        <w:jc w:val="left"/>
        <w:rPr>
          <w:rFonts w:hint="default" w:ascii="Times New Roman" w:hAnsi="Times New Roman" w:eastAsia="黑体" w:cs="Times New Roman"/>
          <w:b w:val="0"/>
          <w:color w:val="auto"/>
          <w:sz w:val="24"/>
          <w:szCs w:val="24"/>
          <w:highlight w:val="none"/>
        </w:rPr>
      </w:pPr>
      <w:bookmarkStart w:id="387" w:name="_Toc3739"/>
      <w:bookmarkStart w:id="388" w:name="_Toc5591"/>
      <w:r>
        <w:rPr>
          <w:rFonts w:hint="default" w:ascii="Times New Roman" w:hAnsi="Times New Roman" w:eastAsia="黑体" w:cs="Times New Roman"/>
          <w:b w:val="0"/>
          <w:color w:val="auto"/>
          <w:sz w:val="24"/>
          <w:szCs w:val="24"/>
          <w:highlight w:val="none"/>
        </w:rPr>
        <w:t>附件二 问题澄清通知</w:t>
      </w:r>
      <w:bookmarkEnd w:id="384"/>
      <w:bookmarkEnd w:id="385"/>
      <w:bookmarkEnd w:id="387"/>
      <w:bookmarkEnd w:id="388"/>
    </w:p>
    <w:p>
      <w:pPr>
        <w:pageBreakBefore w:val="0"/>
        <w:kinsoku/>
        <w:wordWrap w:val="0"/>
        <w:overflowPunct/>
        <w:bidi w:val="0"/>
        <w:spacing w:line="440" w:lineRule="exact"/>
        <w:jc w:val="center"/>
        <w:rPr>
          <w:rFonts w:hint="default" w:ascii="Times New Roman" w:hAnsi="Times New Roman"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标段勘察设计招标的评标委员会，对你方的投标文件进行了仔细的审查，现需你方对下列问题以书面形式予以澄清或说明：</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w:t>
      </w:r>
      <w:r>
        <w:rPr>
          <w:rFonts w:hint="eastAsia" w:cs="Times New Roman"/>
          <w:color w:val="auto"/>
          <w:sz w:val="24"/>
          <w:highlight w:val="none"/>
          <w:lang w:val="en-US" w:eastAsia="zh-CN"/>
        </w:rPr>
        <w:t>通</w:t>
      </w:r>
      <w:r>
        <w:rPr>
          <w:rFonts w:hint="eastAsia" w:cs="Times New Roman"/>
          <w:color w:val="auto"/>
          <w:sz w:val="24"/>
          <w:highlight w:val="none"/>
          <w:u w:val="single"/>
          <w:lang w:val="en-US" w:eastAsia="zh-CN"/>
        </w:rPr>
        <w:t>过</w:t>
      </w:r>
      <w:r>
        <w:rPr>
          <w:rFonts w:hint="eastAsia" w:ascii="宋体" w:hAnsi="宋体" w:eastAsia="宋体" w:cs="宋体"/>
          <w:color w:val="auto"/>
          <w:sz w:val="24"/>
          <w:highlight w:val="none"/>
          <w:u w:val="single"/>
          <w:lang w:val="en-US" w:eastAsia="zh-CN"/>
        </w:rPr>
        <w:t>“</w:t>
      </w:r>
      <w:r>
        <w:rPr>
          <w:rFonts w:hint="eastAsia" w:cs="Times New Roman"/>
          <w:color w:val="auto"/>
          <w:sz w:val="24"/>
          <w:highlight w:val="none"/>
          <w:u w:val="single"/>
          <w:lang w:val="en-US" w:eastAsia="zh-CN"/>
        </w:rPr>
        <w:t>电子交易平台</w:t>
      </w:r>
      <w:r>
        <w:rPr>
          <w:rFonts w:hint="eastAsia" w:ascii="宋体" w:hAnsi="宋体" w:eastAsia="宋体" w:cs="宋体"/>
          <w:color w:val="auto"/>
          <w:sz w:val="24"/>
          <w:highlight w:val="none"/>
          <w:u w:val="single"/>
          <w:lang w:val="en-US" w:eastAsia="zh-CN"/>
        </w:rPr>
        <w:t>”</w:t>
      </w:r>
      <w:r>
        <w:rPr>
          <w:rFonts w:hint="eastAsia" w:cs="Times New Roman"/>
          <w:color w:val="auto"/>
          <w:sz w:val="24"/>
          <w:highlight w:val="none"/>
          <w:u w:val="single"/>
          <w:lang w:val="en-US" w:eastAsia="zh-CN"/>
        </w:rPr>
        <w:t>上传</w:t>
      </w:r>
      <w:r>
        <w:rPr>
          <w:rFonts w:hint="default" w:ascii="Times New Roman" w:hAnsi="Times New Roman" w:cs="Times New Roman"/>
          <w:color w:val="auto"/>
          <w:sz w:val="24"/>
          <w:highlight w:val="none"/>
        </w:rPr>
        <w:t>。</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jc w:val="righ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ind w:right="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389" w:name="_Toc26112"/>
      <w:bookmarkStart w:id="390" w:name="_Toc8472"/>
      <w:bookmarkStart w:id="391" w:name="_Toc25497"/>
      <w:bookmarkStart w:id="392" w:name="_Toc501257121"/>
      <w:r>
        <w:rPr>
          <w:rFonts w:hint="default" w:ascii="Times New Roman" w:hAnsi="Times New Roman" w:eastAsia="黑体" w:cs="Times New Roman"/>
          <w:b w:val="0"/>
          <w:color w:val="auto"/>
          <w:sz w:val="24"/>
          <w:szCs w:val="24"/>
          <w:highlight w:val="none"/>
        </w:rPr>
        <w:t>附件三 问题的澄清</w:t>
      </w:r>
      <w:bookmarkEnd w:id="389"/>
      <w:bookmarkEnd w:id="390"/>
      <w:bookmarkEnd w:id="391"/>
      <w:bookmarkEnd w:id="392"/>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pPr>
        <w:pageBreakBefore w:val="0"/>
        <w:kinsoku/>
        <w:wordWrap w:val="0"/>
        <w:overflowPunct/>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标段勘察设计招标评标委员会：</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highlight w:val="none"/>
        </w:rPr>
        <w:t>签字或盖章</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vertAlign w:val="superscript"/>
        </w:rPr>
        <w:footnoteReference w:id="27"/>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393" w:name="_Toc21628"/>
      <w:bookmarkStart w:id="394" w:name="_Toc2719"/>
      <w:bookmarkStart w:id="395" w:name="_Toc501257122"/>
      <w:bookmarkStart w:id="396" w:name="_Toc15829"/>
      <w:r>
        <w:rPr>
          <w:rFonts w:hint="default" w:ascii="Times New Roman" w:hAnsi="Times New Roman" w:eastAsia="黑体" w:cs="Times New Roman"/>
          <w:b w:val="0"/>
          <w:color w:val="auto"/>
          <w:sz w:val="24"/>
          <w:szCs w:val="24"/>
          <w:highlight w:val="none"/>
        </w:rPr>
        <w:t>附件四 中标通知书</w:t>
      </w:r>
      <w:bookmarkEnd w:id="393"/>
      <w:bookmarkEnd w:id="394"/>
      <w:bookmarkEnd w:id="395"/>
      <w:bookmarkEnd w:id="396"/>
    </w:p>
    <w:p>
      <w:pPr>
        <w:pageBreakBefore w:val="0"/>
        <w:kinsoku/>
        <w:wordWrap w:val="0"/>
        <w:overflowPunct/>
        <w:bidi w:val="0"/>
        <w:spacing w:line="440" w:lineRule="exact"/>
        <w:ind w:firstLine="3640" w:firstLineChars="1300"/>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r>
        <w:rPr>
          <w:rFonts w:hint="eastAsia" w:ascii="宋体" w:hAnsi="宋体" w:eastAsia="宋体" w:cs="宋体"/>
          <w:color w:val="auto"/>
          <w:sz w:val="24"/>
          <w:szCs w:val="24"/>
          <w:highlight w:val="none"/>
          <w:u w:val="none"/>
          <w:lang w:val="en-US" w:eastAsia="zh-CN"/>
        </w:rPr>
        <w:t>以</w:t>
      </w:r>
      <w:r>
        <w:rPr>
          <w:rFonts w:hint="eastAsia" w:cs="Times New Roman"/>
          <w:color w:val="auto"/>
          <w:sz w:val="24"/>
          <w:szCs w:val="24"/>
          <w:highlight w:val="none"/>
          <w:u w:val="none"/>
          <w:lang w:val="en-US" w:eastAsia="zh-CN"/>
        </w:rPr>
        <w:t>辽宁省招标投标监管网</w:t>
      </w:r>
      <w:r>
        <w:rPr>
          <w:rFonts w:hint="default" w:cs="Times New Roman"/>
          <w:color w:val="auto"/>
          <w:sz w:val="24"/>
          <w:szCs w:val="24"/>
          <w:highlight w:val="none"/>
          <w:u w:val="none"/>
          <w:lang w:val="en-US" w:eastAsia="zh-CN"/>
        </w:rPr>
        <w:t>生成格式为准</w:t>
      </w:r>
      <w:r>
        <w:rPr>
          <w:rFonts w:hint="eastAsia" w:cs="Times New Roman"/>
          <w:color w:val="auto"/>
          <w:sz w:val="24"/>
          <w:szCs w:val="24"/>
          <w:highlight w:val="none"/>
          <w:u w:val="none"/>
          <w:lang w:val="en-US" w:eastAsia="zh-CN"/>
        </w:rPr>
        <w:t>（如有）</w:t>
      </w:r>
      <w:r>
        <w:rPr>
          <w:rFonts w:hint="default" w:cs="Times New Roman"/>
          <w:color w:val="auto"/>
          <w:sz w:val="24"/>
          <w:szCs w:val="24"/>
          <w:highlight w:val="none"/>
          <w:u w:val="none"/>
          <w:lang w:val="en-US" w:eastAsia="zh-CN"/>
        </w:rPr>
        <w:t>。</w:t>
      </w: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240" w:lineRule="atLeast"/>
        <w:jc w:val="left"/>
        <w:rPr>
          <w:rStyle w:val="148"/>
          <w:rFonts w:hint="default" w:ascii="Times New Roman" w:hAnsi="Times New Roman" w:eastAsia="黑体" w:cs="Times New Roman"/>
          <w:color w:val="auto"/>
          <w:sz w:val="42"/>
          <w:szCs w:val="42"/>
          <w:highlight w:val="none"/>
        </w:rPr>
      </w:pPr>
      <w:bookmarkStart w:id="397" w:name="_Toc7705"/>
      <w:bookmarkStart w:id="398" w:name="_Toc501257123"/>
      <w:r>
        <w:rPr>
          <w:rFonts w:hint="default" w:ascii="Times New Roman" w:hAnsi="Times New Roman" w:eastAsia="黑体" w:cs="Times New Roman"/>
          <w:b w:val="0"/>
          <w:color w:val="auto"/>
          <w:sz w:val="24"/>
          <w:szCs w:val="24"/>
          <w:highlight w:val="none"/>
        </w:rPr>
        <w:br w:type="page"/>
      </w:r>
      <w:bookmarkEnd w:id="386"/>
      <w:bookmarkEnd w:id="397"/>
      <w:bookmarkEnd w:id="398"/>
      <w:bookmarkStart w:id="399" w:name="_Toc1579"/>
      <w:bookmarkStart w:id="400" w:name="_Toc3402"/>
      <w:bookmarkStart w:id="401" w:name="_Toc26548"/>
    </w:p>
    <w:bookmarkEnd w:id="399"/>
    <w:bookmarkEnd w:id="400"/>
    <w:bookmarkEnd w:id="401"/>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sectPr>
          <w:footerReference r:id="rId22" w:type="default"/>
          <w:headerReference r:id="rId21" w:type="even"/>
          <w:footerReference r:id="rId23"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bookmarkStart w:id="402" w:name="_Toc16531"/>
      <w:bookmarkStart w:id="403" w:name="_Toc15091"/>
      <w:bookmarkStart w:id="404" w:name="_Toc17494"/>
      <w:bookmarkStart w:id="405" w:name="_Toc29166"/>
      <w:r>
        <w:rPr>
          <w:rFonts w:hint="default" w:ascii="Times New Roman" w:hAnsi="Times New Roman" w:eastAsia="黑体" w:cs="Times New Roman"/>
          <w:color w:val="auto"/>
          <w:sz w:val="56"/>
          <w:szCs w:val="56"/>
          <w:highlight w:val="none"/>
        </w:rPr>
        <w:t>第三章  评标办法</w:t>
      </w:r>
      <w:bookmarkEnd w:id="402"/>
      <w:bookmarkEnd w:id="403"/>
      <w:bookmarkEnd w:id="404"/>
      <w:bookmarkEnd w:id="405"/>
    </w:p>
    <w:p>
      <w:pPr>
        <w:keepNext/>
        <w:keepLines/>
        <w:pageBreakBefore w:val="0"/>
        <w:widowControl w:val="0"/>
        <w:kinsoku/>
        <w:wordWrap w:val="0"/>
        <w:overflowPunct/>
        <w:topLinePunct w:val="0"/>
        <w:autoSpaceDE/>
        <w:autoSpaceDN/>
        <w:bidi w:val="0"/>
        <w:adjustRightInd/>
        <w:snapToGrid/>
        <w:spacing w:before="480" w:after="240" w:line="380" w:lineRule="atLeast"/>
        <w:jc w:val="center"/>
        <w:textAlignment w:val="auto"/>
        <w:outlineLvl w:val="9"/>
        <w:rPr>
          <w:rFonts w:hint="default" w:ascii="Times New Roman" w:hAnsi="Times New Roman" w:eastAsia="黑体" w:cs="Times New Roman"/>
          <w:b w:val="0"/>
          <w:color w:val="auto"/>
          <w:sz w:val="44"/>
          <w:szCs w:val="44"/>
          <w:highlight w:val="none"/>
        </w:rPr>
      </w:pPr>
      <w:bookmarkStart w:id="406" w:name="_Toc31590"/>
      <w:bookmarkStart w:id="407" w:name="_Toc19059"/>
      <w:bookmarkStart w:id="408" w:name="_Toc234832942"/>
      <w:bookmarkStart w:id="409" w:name="_Toc8413"/>
      <w:r>
        <w:rPr>
          <w:rFonts w:hint="default" w:ascii="Times New Roman" w:hAnsi="Times New Roman" w:eastAsia="黑体" w:cs="Times New Roman"/>
          <w:b w:val="0"/>
          <w:color w:val="auto"/>
          <w:sz w:val="44"/>
          <w:szCs w:val="44"/>
          <w:highlight w:val="none"/>
        </w:rPr>
        <w:t>第三章  评标办法（</w:t>
      </w:r>
      <w:r>
        <w:rPr>
          <w:rFonts w:hint="eastAsia" w:eastAsia="黑体" w:cs="Times New Roman"/>
          <w:b w:val="0"/>
          <w:color w:val="auto"/>
          <w:sz w:val="44"/>
          <w:szCs w:val="44"/>
          <w:highlight w:val="none"/>
          <w:lang w:eastAsia="zh-CN"/>
        </w:rPr>
        <w:t>综合评分法</w:t>
      </w:r>
      <w:r>
        <w:rPr>
          <w:rFonts w:hint="default" w:ascii="Times New Roman" w:hAnsi="Times New Roman" w:eastAsia="黑体" w:cs="Times New Roman"/>
          <w:b w:val="0"/>
          <w:color w:val="auto"/>
          <w:sz w:val="44"/>
          <w:szCs w:val="44"/>
          <w:highlight w:val="none"/>
        </w:rPr>
        <w:t>）</w:t>
      </w:r>
      <w:bookmarkEnd w:id="406"/>
      <w:bookmarkEnd w:id="407"/>
      <w:bookmarkEnd w:id="408"/>
      <w:bookmarkEnd w:id="409"/>
    </w:p>
    <w:p>
      <w:pPr>
        <w:pStyle w:val="2"/>
        <w:pageBreakBefore w:val="0"/>
        <w:kinsoku/>
        <w:wordWrap w:val="0"/>
        <w:overflowPunct/>
        <w:bidi w:val="0"/>
        <w:spacing w:before="480" w:after="240" w:line="380" w:lineRule="atLeast"/>
        <w:rPr>
          <w:rFonts w:hint="default" w:ascii="Times New Roman" w:hAnsi="Times New Roman" w:eastAsia="黑体" w:cs="Times New Roman"/>
          <w:b w:val="0"/>
          <w:color w:val="auto"/>
          <w:sz w:val="24"/>
          <w:szCs w:val="24"/>
          <w:highlight w:val="none"/>
        </w:rPr>
      </w:pPr>
      <w:bookmarkStart w:id="410" w:name="_Toc25267"/>
      <w:bookmarkStart w:id="411" w:name="_Toc25057"/>
      <w:bookmarkStart w:id="412" w:name="_Toc24747"/>
      <w:bookmarkStart w:id="413" w:name="_Toc234832943"/>
      <w:r>
        <w:rPr>
          <w:rFonts w:hint="default" w:ascii="Times New Roman" w:hAnsi="Times New Roman" w:eastAsia="黑体" w:cs="Times New Roman"/>
          <w:b w:val="0"/>
          <w:color w:val="auto"/>
          <w:sz w:val="24"/>
          <w:szCs w:val="24"/>
          <w:highlight w:val="none"/>
        </w:rPr>
        <w:t>评标办法前附表</w:t>
      </w:r>
      <w:r>
        <w:rPr>
          <w:rStyle w:val="56"/>
          <w:rFonts w:hint="default" w:ascii="Times New Roman" w:hAnsi="Times New Roman" w:eastAsia="黑体" w:cs="Times New Roman"/>
          <w:color w:val="auto"/>
          <w:sz w:val="28"/>
          <w:szCs w:val="28"/>
          <w:highlight w:val="none"/>
        </w:rPr>
        <w:footnoteReference w:id="28"/>
      </w:r>
      <w:bookmarkEnd w:id="410"/>
      <w:bookmarkEnd w:id="411"/>
      <w:bookmarkEnd w:id="412"/>
      <w:bookmarkEnd w:id="413"/>
    </w:p>
    <w:tbl>
      <w:tblPr>
        <w:tblStyle w:val="47"/>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3"/>
        <w:gridCol w:w="4"/>
        <w:gridCol w:w="1271"/>
        <w:gridCol w:w="9"/>
        <w:gridCol w:w="6594"/>
        <w:gridCol w:w="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1275" w:type="pct"/>
            <w:gridSpan w:val="4"/>
            <w:tcBorders>
              <w:top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724"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55" w:type="pct"/>
            <w:gridSpan w:val="2"/>
            <w:tcBorders>
              <w:top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719" w:type="pct"/>
            <w:gridSpan w:val="2"/>
            <w:tcBorders>
              <w:top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3724" w:type="pct"/>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eastAsia" w:cs="Times New Roman"/>
                <w:color w:val="auto"/>
                <w:szCs w:val="21"/>
                <w:highlight w:val="none"/>
                <w:lang w:eastAsia="zh-CN"/>
              </w:rPr>
              <w:t>被辽宁省交通运输厅评为较高信用等级的投标人优先</w:t>
            </w:r>
            <w:r>
              <w:rPr>
                <w:rFonts w:hint="default" w:ascii="Times New Roman" w:hAnsi="Times New Roman" w:cs="Times New Roman"/>
                <w:color w:val="auto"/>
                <w:szCs w:val="21"/>
                <w:highlight w:val="none"/>
              </w:rPr>
              <w:t>；</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（3）商务和技术得分较高的投标人优先；</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55" w:type="pct"/>
            <w:gridSpan w:val="2"/>
            <w:tcBorders>
              <w:top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719" w:type="pct"/>
            <w:gridSpan w:val="2"/>
            <w:tcBorders>
              <w:top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8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3724" w:type="pct"/>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60" w:lineRule="atLeast"/>
              <w:ind w:firstLine="421" w:firstLineChars="200"/>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第一个信封（商务及技术文件）评审标准：</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a.投标函按招标文件规定填报了项目名称、标段号、补遗书编号（如有）、勘察设计服务期限、工程质量要求及安全目标；</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b.投标文件组成齐全完整，内容均按规定填写。</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（3）投标人按照招标文件的规定提供了投标保证金：</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投标人按照招标文件提供的格式签订了联合体协议书，明确各方承担连带责任，并明确了联合体牵头人；</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第1.11款规定，且按招标文件第六章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c.投标人未提出不同的支付办法；</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技术建议书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（15）未发现投标人与其他投标人存在使用同一不可篡改的唯一标识软硬件设备投标的（如：MAC地址、标书制作特征码、标书唯一特征码等）。</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p>
          <w:p>
            <w:pPr>
              <w:keepNext w:val="0"/>
              <w:keepLines w:val="0"/>
              <w:pageBreakBefore w:val="0"/>
              <w:widowControl w:val="0"/>
              <w:kinsoku/>
              <w:wordWrap w:val="0"/>
              <w:overflowPunct/>
              <w:topLinePunct w:val="0"/>
              <w:autoSpaceDE/>
              <w:autoSpaceDN/>
              <w:bidi w:val="0"/>
              <w:adjustRightInd/>
              <w:snapToGrid/>
              <w:spacing w:line="360" w:lineRule="atLeast"/>
              <w:ind w:firstLine="421"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第二个信封（报价文件）评审标准：</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（1）投标文件按照招标文件规定的格式、内容填写，字迹清晰可辨，内容齐全完整：</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b.已标价报价清单说明文字与招标文件规定一致，未进行实质性修改和删减；</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（6）未发现投标人与其他投标人存在使用同一不可篡改的唯一标识软硬件设备投标的（如：MAC地址、标书制作特征码、标书唯一特征码等）。</w:t>
            </w:r>
          </w:p>
          <w:p>
            <w:pPr>
              <w:keepNext w:val="0"/>
              <w:keepLines w:val="0"/>
              <w:pageBreakBefore w:val="0"/>
              <w:widowControl w:val="0"/>
              <w:kinsoku/>
              <w:wordWrap w:val="0"/>
              <w:overflowPunct/>
              <w:topLinePunct w:val="0"/>
              <w:autoSpaceDE/>
              <w:autoSpaceDN/>
              <w:bidi w:val="0"/>
              <w:adjustRightInd/>
              <w:snapToGrid/>
              <w:spacing w:line="36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6" w:type="pct"/>
          <w:trHeight w:val="23" w:hRule="atLeast"/>
        </w:trPr>
        <w:tc>
          <w:tcPr>
            <w:tcW w:w="553" w:type="pct"/>
            <w:tcBorders>
              <w:top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4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717" w:type="pct"/>
            <w:gridSpan w:val="2"/>
            <w:tcBorders>
              <w:top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40" w:lineRule="atLeast"/>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3712" w:type="pct"/>
            <w:gridSpan w:val="2"/>
            <w:tcBorders>
              <w:top w:val="single" w:color="auto" w:sz="4" w:space="0"/>
              <w:left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（1）投标人的资质等级符合招标文件规定。</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）投标人的类似项目业绩符合招标文件规定。</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）投标人的信誉符合招标文件规定。</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）投标人的项目负责人资格符合招标文件规定。</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29"/>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56"/>
                <w:rFonts w:hint="default" w:ascii="Times New Roman" w:hAnsi="Times New Roman" w:cs="Times New Roman"/>
                <w:color w:val="auto"/>
                <w:highlight w:val="none"/>
              </w:rPr>
              <w:footnoteReference w:id="30"/>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keepNext w:val="0"/>
              <w:keepLines w:val="0"/>
              <w:pageBreakBefore w:val="0"/>
              <w:widowControl w:val="0"/>
              <w:kinsoku/>
              <w:wordWrap w:val="0"/>
              <w:overflowPunct/>
              <w:topLinePunct w:val="0"/>
              <w:autoSpaceDE/>
              <w:autoSpaceDN/>
              <w:bidi w:val="0"/>
              <w:adjustRightInd/>
              <w:snapToGrid/>
              <w:spacing w:line="340" w:lineRule="atLeast"/>
              <w:ind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jc w:val="right"/>
        <w:rPr>
          <w:rFonts w:hint="default" w:ascii="Times New Roman" w:hAnsi="Times New Roman" w:cs="Times New Roman"/>
          <w:color w:val="auto"/>
          <w:highlight w:val="none"/>
        </w:rPr>
      </w:pPr>
    </w:p>
    <w:tbl>
      <w:tblPr>
        <w:tblStyle w:val="47"/>
        <w:tblW w:w="8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7"/>
        <w:gridCol w:w="1499"/>
        <w:gridCol w:w="653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857" w:type="dxa"/>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499" w:type="dxa"/>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533" w:type="dxa"/>
            <w:tcBorders>
              <w:top w:val="single" w:color="auto" w:sz="4" w:space="0"/>
              <w:left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57" w:type="dxa"/>
            <w:tcBorders>
              <w:top w:val="single" w:color="auto" w:sz="4" w:space="0"/>
              <w:right w:val="single" w:color="auto" w:sz="4" w:space="0"/>
            </w:tcBorders>
            <w:vAlign w:val="center"/>
          </w:tcPr>
          <w:p>
            <w:pPr>
              <w:pageBreakBefore w:val="0"/>
              <w:kinsoku/>
              <w:wordWrap w:val="0"/>
              <w:overflowPunct/>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499" w:type="dxa"/>
            <w:tcBorders>
              <w:top w:val="single" w:color="auto" w:sz="4" w:space="0"/>
              <w:right w:val="single" w:color="auto" w:sz="4" w:space="0"/>
            </w:tcBorders>
            <w:vAlign w:val="center"/>
          </w:tcPr>
          <w:p>
            <w:pPr>
              <w:pageBreakBefore w:val="0"/>
              <w:kinsoku/>
              <w:wordWrap w:val="0"/>
              <w:overflowPunct/>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pPr>
              <w:pageBreakBefore w:val="0"/>
              <w:kinsoku/>
              <w:wordWrap w:val="0"/>
              <w:overflowPunct/>
              <w:bidi w:val="0"/>
              <w:spacing w:line="34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533" w:type="dxa"/>
            <w:tcBorders>
              <w:top w:val="single" w:color="auto" w:sz="4" w:space="0"/>
              <w:left w:val="single" w:color="auto" w:sz="4" w:space="0"/>
              <w:right w:val="single" w:color="auto" w:sz="4" w:space="0"/>
            </w:tcBorders>
            <w:vAlign w:val="center"/>
          </w:tcPr>
          <w:p>
            <w:pPr>
              <w:pageBreakBefore w:val="0"/>
              <w:kinsoku/>
              <w:wordWrap w:val="0"/>
              <w:overflowPunct/>
              <w:bidi w:val="0"/>
              <w:spacing w:line="34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第一个信封（商务及技术文件）评分分值构成：</w:t>
            </w:r>
            <w:r>
              <w:rPr>
                <w:rStyle w:val="56"/>
                <w:rFonts w:hint="default" w:ascii="Times New Roman" w:hAnsi="Times New Roman" w:cs="Times New Roman"/>
                <w:color w:val="auto"/>
                <w:highlight w:val="none"/>
              </w:rPr>
              <w:footnoteReference w:id="31"/>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56"/>
                <w:rFonts w:hint="default" w:ascii="Times New Roman" w:hAnsi="Times New Roman" w:cs="Times New Roman"/>
                <w:color w:val="auto"/>
                <w:szCs w:val="21"/>
                <w:highlight w:val="none"/>
              </w:rPr>
              <w:footnoteReference w:id="32"/>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第二个信封（报价文件）评分分值构成：</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Style w:val="56"/>
                <w:rFonts w:hint="default" w:ascii="Times New Roman" w:hAnsi="Times New Roman" w:cs="Times New Roman"/>
                <w:color w:val="auto"/>
                <w:szCs w:val="21"/>
                <w:highlight w:val="none"/>
              </w:rPr>
              <w:footnoteReference w:id="33"/>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57" w:type="dxa"/>
            <w:tcBorders>
              <w:top w:val="single" w:color="auto" w:sz="4" w:space="0"/>
              <w:right w:val="single" w:color="auto" w:sz="4" w:space="0"/>
            </w:tcBorders>
            <w:vAlign w:val="center"/>
          </w:tcPr>
          <w:p>
            <w:pPr>
              <w:pageBreakBefore w:val="0"/>
              <w:kinsoku/>
              <w:wordWrap w:val="0"/>
              <w:overflowPunct/>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1499" w:type="dxa"/>
            <w:tcBorders>
              <w:top w:val="single" w:color="auto" w:sz="4" w:space="0"/>
              <w:right w:val="single" w:color="auto" w:sz="4" w:space="0"/>
            </w:tcBorders>
            <w:vAlign w:val="center"/>
          </w:tcPr>
          <w:p>
            <w:pPr>
              <w:pageBreakBefore w:val="0"/>
              <w:kinsoku/>
              <w:wordWrap w:val="0"/>
              <w:overflowPunct/>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评标基准价计算方法</w:t>
            </w:r>
          </w:p>
        </w:tc>
        <w:tc>
          <w:tcPr>
            <w:tcW w:w="6533" w:type="dxa"/>
            <w:tcBorders>
              <w:top w:val="single" w:color="auto" w:sz="4" w:space="0"/>
              <w:left w:val="single" w:color="auto" w:sz="4" w:space="0"/>
              <w:right w:val="single" w:color="auto" w:sz="4" w:space="0"/>
            </w:tcBorders>
            <w:vAlign w:val="center"/>
          </w:tcPr>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评标基准价的计算：</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在开标现场，招标人将当场计算并宣布评标基准价。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（1）评标价的确定：</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（2）评标价平均值的计算：</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方案一：按第一个信封（商务及技术文件）评审得分由高到低的顺序选取前3名（若不足3名，则选取相应数量），对其第二个信封（报价文件）的评标价作算术平均（根据第二章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第5.2.4项规定在开标现场被宣布为不进入评标基准价计算的投标报价除外），将该平均值作为评标价平均值；</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方案二：除按第二章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（3）评标基准价的确定</w:t>
            </w:r>
            <w:r>
              <w:rPr>
                <w:rFonts w:hint="default" w:ascii="Times New Roman" w:hAnsi="Times New Roman" w:cs="Times New Roman"/>
                <w:color w:val="auto"/>
                <w:szCs w:val="21"/>
                <w:highlight w:val="none"/>
                <w:vertAlign w:val="superscript"/>
              </w:rPr>
              <w:footnoteReference w:id="34"/>
            </w:r>
            <w:r>
              <w:rPr>
                <w:rFonts w:hint="default" w:ascii="Times New Roman" w:hAnsi="Times New Roman" w:cs="Times New Roman"/>
                <w:color w:val="auto"/>
                <w:szCs w:val="21"/>
                <w:highlight w:val="none"/>
              </w:rPr>
              <w:t>：</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方法一：将评标价平均值直接作为评标基准价。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方法二：将评标价平均值下浮</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方法三：招标人设置评标基准价系数，由投标人代表现场抽取，评标价平均值乘以现场抽取的评标基准价系数作为评标基准价。</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方法四：……</w:t>
            </w:r>
          </w:p>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857" w:type="dxa"/>
            <w:tcBorders>
              <w:top w:val="single" w:color="auto" w:sz="4" w:space="0"/>
              <w:right w:val="single" w:color="auto" w:sz="4" w:space="0"/>
            </w:tcBorders>
            <w:vAlign w:val="center"/>
          </w:tcPr>
          <w:p>
            <w:pPr>
              <w:pageBreakBefore w:val="0"/>
              <w:kinsoku/>
              <w:wordWrap w:val="0"/>
              <w:overflowPunct/>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499" w:type="dxa"/>
            <w:tcBorders>
              <w:top w:val="single" w:color="auto" w:sz="4" w:space="0"/>
              <w:right w:val="single" w:color="auto" w:sz="4" w:space="0"/>
            </w:tcBorders>
            <w:vAlign w:val="center"/>
          </w:tcPr>
          <w:p>
            <w:pPr>
              <w:pageBreakBefore w:val="0"/>
              <w:kinsoku/>
              <w:wordWrap w:val="0"/>
              <w:overflowPunct/>
              <w:bidi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6533" w:type="dxa"/>
            <w:tcBorders>
              <w:top w:val="single" w:color="auto" w:sz="4" w:space="0"/>
              <w:left w:val="single" w:color="auto" w:sz="4" w:space="0"/>
              <w:right w:val="single" w:color="auto" w:sz="4" w:space="0"/>
            </w:tcBorders>
            <w:vAlign w:val="center"/>
          </w:tcPr>
          <w:p>
            <w:pPr>
              <w:pageBreakBefore w:val="0"/>
              <w:kinsoku/>
              <w:wordWrap w:val="0"/>
              <w:overflowPunct/>
              <w:bidi w:val="0"/>
              <w:spacing w:line="34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overflowPunct/>
              <w:bidi w:val="0"/>
              <w:spacing w:line="34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r>
              <w:rPr>
                <w:rFonts w:hint="eastAsia" w:ascii="Times New Roman" w:hAnsi="Times New Roman" w:eastAsia="宋体" w:cs="Times New Roman"/>
                <w:color w:val="auto"/>
                <w:szCs w:val="21"/>
                <w:highlight w:val="none"/>
              </w:rPr>
              <w:t>。</w:t>
            </w:r>
          </w:p>
        </w:tc>
      </w:tr>
    </w:tbl>
    <w:p>
      <w:pPr>
        <w:pageBreakBefore w:val="0"/>
        <w:kinsoku/>
        <w:wordWrap w:val="0"/>
        <w:overflowPunct/>
        <w:bidi w:val="0"/>
        <w:jc w:val="right"/>
        <w:rPr>
          <w:rFonts w:hint="default" w:ascii="Times New Roman" w:hAnsi="Times New Roman" w:cs="Times New Roman"/>
          <w:color w:val="auto"/>
          <w:highlight w:val="none"/>
        </w:rPr>
      </w:pPr>
    </w:p>
    <w:tbl>
      <w:tblPr>
        <w:tblStyle w:val="47"/>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3"/>
        <w:gridCol w:w="898"/>
        <w:gridCol w:w="1008"/>
        <w:gridCol w:w="3129"/>
        <w:gridCol w:w="850"/>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95" w:type="dxa"/>
            <w:vMerge w:val="restart"/>
            <w:tcBorders>
              <w:top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328" w:type="dxa"/>
            <w:gridSpan w:val="5"/>
            <w:tcBorders>
              <w:top w:val="single" w:color="auto" w:sz="4" w:space="0"/>
            </w:tcBorders>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56"/>
                <w:rFonts w:hint="default" w:ascii="Times New Roman" w:hAnsi="Times New Roman" w:cs="Times New Roman"/>
                <w:b/>
                <w:color w:val="auto"/>
                <w:szCs w:val="21"/>
                <w:highlight w:val="none"/>
              </w:rPr>
              <w:footnoteReference w:id="35"/>
            </w:r>
          </w:p>
        </w:tc>
        <w:tc>
          <w:tcPr>
            <w:tcW w:w="1168" w:type="dxa"/>
            <w:vMerge w:val="restart"/>
            <w:tcBorders>
              <w:top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56"/>
                <w:rFonts w:hint="default" w:ascii="Times New Roman" w:hAnsi="Times New Roman" w:cs="Times New Roman"/>
                <w:b/>
                <w:color w:val="auto"/>
                <w:szCs w:val="21"/>
                <w:highlight w:val="none"/>
              </w:rPr>
              <w:footnoteReference w:id="3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p>
        </w:tc>
        <w:tc>
          <w:tcPr>
            <w:tcW w:w="1341" w:type="dxa"/>
            <w:gridSpan w:val="2"/>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1008" w:type="dxa"/>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3129" w:type="dxa"/>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1168" w:type="dxa"/>
            <w:vMerge w:val="continue"/>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2.2.4（1）</w:t>
            </w:r>
          </w:p>
        </w:tc>
        <w:tc>
          <w:tcPr>
            <w:tcW w:w="1341" w:type="dxa"/>
            <w:gridSpan w:val="2"/>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技术建议书</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snapToGrid w:val="0"/>
                <w:color w:val="auto"/>
                <w:szCs w:val="21"/>
                <w:highlight w:val="none"/>
              </w:rPr>
              <w:t>对招标项目的理解和总体设计思路</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3129"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snapToGrid w:val="0"/>
                <w:color w:val="auto"/>
                <w:szCs w:val="21"/>
                <w:highlight w:val="none"/>
              </w:rPr>
              <w:t>招标项目勘察设计的特点、关键技术问题的认识及其对策措施</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3129"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对前一阶段工作技术结论及技术方案的不同看法及建议</w:t>
            </w:r>
            <w:r>
              <w:rPr>
                <w:rStyle w:val="56"/>
                <w:rFonts w:hint="default" w:ascii="Times New Roman" w:hAnsi="Times New Roman" w:cs="Times New Roman"/>
                <w:color w:val="auto"/>
                <w:highlight w:val="none"/>
              </w:rPr>
              <w:footnoteReference w:id="37"/>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3129"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snapToGrid w:val="0"/>
                <w:color w:val="auto"/>
                <w:szCs w:val="21"/>
                <w:highlight w:val="none"/>
              </w:rPr>
              <w:t>勘察设计工作量及计划安排</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3129" w:type="dxa"/>
            <w:vAlign w:val="center"/>
          </w:tcPr>
          <w:p>
            <w:pPr>
              <w:pageBreakBefore w:val="0"/>
              <w:kinsoku/>
              <w:wordWrap w:val="0"/>
              <w:overflowPunct/>
              <w:bidi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勘察设计的质量保证措施、进度保证措施、安全保证措施</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3129"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后续服务的安排及保证措施</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3129" w:type="dxa"/>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restart"/>
            <w:vAlign w:val="center"/>
          </w:tcPr>
          <w:p>
            <w:pPr>
              <w:pageBreakBefore w:val="0"/>
              <w:kinsoku/>
              <w:wordWrap w:val="0"/>
              <w:overflowPunct/>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2.2.4（2）</w:t>
            </w:r>
          </w:p>
        </w:tc>
        <w:tc>
          <w:tcPr>
            <w:tcW w:w="1341" w:type="dxa"/>
            <w:gridSpan w:val="2"/>
            <w:vMerge w:val="restart"/>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项目负责人任职资格与业绩</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341" w:type="dxa"/>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3129" w:type="dxa"/>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2.2.4（3）</w:t>
            </w:r>
          </w:p>
        </w:tc>
        <w:tc>
          <w:tcPr>
            <w:tcW w:w="1341" w:type="dxa"/>
            <w:gridSpan w:val="2"/>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1008"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5147" w:type="dxa"/>
            <w:gridSpan w:val="3"/>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评标价得分计算公式示例：</w:t>
            </w:r>
          </w:p>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（1）如果投标人的评标价&gt;评标基准价，则评标价得分＝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 xml:space="preserve">－偏差率×100× </w:t>
            </w:r>
            <w:r>
              <w:rPr>
                <w:rFonts w:hint="default" w:ascii="Times New Roman" w:hAnsi="Times New Roman" w:cs="Times New Roman"/>
                <w:color w:val="auto"/>
                <w:szCs w:val="21"/>
                <w:highlight w:val="none"/>
              </w:rPr>
              <w:t>E</w:t>
            </w:r>
            <w:r>
              <w:rPr>
                <w:rFonts w:hint="default" w:ascii="Times New Roman" w:hAnsi="Times New Roman" w:cs="Times New Roman"/>
                <w:color w:val="auto"/>
                <w:szCs w:val="21"/>
                <w:highlight w:val="none"/>
                <w:vertAlign w:val="subscript"/>
              </w:rPr>
              <w:t>1</w:t>
            </w:r>
            <w:r>
              <w:rPr>
                <w:rFonts w:ascii="Times New Roman" w:hAnsi="Times New Roman" w:eastAsia="宋体" w:cs="Times New Roman"/>
                <w:color w:val="auto"/>
                <w:szCs w:val="21"/>
                <w:highlight w:val="none"/>
              </w:rPr>
              <w:t>；</w:t>
            </w:r>
          </w:p>
          <w:p>
            <w:pPr>
              <w:pageBreakBefore w:val="0"/>
              <w:kinsoku/>
              <w:wordWrap w:val="0"/>
              <w:overflowPunct/>
              <w:bidi w:val="0"/>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（2）如果投标人的评标价≤评标基准价，则评标价得分＝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 xml:space="preserve">＋偏差率× 100× </w:t>
            </w:r>
            <w:r>
              <w:rPr>
                <w:rFonts w:hint="default" w:ascii="Times New Roman" w:hAnsi="Times New Roman" w:cs="Times New Roman"/>
                <w:color w:val="auto"/>
                <w:szCs w:val="21"/>
                <w:highlight w:val="none"/>
              </w:rPr>
              <w:t>E</w:t>
            </w:r>
            <w:r>
              <w:rPr>
                <w:rFonts w:hint="default" w:ascii="Times New Roman" w:hAnsi="Times New Roman" w:cs="Times New Roman"/>
                <w:color w:val="auto"/>
                <w:szCs w:val="21"/>
                <w:highlight w:val="none"/>
                <w:vertAlign w:val="subscript"/>
              </w:rPr>
              <w:t>2</w:t>
            </w:r>
            <w:r>
              <w:rPr>
                <w:rFonts w:ascii="Times New Roman" w:hAnsi="Times New Roman" w:eastAsia="宋体" w:cs="Times New Roman"/>
                <w:color w:val="auto"/>
                <w:szCs w:val="21"/>
                <w:highlight w:val="none"/>
              </w:rPr>
              <w:t>。</w:t>
            </w:r>
          </w:p>
          <w:p>
            <w:pPr>
              <w:pageBreakBefore w:val="0"/>
              <w:kinsoku/>
              <w:wordWrap w:val="0"/>
              <w:overflowPunct/>
              <w:bidi w:val="0"/>
              <w:spacing w:line="380" w:lineRule="atLeast"/>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其中：E</w:t>
            </w:r>
            <w:r>
              <w:rPr>
                <w:rFonts w:hint="default" w:ascii="Times New Roman" w:hAnsi="Times New Roman" w:eastAsia="宋体" w:cs="Times New Roman"/>
                <w:color w:val="auto"/>
                <w:szCs w:val="21"/>
                <w:highlight w:val="none"/>
                <w:vertAlign w:val="subscript"/>
              </w:rPr>
              <w:t>1</w:t>
            </w:r>
            <w:r>
              <w:rPr>
                <w:rFonts w:hint="default" w:ascii="Times New Roman" w:hAnsi="Times New Roman" w:eastAsia="宋体" w:cs="Times New Roman"/>
                <w:color w:val="auto"/>
                <w:szCs w:val="21"/>
                <w:highlight w:val="none"/>
              </w:rPr>
              <w:t>是评标价每高于评标基准价一个百分点的扣分值，E</w:t>
            </w:r>
            <w:r>
              <w:rPr>
                <w:rFonts w:hint="default" w:ascii="Times New Roman" w:hAnsi="Times New Roman" w:eastAsia="宋体" w:cs="Times New Roman"/>
                <w:color w:val="auto"/>
                <w:szCs w:val="21"/>
                <w:highlight w:val="none"/>
                <w:vertAlign w:val="subscript"/>
              </w:rPr>
              <w:t>2</w:t>
            </w:r>
            <w:r>
              <w:rPr>
                <w:rFonts w:hint="default" w:ascii="Times New Roman" w:hAnsi="Times New Roman" w:eastAsia="宋体" w:cs="Times New Roman"/>
                <w:color w:val="auto"/>
                <w:szCs w:val="21"/>
                <w:highlight w:val="none"/>
              </w:rPr>
              <w:t>是评标价每低于评标基准价一个百分点的扣分值；招标人可依据招标项目具体特点和实际需要设置E</w:t>
            </w:r>
            <w:r>
              <w:rPr>
                <w:rFonts w:hint="default" w:ascii="Times New Roman" w:hAnsi="Times New Roman" w:eastAsia="宋体" w:cs="Times New Roman"/>
                <w:color w:val="auto"/>
                <w:szCs w:val="21"/>
                <w:highlight w:val="none"/>
                <w:vertAlign w:val="subscript"/>
              </w:rPr>
              <w:t>1</w:t>
            </w:r>
            <w:r>
              <w:rPr>
                <w:rFonts w:hint="default" w:ascii="Times New Roman" w:hAnsi="Times New Roman" w:eastAsia="宋体" w:cs="Times New Roman"/>
                <w:color w:val="auto"/>
                <w:szCs w:val="21"/>
                <w:highlight w:val="none"/>
              </w:rPr>
              <w:t>、E</w:t>
            </w:r>
            <w:r>
              <w:rPr>
                <w:rFonts w:hint="default" w:ascii="Times New Roman" w:hAnsi="Times New Roman" w:eastAsia="宋体" w:cs="Times New Roman"/>
                <w:color w:val="auto"/>
                <w:szCs w:val="21"/>
                <w:highlight w:val="none"/>
                <w:vertAlign w:val="subscript"/>
              </w:rPr>
              <w:t>2</w:t>
            </w:r>
            <w:r>
              <w:rPr>
                <w:rFonts w:hint="default" w:ascii="Times New Roman" w:hAnsi="Times New Roman" w:eastAsia="宋体" w:cs="Times New Roman"/>
                <w:color w:val="auto"/>
                <w:szCs w:val="21"/>
                <w:highlight w:val="none"/>
              </w:rPr>
              <w:t>，但E</w:t>
            </w:r>
            <w:r>
              <w:rPr>
                <w:rFonts w:hint="default" w:ascii="Times New Roman" w:hAnsi="Times New Roman" w:eastAsia="宋体" w:cs="Times New Roman"/>
                <w:color w:val="auto"/>
                <w:szCs w:val="21"/>
                <w:highlight w:val="none"/>
                <w:vertAlign w:val="subscript"/>
              </w:rPr>
              <w:t>1</w:t>
            </w:r>
            <w:r>
              <w:rPr>
                <w:rFonts w:hint="default" w:ascii="Times New Roman" w:hAnsi="Times New Roman" w:eastAsia="宋体" w:cs="Times New Roman"/>
                <w:color w:val="auto"/>
                <w:szCs w:val="21"/>
                <w:highlight w:val="none"/>
              </w:rPr>
              <w:t>应大于E</w:t>
            </w:r>
            <w:r>
              <w:rPr>
                <w:rFonts w:hint="default" w:ascii="Times New Roman" w:hAnsi="Times New Roman" w:eastAsia="宋体" w:cs="Times New Roman"/>
                <w:color w:val="auto"/>
                <w:szCs w:val="21"/>
                <w:highlight w:val="none"/>
                <w:vertAlign w:val="subscript"/>
              </w:rPr>
              <w:t>2</w:t>
            </w:r>
            <w:r>
              <w:rPr>
                <w:rFonts w:hint="eastAsia" w:cs="Times New Roman"/>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2.2.4（4）</w:t>
            </w:r>
          </w:p>
        </w:tc>
        <w:tc>
          <w:tcPr>
            <w:tcW w:w="443" w:type="dxa"/>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898" w:type="dxa"/>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restart"/>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vMerge w:val="restart"/>
          </w:tcPr>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根据</w:t>
            </w:r>
            <w:r>
              <w:rPr>
                <w:rFonts w:hint="eastAsia" w:cs="Times New Roman"/>
                <w:color w:val="auto"/>
                <w:szCs w:val="21"/>
                <w:highlight w:val="none"/>
                <w:lang w:val="en-US" w:eastAsia="zh-CN"/>
              </w:rPr>
              <w:t>最近年度投标人</w:t>
            </w:r>
            <w:r>
              <w:rPr>
                <w:rFonts w:hint="eastAsia" w:ascii="Times New Roman" w:hAnsi="Times New Roman" w:eastAsia="宋体" w:cs="Times New Roman"/>
                <w:color w:val="auto"/>
                <w:szCs w:val="21"/>
                <w:highlight w:val="none"/>
              </w:rPr>
              <w:t>信用评价结果评分：AA级的得</w:t>
            </w:r>
            <w:r>
              <w:rPr>
                <w:rFonts w:hint="eastAsia" w:cs="Times New Roman"/>
                <w:color w:val="auto"/>
                <w:szCs w:val="21"/>
                <w:highlight w:val="none"/>
                <w:lang w:val="en-US" w:eastAsia="zh-CN"/>
              </w:rPr>
              <w:t>10</w:t>
            </w:r>
            <w:r>
              <w:rPr>
                <w:rFonts w:hint="eastAsia" w:ascii="Times New Roman" w:hAnsi="Times New Roman" w:eastAsia="宋体" w:cs="Times New Roman"/>
                <w:color w:val="auto"/>
                <w:szCs w:val="21"/>
                <w:highlight w:val="none"/>
              </w:rPr>
              <w:t>分，A级的得8分，B级的得5分，C级的得2分，D级的得0分。</w:t>
            </w:r>
          </w:p>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注：（1）信用评价结果：以投标截止时间前，交通运输主管部门最新发布的结果公告（非结果公示）为准。</w:t>
            </w:r>
          </w:p>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企业具备有效的辽宁省公路设计企业信用评价等级时，投标按其认定；不具备时，投标信用评价等级按照以下原则认定：①具有全国综合信用评价等级的，按照全国综合信用评价等级认定。②无全国综合信用评价等级的，按照企业注册地省级信用评价等级认定。③无全国综合信用评价等级和注册地省级信用评价等级的，根据</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全国公路建设市场监督管理系统</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查询结果，无不良行为记录的按A级认定，有不良行为记录但超过三年（自然年，下同）的按B级认定，三年内有不良行为记录的按C级认定。</w:t>
            </w:r>
          </w:p>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（3）投标人无辽宁省公路</w:t>
            </w:r>
            <w:r>
              <w:rPr>
                <w:rFonts w:hint="eastAsia" w:cs="Times New Roman"/>
                <w:color w:val="auto"/>
                <w:szCs w:val="21"/>
                <w:highlight w:val="none"/>
                <w:lang w:val="en-US" w:eastAsia="zh-CN"/>
              </w:rPr>
              <w:t>设计</w:t>
            </w:r>
            <w:r>
              <w:rPr>
                <w:rFonts w:hint="eastAsia" w:ascii="Times New Roman" w:hAnsi="Times New Roman" w:eastAsia="宋体" w:cs="Times New Roman"/>
                <w:color w:val="auto"/>
                <w:szCs w:val="21"/>
                <w:highlight w:val="none"/>
              </w:rPr>
              <w:t>企业信用评价等级，且无全国综合信用评价等级的，须提供主管部门官方网站公布的结果公告、以及体现投标人评定等级的文件作为证明材料，评标委员会进行复核。</w:t>
            </w:r>
          </w:p>
          <w:p>
            <w:pPr>
              <w:pageBreakBefore w:val="0"/>
              <w:kinsoku/>
              <w:wordWrap w:val="0"/>
              <w:overflowPunct/>
              <w:bidi w:val="0"/>
              <w:spacing w:line="380" w:lineRule="atLeast"/>
              <w:jc w:val="both"/>
              <w:rPr>
                <w:rFonts w:hint="default" w:ascii="Times New Roman" w:hAnsi="Times New Roman" w:cs="Times New Roman"/>
                <w:color w:val="auto"/>
                <w:szCs w:val="21"/>
                <w:highlight w:val="none"/>
              </w:rPr>
            </w:pPr>
            <w:r>
              <w:rPr>
                <w:rFonts w:hint="eastAsia" w:ascii="Times New Roman" w:hAnsi="Times New Roman" w:eastAsia="宋体" w:cs="Times New Roman"/>
                <w:color w:val="auto"/>
                <w:szCs w:val="21"/>
                <w:highlight w:val="none"/>
              </w:rPr>
              <w:t>（4）联合体投标的，按照联合体成员企业中信用评价等级最低的认定联合体信用评价等级。</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3129" w:type="dxa"/>
            <w:vMerge w:val="continue"/>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eastAsia="隶书" w:cs="Times New Roman"/>
                <w:color w:val="auto"/>
                <w:szCs w:val="21"/>
                <w:highlight w:val="none"/>
              </w:rPr>
            </w:pPr>
          </w:p>
        </w:tc>
        <w:tc>
          <w:tcPr>
            <w:tcW w:w="898" w:type="dxa"/>
            <w:vMerge w:val="restart"/>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jc w:val="right"/>
              <w:rPr>
                <w:rFonts w:hint="default" w:ascii="Times New Roman" w:hAnsi="Times New Roman" w:cs="Times New Roman"/>
                <w:b/>
                <w:color w:val="auto"/>
                <w:szCs w:val="21"/>
                <w:highlight w:val="none"/>
              </w:rPr>
            </w:pP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restar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08" w:type="dxa"/>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443" w:type="dxa"/>
            <w:vMerge w:val="continue"/>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898" w:type="dxa"/>
            <w:vMerge w:val="continue"/>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1008" w:type="dxa"/>
            <w:vMerge w:val="continue"/>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u w:val="single"/>
              </w:rPr>
            </w:pPr>
          </w:p>
        </w:tc>
        <w:tc>
          <w:tcPr>
            <w:tcW w:w="3129"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50" w:type="dxa"/>
            <w:vAlign w:val="center"/>
          </w:tcPr>
          <w:p>
            <w:pPr>
              <w:pageBreakBefore w:val="0"/>
              <w:kinsoku/>
              <w:wordWrap w:val="0"/>
              <w:overflowPunct/>
              <w:bidi w:val="0"/>
              <w:spacing w:line="380" w:lineRule="atLeast"/>
              <w:jc w:val="right"/>
              <w:rPr>
                <w:rFonts w:hint="default" w:ascii="Times New Roman" w:hAnsi="Times New Roman" w:cs="Times New Roman"/>
                <w:color w:val="auto"/>
                <w:sz w:val="18"/>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68" w:type="dxa"/>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overflowPunct/>
              <w:bidi w:val="0"/>
              <w:spacing w:line="380" w:lineRule="atLeast"/>
              <w:rPr>
                <w:rFonts w:hint="default" w:ascii="Times New Roman" w:hAnsi="Times New Roman" w:cs="Times New Roman"/>
                <w:color w:val="auto"/>
                <w:szCs w:val="21"/>
                <w:highlight w:val="none"/>
              </w:rPr>
            </w:pPr>
          </w:p>
          <w:p>
            <w:pPr>
              <w:pageBreakBefore w:val="0"/>
              <w:kinsoku/>
              <w:wordWrap w:val="0"/>
              <w:overflowPunct/>
              <w:bidi w:val="0"/>
              <w:spacing w:line="380" w:lineRule="atLeast"/>
              <w:rPr>
                <w:rFonts w:hint="default" w:ascii="Times New Roman" w:hAnsi="Times New Roman" w:cs="Times New Roman"/>
                <w:color w:val="auto"/>
                <w:szCs w:val="21"/>
                <w:highlight w:val="none"/>
              </w:rPr>
            </w:pP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414" w:name="_Toc16801"/>
      <w:bookmarkStart w:id="415" w:name="_Toc28300"/>
      <w:bookmarkStart w:id="416" w:name="_Toc11203"/>
      <w:bookmarkStart w:id="417" w:name="_Toc234832944"/>
      <w:r>
        <w:rPr>
          <w:rFonts w:hint="default" w:ascii="Times New Roman" w:hAnsi="Times New Roman" w:eastAsia="黑体" w:cs="Times New Roman"/>
          <w:b w:val="0"/>
          <w:color w:val="auto"/>
          <w:sz w:val="28"/>
          <w:szCs w:val="28"/>
          <w:highlight w:val="none"/>
        </w:rPr>
        <w:t>1. 评标方法</w:t>
      </w:r>
      <w:bookmarkEnd w:id="414"/>
      <w:bookmarkEnd w:id="415"/>
      <w:bookmarkEnd w:id="416"/>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本次评标采用</w:t>
      </w:r>
      <w:r>
        <w:rPr>
          <w:rFonts w:hint="eastAsia" w:cs="Times New Roman"/>
          <w:color w:val="auto"/>
          <w:sz w:val="24"/>
          <w:highlight w:val="none"/>
          <w:lang w:eastAsia="zh-CN"/>
        </w:rPr>
        <w:t>综合评分法</w:t>
      </w:r>
      <w:r>
        <w:rPr>
          <w:rFonts w:hint="default" w:ascii="Times New Roman" w:hAnsi="Times New Roman" w:cs="Times New Roman"/>
          <w:color w:val="auto"/>
          <w:sz w:val="24"/>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418" w:name="_Toc14144"/>
      <w:bookmarkStart w:id="419" w:name="_Toc30583"/>
      <w:bookmarkStart w:id="420" w:name="_Toc1440"/>
      <w:r>
        <w:rPr>
          <w:rFonts w:hint="default" w:ascii="Times New Roman" w:hAnsi="Times New Roman" w:eastAsia="黑体" w:cs="Times New Roman"/>
          <w:b w:val="0"/>
          <w:color w:val="auto"/>
          <w:sz w:val="28"/>
          <w:szCs w:val="28"/>
          <w:highlight w:val="none"/>
        </w:rPr>
        <w:t>2. 评审标准</w:t>
      </w:r>
      <w:bookmarkEnd w:id="418"/>
      <w:bookmarkEnd w:id="419"/>
      <w:bookmarkEnd w:id="420"/>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21" w:name="_Toc24127"/>
      <w:bookmarkStart w:id="422" w:name="_Toc6735"/>
      <w:bookmarkStart w:id="423" w:name="_Toc877"/>
      <w:r>
        <w:rPr>
          <w:rFonts w:hint="default" w:ascii="Times New Roman" w:hAnsi="Times New Roman" w:eastAsia="黑体" w:cs="Times New Roman"/>
          <w:b w:val="0"/>
          <w:color w:val="auto"/>
          <w:sz w:val="24"/>
          <w:szCs w:val="24"/>
          <w:highlight w:val="none"/>
        </w:rPr>
        <w:t>2.1 初步评审标准</w:t>
      </w:r>
      <w:bookmarkEnd w:id="421"/>
      <w:bookmarkEnd w:id="422"/>
      <w:bookmarkEnd w:id="423"/>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24" w:name="_Toc4615"/>
      <w:bookmarkStart w:id="425" w:name="_Toc20605"/>
      <w:bookmarkStart w:id="426" w:name="_Toc15635"/>
      <w:r>
        <w:rPr>
          <w:rFonts w:hint="default" w:ascii="Times New Roman" w:hAnsi="Times New Roman" w:eastAsia="黑体" w:cs="Times New Roman"/>
          <w:b w:val="0"/>
          <w:color w:val="auto"/>
          <w:sz w:val="24"/>
          <w:szCs w:val="24"/>
          <w:highlight w:val="none"/>
        </w:rPr>
        <w:t>2.2 分值构成与评分标准</w:t>
      </w:r>
      <w:bookmarkEnd w:id="424"/>
      <w:bookmarkEnd w:id="425"/>
      <w:bookmarkEnd w:id="426"/>
    </w:p>
    <w:p>
      <w:pPr>
        <w:pageBreakBefore w:val="0"/>
        <w:tabs>
          <w:tab w:val="left" w:pos="360"/>
        </w:tabs>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 </w:t>
      </w:r>
      <w:r>
        <w:rPr>
          <w:rFonts w:hint="default" w:ascii="Times New Roman" w:hAnsi="Times New Roman" w:eastAsia="黑体" w:cs="Times New Roman"/>
          <w:color w:val="auto"/>
          <w:sz w:val="24"/>
          <w:highlight w:val="none"/>
        </w:rPr>
        <w:t>分值构成</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（1）技术建议书：见评标办法前附表；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（2）主要人员：见评标办法前附表；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（3）评标价：见评标办法前附表；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（4）其他评分因素：见评标办法前附表。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2.2.2 </w:t>
      </w:r>
      <w:r>
        <w:rPr>
          <w:rFonts w:hint="default" w:ascii="Times New Roman" w:hAnsi="Times New Roman" w:eastAsia="黑体" w:cs="Times New Roman"/>
          <w:color w:val="auto"/>
          <w:sz w:val="24"/>
          <w:highlight w:val="none"/>
        </w:rPr>
        <w:t>评标基准价计算</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评标基准价计算方法：见评标办法前附表。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2.2.3 </w:t>
      </w:r>
      <w:r>
        <w:rPr>
          <w:rFonts w:hint="default" w:ascii="Times New Roman" w:hAnsi="Times New Roman" w:eastAsia="黑体" w:cs="Times New Roman"/>
          <w:color w:val="auto"/>
          <w:sz w:val="24"/>
          <w:highlight w:val="none"/>
        </w:rPr>
        <w:t>评标价的偏差率计算</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评标价的偏差率计算公式：见评标办法前附表。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2.2.4 </w:t>
      </w:r>
      <w:r>
        <w:rPr>
          <w:rFonts w:hint="default" w:ascii="Times New Roman" w:hAnsi="Times New Roman" w:eastAsia="黑体" w:cs="Times New Roman"/>
          <w:color w:val="auto"/>
          <w:sz w:val="24"/>
          <w:highlight w:val="none"/>
        </w:rPr>
        <w:t>评分标准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（1）技术建议书评分标准：见评标办法前附表；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（2）主要人员评分标准：见评标办法前附表；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（3）评标价评分标准：见评标办法前附表；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（4）其他因素评分标准：见评标办法前附表。</w:t>
      </w:r>
    </w:p>
    <w:p>
      <w:pPr>
        <w:pStyle w:val="2"/>
        <w:pageBreakBefore w:val="0"/>
        <w:kinsoku/>
        <w:wordWrap w:val="0"/>
        <w:overflowPunct/>
        <w:bidi w:val="0"/>
        <w:spacing w:before="360" w:after="240" w:line="240" w:lineRule="atLeast"/>
        <w:rPr>
          <w:rFonts w:hint="default" w:ascii="Times New Roman" w:hAnsi="Times New Roman" w:eastAsia="黑体" w:cs="Times New Roman"/>
          <w:b w:val="0"/>
          <w:color w:val="auto"/>
          <w:sz w:val="28"/>
          <w:szCs w:val="28"/>
          <w:highlight w:val="none"/>
        </w:rPr>
      </w:pPr>
      <w:bookmarkStart w:id="427" w:name="_Toc9889"/>
      <w:bookmarkStart w:id="428" w:name="_Toc4006"/>
      <w:bookmarkStart w:id="429" w:name="_Toc1972"/>
      <w:r>
        <w:rPr>
          <w:rFonts w:hint="default" w:ascii="Times New Roman" w:hAnsi="Times New Roman" w:eastAsia="黑体" w:cs="Times New Roman"/>
          <w:b w:val="0"/>
          <w:color w:val="auto"/>
          <w:sz w:val="28"/>
          <w:szCs w:val="28"/>
          <w:highlight w:val="none"/>
        </w:rPr>
        <w:t>3. 评标程序</w:t>
      </w:r>
      <w:bookmarkEnd w:id="427"/>
      <w:bookmarkEnd w:id="428"/>
      <w:bookmarkEnd w:id="429"/>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30" w:name="_Toc29482"/>
      <w:bookmarkStart w:id="431" w:name="_Toc5686"/>
      <w:bookmarkStart w:id="432" w:name="_Toc4950"/>
      <w:r>
        <w:rPr>
          <w:rFonts w:hint="default" w:ascii="Times New Roman" w:hAnsi="Times New Roman" w:eastAsia="黑体" w:cs="Times New Roman"/>
          <w:b w:val="0"/>
          <w:color w:val="auto"/>
          <w:sz w:val="24"/>
          <w:szCs w:val="24"/>
          <w:highlight w:val="none"/>
        </w:rPr>
        <w:t>3.1 第一个信封初步评审</w:t>
      </w:r>
      <w:bookmarkEnd w:id="430"/>
      <w:bookmarkEnd w:id="431"/>
      <w:bookmarkEnd w:id="432"/>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3.1.1 评标委员会依据本章第2.1</w:t>
      </w:r>
      <w:r>
        <w:rPr>
          <w:rFonts w:hint="eastAsia" w:cs="Times New Roman"/>
          <w:color w:val="auto"/>
          <w:sz w:val="24"/>
          <w:highlight w:val="none"/>
          <w:lang w:val="en-US" w:eastAsia="zh-CN"/>
        </w:rPr>
        <w:t>款</w:t>
      </w:r>
      <w:r>
        <w:rPr>
          <w:rFonts w:hint="default" w:ascii="Times New Roman" w:hAnsi="Times New Roman" w:cs="Times New Roman"/>
          <w:color w:val="auto"/>
          <w:sz w:val="24"/>
          <w:highlight w:val="none"/>
        </w:rPr>
        <w:t>规定的评审标准对投标文件第一个信封（商务及技术文件）进行初步评审。有一项不符合评审标准的，评标委员会应否决其投标。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3.1.2 投标文件的标的、质量标准、</w:t>
      </w:r>
      <w:r>
        <w:rPr>
          <w:rFonts w:hint="default" w:ascii="Times New Roman" w:hAnsi="Times New Roman" w:cs="Times New Roman"/>
          <w:color w:val="auto"/>
          <w:sz w:val="24"/>
          <w:szCs w:val="24"/>
          <w:highlight w:val="none"/>
        </w:rPr>
        <w:t>勘察设计服务期限</w:t>
      </w:r>
      <w:r>
        <w:rPr>
          <w:rFonts w:hint="default" w:ascii="Times New Roman" w:hAnsi="Times New Roman" w:cs="Times New Roman"/>
          <w:color w:val="auto"/>
          <w:sz w:val="24"/>
          <w:highlight w:val="none"/>
        </w:rPr>
        <w:t>等实质性要求和条件不得出现（存在）不利于招标人的偏差，否则，评标委员会应否决其投标。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33" w:name="_Toc3241"/>
      <w:bookmarkStart w:id="434" w:name="_Toc20780"/>
      <w:bookmarkStart w:id="435" w:name="_Toc13385"/>
      <w:r>
        <w:rPr>
          <w:rFonts w:hint="default" w:ascii="Times New Roman" w:hAnsi="Times New Roman" w:eastAsia="黑体" w:cs="Times New Roman"/>
          <w:b w:val="0"/>
          <w:color w:val="auto"/>
          <w:sz w:val="24"/>
          <w:szCs w:val="24"/>
          <w:highlight w:val="none"/>
        </w:rPr>
        <w:t>3.2 第一个信封详细评审</w:t>
      </w:r>
      <w:bookmarkEnd w:id="433"/>
      <w:bookmarkEnd w:id="434"/>
      <w:bookmarkEnd w:id="435"/>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3.2.1 评标委员会按本章第2.2款规定的量化因素和分值进行打分，并计算出各投标人的商务和技术得分。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（1）按本章第2.2.4项（1）目规定的评审因素和分值对技术建议书部分计算出得分A；</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（2）按本章第2.2.4项（2）目规定的评审因素和分值对主要人员部分计算出得分B；</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（3）按本章第2.2.4项（4）目规定的评审因素和分值对其他部分计算出得分D。</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3.2.3 投标人的商务和技术得分=A+B+D。 </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36" w:name="_Toc3467"/>
      <w:bookmarkStart w:id="437" w:name="_Toc12970"/>
      <w:bookmarkStart w:id="438" w:name="_Toc16120"/>
      <w:r>
        <w:rPr>
          <w:rFonts w:hint="default" w:ascii="Times New Roman" w:hAnsi="Times New Roman" w:eastAsia="黑体" w:cs="Times New Roman"/>
          <w:b w:val="0"/>
          <w:color w:val="auto"/>
          <w:sz w:val="24"/>
          <w:szCs w:val="24"/>
          <w:highlight w:val="none"/>
        </w:rPr>
        <w:t>3.3 第二个信封开标</w:t>
      </w:r>
      <w:bookmarkEnd w:id="436"/>
      <w:bookmarkEnd w:id="437"/>
      <w:bookmarkEnd w:id="438"/>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第5.1款规定的时间和地点对通过投标文件第一个信封（商务及技术文件）评审的投标文件第二个信封（报价文件）进行开标。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39" w:name="_Toc4241"/>
      <w:bookmarkStart w:id="440" w:name="_Toc17686"/>
      <w:bookmarkStart w:id="441" w:name="_Toc13403"/>
      <w:r>
        <w:rPr>
          <w:rFonts w:hint="default" w:ascii="Times New Roman" w:hAnsi="Times New Roman" w:eastAsia="黑体" w:cs="Times New Roman"/>
          <w:b w:val="0"/>
          <w:color w:val="auto"/>
          <w:sz w:val="24"/>
          <w:szCs w:val="24"/>
          <w:highlight w:val="none"/>
        </w:rPr>
        <w:t>3.4 第二个信封初步评审</w:t>
      </w:r>
      <w:bookmarkEnd w:id="439"/>
      <w:bookmarkEnd w:id="440"/>
      <w:bookmarkEnd w:id="441"/>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（1）投标文件中的大写金额与小写金额不一致的，以大写金额为准；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（2）总价金额与依据单价计算出的结果不一致的，以单价金额为准修正总价，但单价金额小数点有明显错误的除外；</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（4）当各子目的合价累计不等于总价时，应以各子目合价累计数为准，修正总价。</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3.4.3 修正后的最终投标报价若超过最高投标限价（如有），评标委员会应否决其投标。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3.4.4 修正后的最终投标报价仅作为签订合同的一个依据，不参与评标价得分的计算。</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42" w:name="_Toc6845"/>
      <w:bookmarkStart w:id="443" w:name="_Toc21806"/>
      <w:bookmarkStart w:id="444" w:name="_Toc13742"/>
      <w:r>
        <w:rPr>
          <w:rFonts w:hint="default" w:ascii="Times New Roman" w:hAnsi="Times New Roman" w:eastAsia="黑体" w:cs="Times New Roman"/>
          <w:b w:val="0"/>
          <w:color w:val="auto"/>
          <w:sz w:val="24"/>
          <w:szCs w:val="24"/>
          <w:highlight w:val="none"/>
        </w:rPr>
        <w:t>3.5 第二个信封详细评审</w:t>
      </w:r>
      <w:bookmarkEnd w:id="442"/>
      <w:bookmarkEnd w:id="443"/>
      <w:bookmarkEnd w:id="444"/>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3.5.1 评标委员会按本章第2.2.4项（3）目规定的评审因素和分值对评标价计算出得分C。评标价得分分值计算保留小数点后两位，小数点后第三位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3.5.2 投标人综合得分=投标人的商务和技术得分+C。</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3.5.3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45" w:name="_Toc15852"/>
      <w:bookmarkStart w:id="446" w:name="_Toc11974"/>
      <w:bookmarkStart w:id="447" w:name="_Toc27661"/>
      <w:r>
        <w:rPr>
          <w:rFonts w:hint="default" w:ascii="Times New Roman" w:hAnsi="Times New Roman" w:eastAsia="黑体" w:cs="Times New Roman"/>
          <w:b w:val="0"/>
          <w:color w:val="auto"/>
          <w:sz w:val="24"/>
          <w:szCs w:val="24"/>
          <w:highlight w:val="none"/>
        </w:rPr>
        <w:t>3.6 投标文件相关信息的核查</w:t>
      </w:r>
      <w:bookmarkEnd w:id="445"/>
      <w:bookmarkEnd w:id="446"/>
      <w:bookmarkEnd w:id="447"/>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发布的信息不符，使得投标人的资格条件不符合招标文件规定的，评标委员会应否决其投标。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（1）有下列情形之一的，属于投标人相互串通投标：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a.投标人之间协商投标报价等投标文件的实质性内容；</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b.投标人之间约定中标人；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c.投标人之间约定部分投标人放弃投标或中标；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d.属于同一集团、协会、商会等组织成员的投标人按照该组织要求协同投标；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e.投标人之间为谋取中标或排斥特定投标人而采取的其他联合行动。</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（2）有下列情形之一的，视为投标人相互串通投标：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a.不同投标人的投标文件由同一单位或个人编制；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b.不同投标人委托同一单位或个人办理投标事宜；</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c.不同投标人的投标文件载明的项目管理成员为同一人；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d.不同投标人的投标文件异常一致或投标报价呈规律性差异；</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e.不同投标人的投标文件相互混装；</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f.不同投标人的投标保证金从同一单位或个人的账户转出。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（3）有下列情形之一的，属于招标人与投标人串通投标：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b.招标人直接或间接向投标人泄露标底、评标委员会成员等信息；</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c.招标人明示或暗示投标人压低或抬高投标报价；</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d.招标人授意投标人撤换、修改投标文件；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e.招标人明示或暗示投标人为特定投标人中标提供方便；</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f.招标人与投标人为谋求特定投标人中标而采取的其他串通行为。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（4）投标人有下列情形之一的，属于弄虚作假的行为：</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a.使用通过受让或租借等方式获取的资格、资质证书投标；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b.使用伪造、变造的许可证件；</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c.提供虚假的业绩；</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d.提供虚假的项目负责人或主要技术人员简历、劳动关系证明；</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e.提供虚假的信用状况；</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f.其他弄虚作假的行为。</w:t>
      </w:r>
    </w:p>
    <w:p>
      <w:pPr>
        <w:pStyle w:val="2"/>
        <w:pageBreakBefore w:val="0"/>
        <w:kinsoku/>
        <w:wordWrap w:val="0"/>
        <w:overflowPunct/>
        <w:bidi w:val="0"/>
        <w:spacing w:before="240" w:after="240" w:line="400" w:lineRule="atLeast"/>
        <w:rPr>
          <w:rFonts w:hint="default" w:ascii="Times New Roman" w:hAnsi="Times New Roman" w:eastAsia="黑体" w:cs="Times New Roman"/>
          <w:b w:val="0"/>
          <w:color w:val="auto"/>
          <w:sz w:val="24"/>
          <w:szCs w:val="24"/>
          <w:highlight w:val="none"/>
        </w:rPr>
      </w:pPr>
      <w:bookmarkStart w:id="448" w:name="_Toc12766"/>
      <w:bookmarkStart w:id="449" w:name="_Toc28985"/>
      <w:bookmarkStart w:id="450" w:name="_Toc30590"/>
      <w:r>
        <w:rPr>
          <w:rFonts w:hint="default" w:ascii="Times New Roman" w:hAnsi="Times New Roman" w:eastAsia="黑体" w:cs="Times New Roman"/>
          <w:b w:val="0"/>
          <w:color w:val="auto"/>
          <w:sz w:val="24"/>
          <w:szCs w:val="24"/>
          <w:highlight w:val="none"/>
        </w:rPr>
        <w:t>3.7 投标文件的澄清和说明</w:t>
      </w:r>
      <w:bookmarkEnd w:id="448"/>
      <w:bookmarkEnd w:id="449"/>
      <w:bookmarkEnd w:id="450"/>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3.7.4 凡超出招标文件规定的或给发包人带来未曾要求的利益的变化、偏差或其他因素在评标时不予考虑。</w:t>
      </w:r>
    </w:p>
    <w:p>
      <w:pPr>
        <w:pStyle w:val="2"/>
        <w:pageBreakBefore w:val="0"/>
        <w:kinsoku/>
        <w:wordWrap w:val="0"/>
        <w:overflowPunct/>
        <w:bidi w:val="0"/>
        <w:spacing w:before="240" w:after="240" w:line="400" w:lineRule="atLeast"/>
        <w:rPr>
          <w:rFonts w:hint="default" w:ascii="Times New Roman" w:hAnsi="Times New Roman" w:eastAsia="黑体" w:cs="Times New Roman"/>
          <w:b w:val="0"/>
          <w:color w:val="auto"/>
          <w:sz w:val="24"/>
          <w:szCs w:val="24"/>
          <w:highlight w:val="none"/>
        </w:rPr>
      </w:pPr>
      <w:bookmarkStart w:id="451" w:name="_Toc23691"/>
      <w:bookmarkStart w:id="452" w:name="_Toc12053"/>
      <w:bookmarkStart w:id="453" w:name="_Toc25774"/>
      <w:bookmarkStart w:id="454" w:name="_Toc501257170"/>
      <w:r>
        <w:rPr>
          <w:rFonts w:hint="default" w:ascii="Times New Roman" w:hAnsi="Times New Roman" w:eastAsia="黑体" w:cs="Times New Roman"/>
          <w:b w:val="0"/>
          <w:color w:val="auto"/>
          <w:sz w:val="24"/>
          <w:szCs w:val="24"/>
          <w:highlight w:val="none"/>
        </w:rPr>
        <w:t>3.8 不得否决投标的情形</w:t>
      </w:r>
      <w:bookmarkEnd w:id="451"/>
      <w:bookmarkEnd w:id="452"/>
      <w:bookmarkEnd w:id="453"/>
      <w:bookmarkEnd w:id="454"/>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第1.12.4项规定的原则处理。</w:t>
      </w:r>
    </w:p>
    <w:p>
      <w:pPr>
        <w:pStyle w:val="2"/>
        <w:pageBreakBefore w:val="0"/>
        <w:kinsoku/>
        <w:wordWrap w:val="0"/>
        <w:overflowPunct/>
        <w:bidi w:val="0"/>
        <w:spacing w:before="240" w:after="240" w:line="240" w:lineRule="atLeast"/>
        <w:rPr>
          <w:rFonts w:hint="default" w:ascii="Times New Roman" w:hAnsi="Times New Roman" w:eastAsia="黑体" w:cs="Times New Roman"/>
          <w:b w:val="0"/>
          <w:color w:val="auto"/>
          <w:sz w:val="24"/>
          <w:szCs w:val="24"/>
          <w:highlight w:val="none"/>
        </w:rPr>
      </w:pPr>
      <w:bookmarkStart w:id="455" w:name="_Toc23644"/>
      <w:bookmarkStart w:id="456" w:name="_Toc3846"/>
      <w:bookmarkStart w:id="457" w:name="_Toc27365"/>
      <w:r>
        <w:rPr>
          <w:rFonts w:hint="default" w:ascii="Times New Roman" w:hAnsi="Times New Roman" w:eastAsia="黑体" w:cs="Times New Roman"/>
          <w:b w:val="0"/>
          <w:color w:val="auto"/>
          <w:sz w:val="24"/>
          <w:szCs w:val="24"/>
          <w:highlight w:val="none"/>
        </w:rPr>
        <w:t>3.9 评标结果</w:t>
      </w:r>
      <w:bookmarkEnd w:id="455"/>
      <w:bookmarkEnd w:id="456"/>
      <w:bookmarkEnd w:id="457"/>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3.9.1 除第二章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前附表授权直接确定中标人外，评标委员会按照得分由高到低的顺序推荐中标候选人，并标明排序。</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3.9.2 评标委员会完成评标后，应向招标人提交评标报告。</w:t>
      </w:r>
      <w:bookmarkEnd w:id="417"/>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pStyle w:val="28"/>
        <w:pageBreakBefore w:val="0"/>
        <w:kinsoku/>
        <w:wordWrap w:val="0"/>
        <w:overflowPunct/>
        <w:bidi w:val="0"/>
        <w:spacing w:line="400" w:lineRule="atLeast"/>
        <w:ind w:firstLine="420"/>
        <w:rPr>
          <w:rFonts w:hint="default" w:ascii="Times New Roman" w:hAnsi="Times New Roman" w:cs="Times New Roman"/>
          <w:color w:val="auto"/>
          <w:sz w:val="21"/>
          <w:szCs w:val="21"/>
          <w:highlight w:val="none"/>
        </w:rPr>
      </w:pPr>
    </w:p>
    <w:p>
      <w:pPr>
        <w:pStyle w:val="2"/>
        <w:pageBreakBefore w:val="0"/>
        <w:kinsoku/>
        <w:wordWrap w:val="0"/>
        <w:overflowPunct/>
        <w:bidi w:val="0"/>
        <w:spacing w:before="480" w:after="240" w:line="400" w:lineRule="atLeast"/>
        <w:jc w:val="center"/>
        <w:rPr>
          <w:rFonts w:hint="default" w:ascii="Times New Roman" w:hAnsi="Times New Roman" w:eastAsia="黑体" w:cs="Times New Roman"/>
          <w:color w:val="auto"/>
          <w:sz w:val="29"/>
          <w:szCs w:val="29"/>
          <w:highlight w:val="none"/>
        </w:rPr>
        <w:sectPr>
          <w:headerReference r:id="rId24"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458" w:name="_Toc17460"/>
      <w:bookmarkStart w:id="459" w:name="_Toc11914"/>
      <w:bookmarkStart w:id="460" w:name="_Toc10634"/>
      <w:bookmarkStart w:id="461" w:name="_Toc234832964"/>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458"/>
    <w:bookmarkEnd w:id="459"/>
    <w:bookmarkEnd w:id="460"/>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240" w:after="240" w:line="380" w:lineRule="atLeast"/>
        <w:jc w:val="center"/>
        <w:rPr>
          <w:rFonts w:hint="default" w:ascii="Times New Roman" w:hAnsi="Times New Roman" w:eastAsia="黑体" w:cs="Times New Roman"/>
          <w:b w:val="0"/>
          <w:color w:val="auto"/>
          <w:sz w:val="56"/>
          <w:szCs w:val="56"/>
          <w:highlight w:val="none"/>
        </w:rPr>
      </w:pPr>
      <w:bookmarkStart w:id="462" w:name="_Toc26554"/>
      <w:bookmarkStart w:id="463" w:name="_Toc17274"/>
      <w:bookmarkStart w:id="464" w:name="_Toc13312"/>
      <w:r>
        <w:rPr>
          <w:rFonts w:hint="default" w:ascii="Times New Roman" w:hAnsi="Times New Roman" w:eastAsia="黑体" w:cs="Times New Roman"/>
          <w:b w:val="0"/>
          <w:color w:val="auto"/>
          <w:sz w:val="56"/>
          <w:szCs w:val="56"/>
          <w:highlight w:val="none"/>
        </w:rPr>
        <w:t>第四章  合同条款及格式</w:t>
      </w:r>
      <w:bookmarkEnd w:id="461"/>
      <w:bookmarkEnd w:id="462"/>
      <w:bookmarkEnd w:id="463"/>
      <w:bookmarkEnd w:id="464"/>
      <w:r>
        <w:rPr>
          <w:rStyle w:val="56"/>
          <w:rFonts w:hint="default" w:ascii="Times New Roman" w:hAnsi="Times New Roman" w:eastAsia="黑体" w:cs="Times New Roman"/>
          <w:b w:val="0"/>
          <w:color w:val="auto"/>
          <w:sz w:val="56"/>
          <w:szCs w:val="56"/>
          <w:highlight w:val="none"/>
        </w:rPr>
        <w:footnoteReference w:id="38"/>
      </w:r>
    </w:p>
    <w:p>
      <w:pPr>
        <w:pageBreakBefore w:val="0"/>
        <w:kinsoku/>
        <w:wordWrap w:val="0"/>
        <w:overflowPunct/>
        <w:bidi w:val="0"/>
        <w:spacing w:line="440" w:lineRule="exact"/>
        <w:outlineLvl w:val="9"/>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outlineLvl w:val="9"/>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outlineLvl w:val="9"/>
        <w:rPr>
          <w:rFonts w:hint="default" w:ascii="Times New Roman" w:hAnsi="Times New Roman" w:eastAsia="黑体" w:cs="Times New Roman"/>
          <w:color w:val="auto"/>
          <w:sz w:val="20"/>
          <w:szCs w:val="20"/>
          <w:highlight w:val="none"/>
        </w:rPr>
      </w:pPr>
    </w:p>
    <w:p>
      <w:pPr>
        <w:pageBreakBefore w:val="0"/>
        <w:kinsoku/>
        <w:wordWrap w:val="0"/>
        <w:overflowPunct/>
        <w:bidi w:val="0"/>
        <w:spacing w:before="240" w:after="240" w:line="380" w:lineRule="atLeast"/>
        <w:jc w:val="center"/>
        <w:outlineLvl w:val="9"/>
        <w:rPr>
          <w:rFonts w:hint="default" w:ascii="Times New Roman" w:hAnsi="Times New Roman" w:eastAsia="楷体_GB2312" w:cs="Times New Roman"/>
          <w:color w:val="auto"/>
          <w:sz w:val="84"/>
          <w:szCs w:val="84"/>
          <w:highlight w:val="none"/>
        </w:rPr>
      </w:pPr>
      <w:r>
        <w:rPr>
          <w:rFonts w:hint="default" w:ascii="Times New Roman" w:hAnsi="Times New Roman" w:cs="Times New Roman"/>
          <w:color w:val="auto"/>
          <w:sz w:val="20"/>
          <w:szCs w:val="20"/>
          <w:highlight w:val="none"/>
        </w:rPr>
        <w:br w:type="page"/>
      </w:r>
      <w:bookmarkStart w:id="465" w:name="_Toc234832965"/>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466" w:name="_Toc21524"/>
      <w:bookmarkStart w:id="467" w:name="_Toc5521"/>
      <w:bookmarkStart w:id="468" w:name="_Toc17326"/>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466"/>
    <w:bookmarkEnd w:id="467"/>
    <w:bookmarkEnd w:id="468"/>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jc w:val="center"/>
        <w:rPr>
          <w:rFonts w:hint="default" w:ascii="Times New Roman" w:hAnsi="Times New Roman" w:eastAsia="黑体" w:cs="Times New Roman"/>
          <w:b w:val="0"/>
          <w:color w:val="auto"/>
          <w:sz w:val="32"/>
          <w:szCs w:val="32"/>
          <w:highlight w:val="none"/>
        </w:rPr>
      </w:pPr>
      <w:bookmarkStart w:id="469" w:name="_Toc11252"/>
      <w:bookmarkStart w:id="470" w:name="_Toc17439"/>
      <w:bookmarkStart w:id="471" w:name="_Toc25219"/>
      <w:r>
        <w:rPr>
          <w:rFonts w:hint="default" w:ascii="Times New Roman" w:hAnsi="Times New Roman" w:eastAsia="黑体" w:cs="Times New Roman"/>
          <w:b w:val="0"/>
          <w:color w:val="auto"/>
          <w:sz w:val="32"/>
          <w:szCs w:val="32"/>
          <w:highlight w:val="none"/>
        </w:rPr>
        <w:t>第一节 通用合同条款</w:t>
      </w:r>
      <w:bookmarkEnd w:id="469"/>
      <w:bookmarkEnd w:id="470"/>
      <w:bookmarkEnd w:id="471"/>
    </w:p>
    <w:p>
      <w:pPr>
        <w:pageBreakBefore w:val="0"/>
        <w:kinsoku/>
        <w:wordWrap w:val="0"/>
        <w:overflowPunct/>
        <w:bidi w:val="0"/>
        <w:spacing w:afterLines="50" w:line="44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32"/>
          <w:szCs w:val="32"/>
          <w:highlight w:val="none"/>
        </w:rPr>
        <w:t>通用合同条款</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472" w:name="_Toc482188546"/>
      <w:bookmarkStart w:id="473" w:name="_Toc3005"/>
      <w:bookmarkStart w:id="474" w:name="_Toc492300429"/>
      <w:bookmarkStart w:id="475" w:name="_Toc26391"/>
      <w:bookmarkStart w:id="476" w:name="_Toc1710"/>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一般约定</w:t>
      </w:r>
      <w:bookmarkEnd w:id="472"/>
      <w:bookmarkEnd w:id="473"/>
      <w:bookmarkEnd w:id="474"/>
      <w:bookmarkEnd w:id="475"/>
      <w:bookmarkEnd w:id="476"/>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77" w:name="_Toc482188547"/>
      <w:bookmarkStart w:id="478" w:name="_Toc492300430"/>
      <w:r>
        <w:rPr>
          <w:rFonts w:hint="default" w:ascii="Times New Roman" w:hAnsi="Times New Roman" w:cs="Times New Roman"/>
          <w:b/>
          <w:bCs/>
          <w:color w:val="auto"/>
          <w:sz w:val="24"/>
          <w:highlight w:val="none"/>
        </w:rPr>
        <w:t>1.1 词语定义</w:t>
      </w:r>
      <w:bookmarkEnd w:id="477"/>
      <w:bookmarkEnd w:id="47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通用合同条款、专用合同条款中的下列词语应具有本款所赋予的含义。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 合同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1.1.1.1 合同文件（或称合同）：指合同协议书及各种合同附件、中标通知书、投标函、专用合同条款、通用合同条款、发包人要求、勘察设计费用清单，以及其他构成合同组成部分的文件。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1.1.1.2 合同协议书：指发包人和设计人共同签署的合同协议书。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1.1.1.3 中标通知书：指发包人通知设计人中标的函件。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1.1.1.4 投标函：指由设计人填写并签署的，名为</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投标函</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的函件。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1.1.1.5 发包人要求：指合同文件中名为</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发包人要求</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的文件。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1.1.1.6 技术建议书：指设计人投标文件中的技术建议书。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1.1.1.7 勘察设计费用清单：指设计人投标文件中的勘察设计费用清单。</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1.1.1.8 其他合同文件：指经合同双方当事人确认构成合同文件的其他文件。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 合同当事人和人员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1.1.2.1 合同当事人：指发包人和（或）设计人。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1.1.2.2 发包人：指与设计人签订合同协议书的当事人，以及取得该当事人资格的合法继承人。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1.1.2.3 设计人：指与发包人签订合同协议书的当事人，以及取得该当事人资格的合法继承人。若设计人为联合体，则设计人包括联合体所有成员单位。</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1.1.2.4 发包人代表：指由发包人任命，并在授权范围和期限内代表发包人行使权利和履行义务的全权负责人。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1.1.2.5 项目负责人：指由设计人任命，代表设计人行使权利和履行义务的全权负责人。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1.1.2.6 分项负责人：指由设计人任命，并经过发包人认可的各专业负责人。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1.1.2.7 分包人：指从设计人处分包合同中某一部分工作，并与其签订分包合同的单位。</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1.1.2.8 咨询单位：指受发包人委托对本工程勘察设计文件进行审查或提供咨询意见的咨询机构。</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 工程和勘察设计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1.1.3.1 工程：指专用合同条款中指明进行勘察设计招标的工程。</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1.1.3.2 勘察设计服务：指设计人按照合同约定履行的服务，包括制订勘察设计工作大纲，进行测绘、勘探、取样和试验等，查明、分析和评估地质特征和工程条件，编制勘察报告；编制设计文件和设计概算、预算，提供技术交底、招标与施工配合，参加交工验收、参加竣工验收或发包人委托的其他服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1.1.3.3 勘察设备：指为完成合同约定的各项工作所需的设备、器具和其他物品，不包括临时工程和材料。</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1.1.3.4 勘探场地：指用于工程勘探的场所，以及在合同中指定作为勘探场地组成的其他场所。</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1.1.3.5 勘察设计资料：指发包人按合同约定向设计人提供的、用于完成勘察设计服务范围与内容所需的资料。</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1.1.3.6 勘察设计文件：指设计人按合同约定向发包人提交的工程勘察报告、服务大纲、勘察方案、外业指导书、进度计划，设计说明、图纸、图板、模型、计算书、软件和其他文件等，包括阶段性文件和最终文件，且应采用合同中双方约定的格式和载体。</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 日期</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1.1.4.1 开始勘察设计通知：指发包人按第6.1款通知设计人开始勘察设计的函件。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1.1.4.2 开始勘察设计日期：指发包人按第6.1款发出的开始勘察设计通知中写明的开始勘察设计日期。</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1.1.4.3 勘察设计服务期限：指设计人在投标函中承诺的完成合同勘察设计服务所需的期限，包括按第6.2款、第6.4款、第6.5款和第6.7款约定所作的调整。   </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1.1.4.4 完成勘察设计日期：指第1.1.4.3目约定勘察设计服务期限届满时的日期。</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1.1.4.5 基准日：指投标截止时间前28天的日期。</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1.1.4.6 天：除特别指明外，指日历天。合同中按天计算时间的，开始当天不计入，从次日开始计算。期限最后一天的截止时间为当天24:00。</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1.1.5 合同价格和费用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1.1.5.1 签约合同价：指签订合同时合同协议书中写明的、包括暂列金额在内的勘察设计费用总金额。</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1.1.5.2 合同价格：指设计人按合同约定完成了全部勘察设计工作后，发包人应付给设计人的金额，包括在履行合同过程中按合同约定进行的变更和调整。</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1.1.5.3 费用：指为履行合同所发生的或将要发生的所有合理开支，包括管理费和应分摊的其他费用，但不包括利润。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1.1.5.4 暂列金额：指暂时未定的，包括在合同中，并在报价清单汇总表中以此名称标明的金额，用于进行本工程可能发生的额外勘察设计工作或作为不可预见费用，按照合同条款第12.5款的规定使用。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1.1.6 其他</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1.1.6.1 书面形式：指合同文件、信件和数据电文（包括电报、电传、传真、电子数据交换和电子邮件）等可以有形地表现所载内容的形式。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1.1.6.2 勘察设计质量事故：指在缺陷责任期结束前，由于勘察设计原因使工程不满足技术标准及设计要求，并造成结构损毁或一定直接经济损失的事故。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直接经济损失或工程结构损毁情况（自然灾害所致除外），勘察设计质量事故分为特别重大质量事故、重大质量事故、较大质量事故和一般质量事故四个等级，上述质量事故的界定按交通运输部《公路水运建设工程质量事故等级划分和报告制度》规定执行。</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79" w:name="_Toc492300431"/>
      <w:bookmarkStart w:id="480" w:name="_Toc482188548"/>
      <w:r>
        <w:rPr>
          <w:rFonts w:hint="default" w:ascii="Times New Roman" w:hAnsi="Times New Roman" w:cs="Times New Roman"/>
          <w:b/>
          <w:bCs/>
          <w:color w:val="auto"/>
          <w:sz w:val="24"/>
          <w:highlight w:val="none"/>
        </w:rPr>
        <w:t>1.2 语言文字</w:t>
      </w:r>
      <w:bookmarkEnd w:id="479"/>
      <w:bookmarkEnd w:id="48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合同使用的语言文字为中文。专用术语使用外文的，应附有中文注释。</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81" w:name="_Toc482188549"/>
      <w:bookmarkStart w:id="482" w:name="_Toc492300432"/>
      <w:r>
        <w:rPr>
          <w:rFonts w:hint="default" w:ascii="Times New Roman" w:hAnsi="Times New Roman" w:cs="Times New Roman"/>
          <w:b/>
          <w:bCs/>
          <w:color w:val="auto"/>
          <w:sz w:val="24"/>
          <w:highlight w:val="none"/>
        </w:rPr>
        <w:t>1.3 适用法律</w:t>
      </w:r>
      <w:bookmarkEnd w:id="481"/>
      <w:bookmarkEnd w:id="48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适用于合同的法律包括中华人民共和国法律、行政法规、部门规章，以及工程所在地的地方法规、自治条例、单行条例和地方政府规章。</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本合同适用的其他规范性文件，可在专用合同条款中约定。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83" w:name="_Toc482188550"/>
      <w:bookmarkStart w:id="484" w:name="_Toc492300433"/>
      <w:r>
        <w:rPr>
          <w:rFonts w:hint="default" w:ascii="Times New Roman" w:hAnsi="Times New Roman" w:cs="Times New Roman"/>
          <w:b/>
          <w:bCs/>
          <w:color w:val="auto"/>
          <w:sz w:val="24"/>
          <w:highlight w:val="none"/>
        </w:rPr>
        <w:t>1.4 合同文件的优先顺序</w:t>
      </w:r>
      <w:bookmarkEnd w:id="483"/>
      <w:bookmarkEnd w:id="48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组成合同的各项文件应互相解释，互为说明。除专用合同条款另有约定外，解释合同文件的优先顺序如下：</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（1）合同协议书及各种合同附件（含评标期间和合同谈判过程中的澄清文件和补充资料；设计人提交的经发包人审核通过的勘察设计详细工作大纲及进度计划、专题研究详细工作大纲等）；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（2）中标通知书；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（3）投标函；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（4）专用合同条款；</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（5）通用合同条款；</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（6）发包人要求；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（7）勘察设计费用清单；</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（8）设计人有关人员投入的承诺；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（9）其他合同文件。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合同当事人针对各类合同文件所作出的补充和修改亦属于合同文件的组成部分，属于同一类内容的文件，应以最新签署的为准。</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85" w:name="_Toc492300434"/>
      <w:bookmarkStart w:id="486" w:name="_Toc482188551"/>
      <w:r>
        <w:rPr>
          <w:rFonts w:hint="default" w:ascii="Times New Roman" w:hAnsi="Times New Roman" w:cs="Times New Roman"/>
          <w:b/>
          <w:bCs/>
          <w:color w:val="auto"/>
          <w:sz w:val="24"/>
          <w:highlight w:val="none"/>
        </w:rPr>
        <w:t>1.5 合同协议书</w:t>
      </w:r>
      <w:bookmarkEnd w:id="485"/>
      <w:bookmarkEnd w:id="48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设计人按中标通知书规定的时间与发包人签订合同协议书。除法律另有规定或合同另有约定外，发包人和设计人的法定代表人或其委托代理人在合同协议书上签字并盖单位章后，合同生效。</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87" w:name="_Toc492300435"/>
      <w:bookmarkStart w:id="488" w:name="_Toc482188552"/>
      <w:r>
        <w:rPr>
          <w:rFonts w:hint="default" w:ascii="Times New Roman" w:hAnsi="Times New Roman" w:cs="Times New Roman"/>
          <w:b/>
          <w:bCs/>
          <w:color w:val="auto"/>
          <w:sz w:val="24"/>
          <w:highlight w:val="none"/>
        </w:rPr>
        <w:t>1.6 文件的提供和照管</w:t>
      </w:r>
      <w:bookmarkEnd w:id="487"/>
      <w:bookmarkEnd w:id="48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1.6.1 勘察设计文件的提供</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除专用合同条款另有约定外，设计人应在合理的期限内按照合同约定的数量向发包人提供勘察设计文件。合同约定勘察设计文件应经发包人批复的，发包人应在合同约定的期限内批复或提出修改意见。</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1.6.2 发包人提供的文件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按专用合同条款约定由发包人提供的文件，包括基础资料、勘察设计任务书等，发包人应按约定的数量和期限交给设计人。由于发包人未按时提供文件造成勘察设计服务期限延误的，按第6.2款约定执行。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1.6.3 文件错误的通知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任何一方当事人发现文件中存在的明显错误或疏忽，均应及时通知对方当事人，并应立即采取适当的措施防止损失扩大。</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89" w:name="_Toc492300436"/>
      <w:bookmarkStart w:id="490" w:name="_Toc482188553"/>
      <w:r>
        <w:rPr>
          <w:rFonts w:hint="default" w:ascii="Times New Roman" w:hAnsi="Times New Roman" w:cs="Times New Roman"/>
          <w:b/>
          <w:bCs/>
          <w:color w:val="auto"/>
          <w:sz w:val="24"/>
          <w:highlight w:val="none"/>
        </w:rPr>
        <w:t>1.7 联络</w:t>
      </w:r>
      <w:bookmarkEnd w:id="489"/>
      <w:bookmarkEnd w:id="49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1.7.1 与合同有关的通知、批准、证明、证书、指示、要求、请求、同意、意见、确定和决定等，均应采用书面形式。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1.7.2 上述通知、批准、证明、证书、指示、要求、请求、同意、意见、确定和决定等来往函件，均应在合同约定的期限内送达指定的地点和指定的接收人，并办理签收手续。</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91" w:name="_Toc482188554"/>
      <w:bookmarkStart w:id="492" w:name="_Toc492300437"/>
      <w:r>
        <w:rPr>
          <w:rFonts w:hint="default" w:ascii="Times New Roman" w:hAnsi="Times New Roman" w:cs="Times New Roman"/>
          <w:b/>
          <w:bCs/>
          <w:color w:val="auto"/>
          <w:sz w:val="24"/>
          <w:highlight w:val="none"/>
        </w:rPr>
        <w:t>1.8 转让</w:t>
      </w:r>
      <w:bookmarkEnd w:id="491"/>
      <w:bookmarkEnd w:id="49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除专用合同条款另有约定外，未经对方当事人同意，一方当事人不得将合同权利全部或部分转让给第三人，也不得全部或部分转移合同义务。</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93" w:name="_Toc482188555"/>
      <w:bookmarkStart w:id="494" w:name="_Toc492300438"/>
      <w:r>
        <w:rPr>
          <w:rFonts w:hint="default" w:ascii="Times New Roman" w:hAnsi="Times New Roman" w:cs="Times New Roman"/>
          <w:b/>
          <w:bCs/>
          <w:color w:val="auto"/>
          <w:sz w:val="24"/>
          <w:highlight w:val="none"/>
        </w:rPr>
        <w:t>1.9 严禁贿赂</w:t>
      </w:r>
      <w:bookmarkEnd w:id="493"/>
      <w:bookmarkEnd w:id="49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合同双方当事人不得以贿赂或变相贿赂的方式，谋取不当利益或损害对方权益。因贿赂造成对方当事人损失的，行为人应赔偿损失，并承担相应的法律责任。</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95" w:name="_Toc482188556"/>
      <w:bookmarkStart w:id="496" w:name="_Toc492300439"/>
      <w:r>
        <w:rPr>
          <w:rFonts w:hint="default" w:ascii="Times New Roman" w:hAnsi="Times New Roman" w:cs="Times New Roman"/>
          <w:b/>
          <w:bCs/>
          <w:color w:val="auto"/>
          <w:sz w:val="24"/>
          <w:highlight w:val="none"/>
        </w:rPr>
        <w:t>1.10 知识产权</w:t>
      </w:r>
      <w:bookmarkEnd w:id="495"/>
      <w:bookmarkEnd w:id="49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1.10.1除专用合同条款另有约定外，</w:t>
      </w:r>
      <w:r>
        <w:rPr>
          <w:rFonts w:hint="default" w:ascii="Times New Roman" w:hAnsi="Times New Roman" w:cs="Times New Roman"/>
          <w:color w:val="auto"/>
          <w:sz w:val="24"/>
          <w:highlight w:val="none"/>
        </w:rPr>
        <w:t>设计人因受发包人委托进行的本项目勘察设计及专题研究而产生的成果均为双方所共同享有，其中任何一方向第三方转让时须经另一方同意，但若发包人因推进本项目的需要向第三者透露研究成果，则无须经过设计人的同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1.10.2 设计人在从事勘察设计活动时，不得侵犯他人的知识产权。因侵犯专利权或其他知识产权所引起的责任，由设计人自行承担。因发包人提供的勘察设计资料导致侵权的，由发包人承担责任。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1.10.3 设计人在投标文件中采用专利技术、专有技术的，相应的使用费视为已包含在投标报价之中。</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97" w:name="_Toc492300440"/>
      <w:bookmarkStart w:id="498" w:name="_Toc482188557"/>
      <w:r>
        <w:rPr>
          <w:rFonts w:hint="default" w:ascii="Times New Roman" w:hAnsi="Times New Roman" w:cs="Times New Roman"/>
          <w:b/>
          <w:bCs/>
          <w:color w:val="auto"/>
          <w:sz w:val="24"/>
          <w:highlight w:val="none"/>
        </w:rPr>
        <w:t>1.11 文件及信息的保密</w:t>
      </w:r>
      <w:bookmarkEnd w:id="497"/>
      <w:bookmarkEnd w:id="49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未经对方同意，任何一方当事人不得将有关文件、技术秘密、需要保密的资料和信息泄露给他人或公开发表与引用。</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499" w:name="_Toc482188558"/>
      <w:bookmarkStart w:id="500" w:name="_Toc492300441"/>
      <w:r>
        <w:rPr>
          <w:rFonts w:hint="default" w:ascii="Times New Roman" w:hAnsi="Times New Roman" w:cs="Times New Roman"/>
          <w:b/>
          <w:bCs/>
          <w:color w:val="auto"/>
          <w:sz w:val="24"/>
          <w:highlight w:val="none"/>
        </w:rPr>
        <w:t>1.12 发包人要求</w:t>
      </w:r>
      <w:bookmarkEnd w:id="499"/>
      <w:bookmarkEnd w:id="50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1.12.1 设计人应认真阅读、复核发包人要求，发现错误的，应及时书面通知发包人。无论是否存在错误，发包人均有权修改发包人要求，并在修改后3天内通知设计人。除专用合同</w:t>
      </w:r>
      <w:bookmarkStart w:id="501" w:name="_Toc247514048"/>
      <w:bookmarkStart w:id="502" w:name="_Toc300835045"/>
      <w:bookmarkStart w:id="503" w:name="_Toc247527649"/>
      <w:bookmarkStart w:id="504" w:name="_Toc265955390"/>
      <w:r>
        <w:rPr>
          <w:rFonts w:hint="default" w:ascii="Times New Roman" w:hAnsi="Times New Roman" w:cs="Times New Roman"/>
          <w:bCs/>
          <w:color w:val="auto"/>
          <w:sz w:val="24"/>
          <w:highlight w:val="none"/>
        </w:rPr>
        <w:t>条款另有约定外，由此</w:t>
      </w:r>
      <w:bookmarkEnd w:id="501"/>
      <w:bookmarkEnd w:id="502"/>
      <w:bookmarkEnd w:id="503"/>
      <w:bookmarkEnd w:id="504"/>
      <w:r>
        <w:rPr>
          <w:rFonts w:hint="default" w:ascii="Times New Roman" w:hAnsi="Times New Roman" w:cs="Times New Roman"/>
          <w:bCs/>
          <w:color w:val="auto"/>
          <w:sz w:val="24"/>
          <w:highlight w:val="none"/>
        </w:rPr>
        <w:t>导致设计人费用增加和（或）周期延误的，发包人应当相应地增加费用和（或）延长周期。</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1.12.2 如果发包人要求违反法律规定，设计人应在发现后及时书面通知发包人，要求其改正。发包人收到通知书后不予改正或不予答复的，设计人有权拒绝履行合同义务，直至解除合同；由此引起的设计人的全部损失由发包人承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1.12.3 发包人要求采用国外规范和标准进行勘察设计时，应由发包人负责提供该规范和标准的外国文本和中文译本，提供的时间、份数和其他要求在专用合同条款中约定。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1.13 避免利益冲突</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除专用合同条款另有约定外，设计人及其雇员不应接受本合同规定以外的与本工程有关的利益和报酬；设计人不得参与与发包人的利益相冲突的任何活动。</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505" w:name="_Toc25611"/>
      <w:bookmarkStart w:id="506" w:name="_Toc15101"/>
      <w:bookmarkStart w:id="507" w:name="_Toc482188559"/>
      <w:bookmarkStart w:id="508" w:name="_Toc492300442"/>
      <w:bookmarkStart w:id="509" w:name="_Toc14617"/>
      <w:r>
        <w:rPr>
          <w:rFonts w:hint="default" w:ascii="Times New Roman" w:hAnsi="Times New Roman" w:cs="Times New Roman"/>
          <w:color w:val="auto"/>
          <w:sz w:val="28"/>
          <w:szCs w:val="28"/>
          <w:highlight w:val="none"/>
        </w:rPr>
        <w:t xml:space="preserve">2. </w:t>
      </w:r>
      <w:r>
        <w:rPr>
          <w:rFonts w:hint="default" w:ascii="Times New Roman" w:hAnsi="Times New Roman" w:eastAsia="黑体" w:cs="Times New Roman"/>
          <w:color w:val="auto"/>
          <w:sz w:val="28"/>
          <w:szCs w:val="28"/>
          <w:highlight w:val="none"/>
        </w:rPr>
        <w:t>发包人义务</w:t>
      </w:r>
      <w:bookmarkEnd w:id="505"/>
      <w:bookmarkEnd w:id="506"/>
      <w:bookmarkEnd w:id="507"/>
      <w:bookmarkEnd w:id="508"/>
      <w:bookmarkEnd w:id="50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10" w:name="_Toc482188560"/>
      <w:bookmarkStart w:id="511" w:name="_Toc492300443"/>
      <w:r>
        <w:rPr>
          <w:rFonts w:hint="default" w:ascii="Times New Roman" w:hAnsi="Times New Roman" w:cs="Times New Roman"/>
          <w:b/>
          <w:bCs/>
          <w:color w:val="auto"/>
          <w:sz w:val="24"/>
          <w:highlight w:val="none"/>
        </w:rPr>
        <w:t>2.1 遵守法律</w:t>
      </w:r>
      <w:bookmarkEnd w:id="510"/>
      <w:bookmarkEnd w:id="51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发包人在履行合同过程中应遵守法律，并保证设计人免于承担因发包人违反法律而引起的</w:t>
      </w:r>
      <w:bookmarkStart w:id="512" w:name="_Toc300835048"/>
      <w:bookmarkStart w:id="513" w:name="_Toc184635099"/>
      <w:bookmarkStart w:id="514" w:name="_Toc385942918"/>
      <w:bookmarkStart w:id="515" w:name="_Toc385592087"/>
      <w:bookmarkStart w:id="516" w:name="_Toc370281722"/>
      <w:bookmarkStart w:id="517" w:name="_Toc247527650"/>
      <w:bookmarkStart w:id="518" w:name="_Toc247514049"/>
      <w:r>
        <w:rPr>
          <w:rFonts w:hint="default" w:ascii="Times New Roman" w:hAnsi="Times New Roman" w:cs="Times New Roman"/>
          <w:bCs/>
          <w:color w:val="auto"/>
          <w:sz w:val="24"/>
          <w:highlight w:val="none"/>
        </w:rPr>
        <w:t>任何责任。</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19" w:name="_Toc492300444"/>
      <w:bookmarkStart w:id="520" w:name="_Toc482188561"/>
      <w:r>
        <w:rPr>
          <w:rFonts w:hint="default" w:ascii="Times New Roman" w:hAnsi="Times New Roman" w:cs="Times New Roman"/>
          <w:b/>
          <w:bCs/>
          <w:color w:val="auto"/>
          <w:sz w:val="24"/>
          <w:highlight w:val="none"/>
        </w:rPr>
        <w:t>2</w:t>
      </w:r>
      <w:bookmarkEnd w:id="512"/>
      <w:bookmarkEnd w:id="513"/>
      <w:bookmarkEnd w:id="514"/>
      <w:bookmarkEnd w:id="515"/>
      <w:bookmarkEnd w:id="516"/>
      <w:bookmarkEnd w:id="517"/>
      <w:bookmarkEnd w:id="518"/>
      <w:r>
        <w:rPr>
          <w:rFonts w:hint="default" w:ascii="Times New Roman" w:hAnsi="Times New Roman" w:cs="Times New Roman"/>
          <w:b/>
          <w:bCs/>
          <w:color w:val="auto"/>
          <w:sz w:val="24"/>
          <w:highlight w:val="none"/>
        </w:rPr>
        <w:t>.2</w:t>
      </w:r>
      <w:bookmarkStart w:id="521" w:name="_Toc247527651"/>
      <w:bookmarkStart w:id="522" w:name="_Toc247514050"/>
      <w:bookmarkStart w:id="523" w:name="_Toc300835049"/>
      <w:bookmarkStart w:id="524" w:name="_Toc247514053"/>
      <w:bookmarkStart w:id="525" w:name="_Toc300835052"/>
      <w:bookmarkStart w:id="526" w:name="_Toc247527654"/>
      <w:bookmarkStart w:id="527" w:name="_Toc385942919"/>
      <w:bookmarkStart w:id="528" w:name="_Toc370281723"/>
      <w:r>
        <w:rPr>
          <w:rFonts w:hint="default" w:ascii="Times New Roman" w:hAnsi="Times New Roman" w:cs="Times New Roman"/>
          <w:b/>
          <w:bCs/>
          <w:color w:val="auto"/>
          <w:sz w:val="24"/>
          <w:highlight w:val="none"/>
        </w:rPr>
        <w:t xml:space="preserve"> 发出开始勘察设计通</w:t>
      </w:r>
      <w:bookmarkEnd w:id="521"/>
      <w:bookmarkEnd w:id="522"/>
      <w:bookmarkEnd w:id="523"/>
      <w:r>
        <w:rPr>
          <w:rFonts w:hint="default" w:ascii="Times New Roman" w:hAnsi="Times New Roman" w:cs="Times New Roman"/>
          <w:b/>
          <w:bCs/>
          <w:color w:val="auto"/>
          <w:sz w:val="24"/>
          <w:highlight w:val="none"/>
        </w:rPr>
        <w:t>知</w:t>
      </w:r>
      <w:bookmarkEnd w:id="519"/>
      <w:bookmarkEnd w:id="52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发包人应按第6.1款的约定向设计人发出开始勘察设计通知。</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29" w:name="_Toc482188562"/>
      <w:bookmarkStart w:id="530" w:name="_Toc492300445"/>
      <w:r>
        <w:rPr>
          <w:rFonts w:hint="default" w:ascii="Times New Roman" w:hAnsi="Times New Roman" w:cs="Times New Roman"/>
          <w:b/>
          <w:bCs/>
          <w:color w:val="auto"/>
          <w:sz w:val="24"/>
          <w:highlight w:val="none"/>
        </w:rPr>
        <w:t>2.</w:t>
      </w:r>
      <w:bookmarkStart w:id="531" w:name="_Toc300835051"/>
      <w:bookmarkStart w:id="532" w:name="_Toc247527653"/>
      <w:bookmarkStart w:id="533" w:name="_Toc247514052"/>
      <w:r>
        <w:rPr>
          <w:rFonts w:hint="default" w:ascii="Times New Roman" w:hAnsi="Times New Roman" w:cs="Times New Roman"/>
          <w:b/>
          <w:bCs/>
          <w:color w:val="auto"/>
          <w:sz w:val="24"/>
          <w:highlight w:val="none"/>
        </w:rPr>
        <w:t>3 办理证件</w:t>
      </w:r>
      <w:bookmarkEnd w:id="531"/>
      <w:bookmarkEnd w:id="532"/>
      <w:bookmarkEnd w:id="533"/>
      <w:r>
        <w:rPr>
          <w:rFonts w:hint="default" w:ascii="Times New Roman" w:hAnsi="Times New Roman" w:cs="Times New Roman"/>
          <w:b/>
          <w:bCs/>
          <w:color w:val="auto"/>
          <w:sz w:val="24"/>
          <w:highlight w:val="none"/>
        </w:rPr>
        <w:t>和批件</w:t>
      </w:r>
      <w:bookmarkEnd w:id="529"/>
      <w:bookmarkEnd w:id="53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法律规定和（或）合同约定由发包人负责办理的工程建设项目必须履行的各类审批、核准或备案手续，发包人应按时办理，设计人应给予必要的协助。</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法律规定和（或）合同约定由设计人负责办理的勘察设计所需的证件和批件，发包人应给予必要的协助。</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34" w:name="_Toc482188563"/>
      <w:bookmarkStart w:id="535" w:name="_Toc492300446"/>
      <w:r>
        <w:rPr>
          <w:rFonts w:hint="default" w:ascii="Times New Roman" w:hAnsi="Times New Roman" w:cs="Times New Roman"/>
          <w:b/>
          <w:bCs/>
          <w:color w:val="auto"/>
          <w:sz w:val="24"/>
          <w:highlight w:val="none"/>
        </w:rPr>
        <w:t>2.4 支付合同价款</w:t>
      </w:r>
      <w:bookmarkEnd w:id="534"/>
      <w:bookmarkEnd w:id="53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发包人应按合同约定向设计人及时支付合同价款。</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36" w:name="_Toc474833987"/>
      <w:bookmarkStart w:id="537" w:name="_Toc492300447"/>
      <w:bookmarkStart w:id="538" w:name="_Toc482188564"/>
      <w:r>
        <w:rPr>
          <w:rFonts w:hint="default" w:ascii="Times New Roman" w:hAnsi="Times New Roman" w:cs="Times New Roman"/>
          <w:b/>
          <w:bCs/>
          <w:color w:val="auto"/>
          <w:sz w:val="24"/>
          <w:highlight w:val="none"/>
        </w:rPr>
        <w:t>2.5 提供勘察设计资料</w:t>
      </w:r>
      <w:bookmarkEnd w:id="536"/>
      <w:bookmarkEnd w:id="537"/>
      <w:bookmarkEnd w:id="53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发包人应按第1.6.2项的约定向设计人提供勘察设计资料。</w:t>
      </w:r>
    </w:p>
    <w:bookmarkEnd w:id="524"/>
    <w:bookmarkEnd w:id="525"/>
    <w:bookmarkEnd w:id="526"/>
    <w:bookmarkEnd w:id="527"/>
    <w:bookmarkEnd w:id="528"/>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39" w:name="_Toc492300448"/>
      <w:bookmarkStart w:id="540" w:name="_Toc482188565"/>
      <w:r>
        <w:rPr>
          <w:rFonts w:hint="default" w:ascii="Times New Roman" w:hAnsi="Times New Roman" w:cs="Times New Roman"/>
          <w:b/>
          <w:bCs/>
          <w:color w:val="auto"/>
          <w:sz w:val="24"/>
          <w:highlight w:val="none"/>
        </w:rPr>
        <w:t>2.6 其他义务</w:t>
      </w:r>
      <w:bookmarkEnd w:id="539"/>
      <w:bookmarkEnd w:id="54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2.6.1 发包人应严格履行基本建设程序，根据本工程的具体情况和技术要求，确定合理的勘察设计工作量及合理的勘察设计服务期限。</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2.6.2 发包人应组织专家或委托咨询单位对勘察设计文件和为了满足勘察设计需要而进行的各种研究试验成果进行审查，并负责设计文件的报审工作，向设计人提供上级主管部门对设计文件进行审查后的批复意见。对设计人在贯彻落实审查意见时提出的有关问题应及时认真予以解答，但并不免除设计人根据本合同规定应负的责任。</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 xml:space="preserve">2.6.3 </w:t>
      </w:r>
      <w:r>
        <w:rPr>
          <w:rFonts w:hint="default" w:ascii="Times New Roman" w:hAnsi="Times New Roman" w:cs="Times New Roman"/>
          <w:color w:val="auto"/>
          <w:sz w:val="24"/>
          <w:highlight w:val="none"/>
        </w:rPr>
        <w:t>发包人不应向设计人提出不符合工程安全生产法律、法规和工程建设强制性标准规定的要求。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2.6.4 由于执行发包人的书面指令而造成的勘察设计质量事故应由发包人承担责任。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2.6.5 发包人应履行专用合同条款约定的其他义务</w:t>
      </w:r>
      <w:bookmarkStart w:id="541" w:name="_Toc385942924"/>
      <w:bookmarkStart w:id="542" w:name="_Toc370281728"/>
      <w:r>
        <w:rPr>
          <w:rFonts w:hint="default" w:ascii="Times New Roman" w:hAnsi="Times New Roman" w:cs="Times New Roman"/>
          <w:bCs/>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543" w:name="_Toc26829"/>
      <w:bookmarkStart w:id="544" w:name="_Toc19141"/>
      <w:bookmarkStart w:id="545" w:name="_Toc482188566"/>
      <w:bookmarkStart w:id="546" w:name="_Toc492300449"/>
      <w:bookmarkStart w:id="547" w:name="_Toc5573"/>
      <w:r>
        <w:rPr>
          <w:rFonts w:hint="default" w:ascii="Times New Roman" w:hAnsi="Times New Roman" w:cs="Times New Roman"/>
          <w:color w:val="auto"/>
          <w:sz w:val="28"/>
          <w:szCs w:val="28"/>
          <w:highlight w:val="none"/>
        </w:rPr>
        <w:t xml:space="preserve">3. </w:t>
      </w:r>
      <w:r>
        <w:rPr>
          <w:rFonts w:hint="default" w:ascii="Times New Roman" w:hAnsi="Times New Roman" w:eastAsia="黑体" w:cs="Times New Roman"/>
          <w:color w:val="auto"/>
          <w:sz w:val="28"/>
          <w:szCs w:val="28"/>
          <w:highlight w:val="none"/>
        </w:rPr>
        <w:t>发包人管</w:t>
      </w:r>
      <w:bookmarkEnd w:id="541"/>
      <w:bookmarkEnd w:id="542"/>
      <w:r>
        <w:rPr>
          <w:rFonts w:hint="default" w:ascii="Times New Roman" w:hAnsi="Times New Roman" w:eastAsia="黑体" w:cs="Times New Roman"/>
          <w:color w:val="auto"/>
          <w:sz w:val="28"/>
          <w:szCs w:val="28"/>
          <w:highlight w:val="none"/>
        </w:rPr>
        <w:t>理</w:t>
      </w:r>
      <w:bookmarkEnd w:id="543"/>
      <w:bookmarkEnd w:id="544"/>
      <w:bookmarkEnd w:id="545"/>
      <w:bookmarkEnd w:id="546"/>
      <w:bookmarkEnd w:id="547"/>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48" w:name="_Toc492300450"/>
      <w:bookmarkStart w:id="549" w:name="_Toc482188567"/>
      <w:r>
        <w:rPr>
          <w:rFonts w:hint="default" w:ascii="Times New Roman" w:hAnsi="Times New Roman" w:cs="Times New Roman"/>
          <w:b/>
          <w:bCs/>
          <w:color w:val="auto"/>
          <w:sz w:val="24"/>
          <w:highlight w:val="none"/>
        </w:rPr>
        <w:t>3.1 发包人代表</w:t>
      </w:r>
      <w:bookmarkEnd w:id="548"/>
      <w:bookmarkEnd w:id="54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3.1.1除专用合同条款</w:t>
      </w:r>
      <w:bookmarkStart w:id="550" w:name="_Toc370281729"/>
      <w:bookmarkStart w:id="551" w:name="_Toc300835055"/>
      <w:bookmarkStart w:id="552" w:name="_Toc247527658"/>
      <w:bookmarkStart w:id="553" w:name="_Toc247514057"/>
      <w:bookmarkStart w:id="554" w:name="_Toc385942925"/>
      <w:r>
        <w:rPr>
          <w:rFonts w:hint="default" w:ascii="Times New Roman" w:hAnsi="Times New Roman" w:cs="Times New Roman"/>
          <w:bCs/>
          <w:color w:val="auto"/>
          <w:sz w:val="24"/>
          <w:highlight w:val="none"/>
        </w:rPr>
        <w:t>另有约定外，发包</w:t>
      </w:r>
      <w:bookmarkEnd w:id="550"/>
      <w:bookmarkEnd w:id="551"/>
      <w:bookmarkEnd w:id="552"/>
      <w:bookmarkEnd w:id="553"/>
      <w:bookmarkEnd w:id="554"/>
      <w:r>
        <w:rPr>
          <w:rFonts w:hint="default" w:ascii="Times New Roman" w:hAnsi="Times New Roman" w:cs="Times New Roman"/>
          <w:bCs/>
          <w:color w:val="auto"/>
          <w:sz w:val="24"/>
          <w:highlight w:val="none"/>
        </w:rPr>
        <w:t>人应在合同签订后14天内，将发包人代</w:t>
      </w:r>
      <w:bookmarkStart w:id="555" w:name="_Toc247514058"/>
      <w:bookmarkStart w:id="556" w:name="_Toc184635100"/>
      <w:bookmarkStart w:id="557" w:name="_Toc247527659"/>
      <w:bookmarkStart w:id="558" w:name="_Toc300835056"/>
      <w:r>
        <w:rPr>
          <w:rFonts w:hint="default" w:ascii="Times New Roman" w:hAnsi="Times New Roman" w:cs="Times New Roman"/>
          <w:bCs/>
          <w:color w:val="auto"/>
          <w:sz w:val="24"/>
          <w:highlight w:val="none"/>
        </w:rPr>
        <w:t>表的姓名、职</w:t>
      </w:r>
      <w:bookmarkEnd w:id="555"/>
      <w:bookmarkEnd w:id="556"/>
      <w:bookmarkEnd w:id="557"/>
      <w:bookmarkEnd w:id="558"/>
      <w:r>
        <w:rPr>
          <w:rFonts w:hint="default" w:ascii="Times New Roman" w:hAnsi="Times New Roman" w:cs="Times New Roman"/>
          <w:bCs/>
          <w:color w:val="auto"/>
          <w:sz w:val="24"/>
          <w:highlight w:val="none"/>
        </w:rPr>
        <w:t>务、联</w:t>
      </w:r>
      <w:bookmarkStart w:id="559" w:name="_Toc351203511"/>
      <w:r>
        <w:rPr>
          <w:rFonts w:hint="default" w:ascii="Times New Roman" w:hAnsi="Times New Roman" w:cs="Times New Roman"/>
          <w:bCs/>
          <w:color w:val="auto"/>
          <w:sz w:val="24"/>
          <w:highlight w:val="none"/>
        </w:rPr>
        <w:t>系方式、授权范围和</w:t>
      </w:r>
      <w:bookmarkEnd w:id="559"/>
      <w:r>
        <w:rPr>
          <w:rFonts w:hint="default" w:ascii="Times New Roman" w:hAnsi="Times New Roman" w:cs="Times New Roman"/>
          <w:bCs/>
          <w:color w:val="auto"/>
          <w:sz w:val="24"/>
          <w:highlight w:val="none"/>
        </w:rPr>
        <w:t>授权期限书面通知设计人，由发包人代表在其授权范围和授权期限内，代表发包人行使权利、履行义务和处理合同履行中的具体事宜。发包人代表在授权范围内的行为由发包人承担法律责任。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3.1.2发包人代表违反法律法规、违背职业道德守则或不按合同约定履行职责及义务，导致合同无法继续正常履行的，设计人有权通知发包人更换发包人代表。发包人收到通知后7天内，应核实完毕并将处理结果通知设计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3.1.3 发包人更换发包人代表的，应提前14天将更换人员的姓名、职务、联系方式、授权范围和授权期限书面通知设计人。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3.1.4 发包人代表可以授权发包人的其他人员负责执行其指派的一项或多项工作。发包人代表应</w:t>
      </w:r>
      <w:bookmarkStart w:id="560" w:name="_Toc300835059"/>
      <w:bookmarkStart w:id="561" w:name="_Toc247527662"/>
      <w:bookmarkStart w:id="562" w:name="_Toc247514061"/>
      <w:r>
        <w:rPr>
          <w:rFonts w:hint="default" w:ascii="Times New Roman" w:hAnsi="Times New Roman" w:cs="Times New Roman"/>
          <w:bCs/>
          <w:color w:val="auto"/>
          <w:sz w:val="24"/>
          <w:highlight w:val="none"/>
        </w:rPr>
        <w:t>将被授权人员的姓名及其</w:t>
      </w:r>
      <w:bookmarkEnd w:id="560"/>
      <w:bookmarkEnd w:id="561"/>
      <w:bookmarkEnd w:id="562"/>
      <w:r>
        <w:rPr>
          <w:rFonts w:hint="default" w:ascii="Times New Roman" w:hAnsi="Times New Roman" w:cs="Times New Roman"/>
          <w:bCs/>
          <w:color w:val="auto"/>
          <w:sz w:val="24"/>
          <w:highlight w:val="none"/>
        </w:rPr>
        <w:t>授权范围通知设计人。被授权人员在授权范围内发出的指示视为已得到发包人代表的同意，与发包人代表发出的指示具有同等效力。</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63" w:name="_Toc492300451"/>
      <w:bookmarkStart w:id="564" w:name="_Toc482188568"/>
      <w:r>
        <w:rPr>
          <w:rFonts w:hint="default" w:ascii="Times New Roman" w:hAnsi="Times New Roman" w:cs="Times New Roman"/>
          <w:b/>
          <w:bCs/>
          <w:color w:val="auto"/>
          <w:sz w:val="24"/>
          <w:highlight w:val="none"/>
        </w:rPr>
        <w:t>3.2 监理人</w:t>
      </w:r>
      <w:bookmarkEnd w:id="563"/>
      <w:bookmarkEnd w:id="56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3.2.1 发包人可以根据工程建设需要确定是否委托监理人进行勘察设计监理。如果委托监理，则监理人享有合同约定的权力，其所发出的任何指示应视为已得到发包人的批准。监理人的监理范围、职责权限和总监理工程师信息，应在专用合同条款中指明。未经发包人批准，监理人无权修改合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3.2.2 合同约定应由设计人承担的义务和责任，不因监理人对设计文件的审查或批准，以及为实施监理作出的指示等职务行为而减轻或解除。</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65" w:name="_Toc492300452"/>
      <w:bookmarkStart w:id="566" w:name="_Toc482188569"/>
      <w:r>
        <w:rPr>
          <w:rFonts w:hint="default" w:ascii="Times New Roman" w:hAnsi="Times New Roman" w:cs="Times New Roman"/>
          <w:b/>
          <w:bCs/>
          <w:color w:val="auto"/>
          <w:sz w:val="24"/>
          <w:highlight w:val="none"/>
        </w:rPr>
        <w:t>3.3 发包人的指示</w:t>
      </w:r>
      <w:bookmarkEnd w:id="565"/>
      <w:bookmarkEnd w:id="56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3.3.1 发包人应按合同约定向设计人发出指示，发包人的指示应盖有发包人单位章</w:t>
      </w:r>
      <w:bookmarkStart w:id="567" w:name="_Toc247514062"/>
      <w:bookmarkStart w:id="568" w:name="_Toc247527663"/>
      <w:bookmarkStart w:id="569" w:name="_Toc300835060"/>
      <w:r>
        <w:rPr>
          <w:rFonts w:hint="default" w:ascii="Times New Roman" w:hAnsi="Times New Roman" w:cs="Times New Roman"/>
          <w:bCs/>
          <w:color w:val="auto"/>
          <w:sz w:val="24"/>
          <w:highlight w:val="none"/>
        </w:rPr>
        <w:t>，并由发</w:t>
      </w:r>
      <w:bookmarkEnd w:id="567"/>
      <w:bookmarkEnd w:id="568"/>
      <w:bookmarkEnd w:id="569"/>
      <w:r>
        <w:rPr>
          <w:rFonts w:hint="default" w:ascii="Times New Roman" w:hAnsi="Times New Roman" w:cs="Times New Roman"/>
          <w:bCs/>
          <w:color w:val="auto"/>
          <w:sz w:val="24"/>
          <w:highlight w:val="none"/>
        </w:rPr>
        <w:t>包人代表签字确认。</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3.3.2 设计人收到发包人作出的指示后应遵照执行。指示构成变更的，应按第11条执行。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3.3.3 在紧急情况下，发包人代表或其授权人员可以当场签发临时书面指示，设计人应遵照执行。发包人代表应在临时书面指示发出后24小时内发出书面确认函，逾期未发出书面确认函的，该临时书面指示应被视为发包人的正式指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3.3.4 除专用合同条款另有约定外，设计人只从发包人代表或按第3.1.4项约定的被授权人员处取得指示。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3.3.5 由于发包人未能按合同约定发出指示、指示延误或指示错误而导致设计人费用增加和（或）周期延误的，发包人应承担由此增加的费用和（或）周期延误。</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70" w:name="_Toc482188570"/>
      <w:bookmarkStart w:id="571" w:name="_Toc492300453"/>
      <w:r>
        <w:rPr>
          <w:rFonts w:hint="default" w:ascii="Times New Roman" w:hAnsi="Times New Roman" w:cs="Times New Roman"/>
          <w:b/>
          <w:bCs/>
          <w:color w:val="auto"/>
          <w:sz w:val="24"/>
          <w:highlight w:val="none"/>
        </w:rPr>
        <w:t>3.4 决定或答复</w:t>
      </w:r>
      <w:bookmarkEnd w:id="570"/>
      <w:bookmarkEnd w:id="57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3.4.1 发包人在法律允许的范围内有权对设计人的勘察设计工作和（或）勘察设计文件作出处理决定</w:t>
      </w:r>
      <w:bookmarkStart w:id="572" w:name="_Toc247527665"/>
      <w:bookmarkStart w:id="573" w:name="_Toc385592088"/>
      <w:bookmarkStart w:id="574" w:name="_Toc370281730"/>
      <w:bookmarkStart w:id="575" w:name="_Toc385942926"/>
      <w:bookmarkStart w:id="576" w:name="_Toc247514064"/>
      <w:bookmarkStart w:id="577" w:name="_Toc184635101"/>
      <w:bookmarkStart w:id="578" w:name="_Toc300835062"/>
      <w:r>
        <w:rPr>
          <w:rFonts w:hint="default" w:ascii="Times New Roman" w:hAnsi="Times New Roman" w:cs="Times New Roman"/>
          <w:bCs/>
          <w:color w:val="auto"/>
          <w:sz w:val="24"/>
          <w:highlight w:val="none"/>
        </w:rPr>
        <w:t>，设计人应按照发包人的决定执行，涉及勘察设计服务期限或勘察设计费用等问题按第11条的约定处理。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3.4.2 发包人应在专用合同条款约定的时间之内，对设计人书面提出的事项作出书面答复；逾期没有作出答复的，视为已获得发包人的批准。</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579" w:name="_Toc15707"/>
      <w:bookmarkStart w:id="580" w:name="_Toc9877"/>
      <w:bookmarkStart w:id="581" w:name="_Toc482188571"/>
      <w:bookmarkStart w:id="582" w:name="_Toc492300454"/>
      <w:bookmarkStart w:id="583" w:name="_Toc986"/>
      <w:r>
        <w:rPr>
          <w:rFonts w:hint="default" w:ascii="Times New Roman" w:hAnsi="Times New Roman" w:cs="Times New Roman"/>
          <w:color w:val="auto"/>
          <w:sz w:val="28"/>
          <w:szCs w:val="28"/>
          <w:highlight w:val="none"/>
        </w:rPr>
        <w:t xml:space="preserve">4. </w:t>
      </w:r>
      <w:r>
        <w:rPr>
          <w:rFonts w:hint="default" w:ascii="Times New Roman" w:hAnsi="Times New Roman" w:eastAsia="黑体" w:cs="Times New Roman"/>
          <w:color w:val="auto"/>
          <w:sz w:val="28"/>
          <w:szCs w:val="28"/>
          <w:highlight w:val="none"/>
        </w:rPr>
        <w:t>设计人义务</w:t>
      </w:r>
      <w:bookmarkEnd w:id="579"/>
      <w:bookmarkEnd w:id="580"/>
      <w:bookmarkEnd w:id="581"/>
      <w:bookmarkEnd w:id="582"/>
      <w:bookmarkEnd w:id="583"/>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84" w:name="_Toc482188572"/>
      <w:bookmarkStart w:id="585" w:name="_Toc492300455"/>
      <w:r>
        <w:rPr>
          <w:rFonts w:hint="default" w:ascii="Times New Roman" w:hAnsi="Times New Roman" w:cs="Times New Roman"/>
          <w:b/>
          <w:bCs/>
          <w:color w:val="auto"/>
          <w:sz w:val="24"/>
          <w:highlight w:val="none"/>
        </w:rPr>
        <w:t>4.1 设计人的一般义务</w:t>
      </w:r>
      <w:bookmarkEnd w:id="584"/>
      <w:bookmarkEnd w:id="58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4.1.1 遵守法律</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设计人在履行合同过程中应遵守法律，并保证发包人免于承担因</w:t>
      </w:r>
      <w:bookmarkEnd w:id="572"/>
      <w:bookmarkEnd w:id="573"/>
      <w:bookmarkEnd w:id="574"/>
      <w:bookmarkEnd w:id="575"/>
      <w:bookmarkEnd w:id="576"/>
      <w:bookmarkEnd w:id="577"/>
      <w:bookmarkEnd w:id="578"/>
      <w:r>
        <w:rPr>
          <w:rFonts w:hint="default" w:ascii="Times New Roman" w:hAnsi="Times New Roman" w:cs="Times New Roman"/>
          <w:bCs/>
          <w:color w:val="auto"/>
          <w:sz w:val="24"/>
          <w:highlight w:val="none"/>
        </w:rPr>
        <w:t>设计人</w:t>
      </w:r>
      <w:bookmarkStart w:id="586" w:name="_Toc370281731"/>
      <w:bookmarkStart w:id="587" w:name="_Toc247514065"/>
      <w:bookmarkStart w:id="588" w:name="_Toc247527666"/>
      <w:bookmarkStart w:id="589" w:name="_Toc385942927"/>
      <w:bookmarkStart w:id="590" w:name="_Toc300835063"/>
      <w:r>
        <w:rPr>
          <w:rFonts w:hint="default" w:ascii="Times New Roman" w:hAnsi="Times New Roman" w:cs="Times New Roman"/>
          <w:bCs/>
          <w:color w:val="auto"/>
          <w:sz w:val="24"/>
          <w:highlight w:val="none"/>
        </w:rPr>
        <w:t>违反法律而引起的任何责任。</w:t>
      </w:r>
    </w:p>
    <w:bookmarkEnd w:id="586"/>
    <w:bookmarkEnd w:id="587"/>
    <w:bookmarkEnd w:id="588"/>
    <w:bookmarkEnd w:id="589"/>
    <w:bookmarkEnd w:id="590"/>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4.1.2 依法纳税</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设计人应按有关法律规定纳税，应缴纳的税金（含增值税）包括在合同价格之中。</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4.1.3 完成全部勘察设计工作</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应按合同约定以及发包人要求，完成合同约定的全部工作，并对工作中的任何缺陷进行整改、完善和修补，使其满足合同约定的目的。设计人应按合同约定提供勘察设计文件和相关服务，以及为完成勘察设计服务所需的劳务、材料、勘察设备、试验设施等，并应自行承担勘探场地临时设施的搭设、维护、管理和拆除。</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4.1.4 保证勘察作业规范、安全和环保</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应按法律、规范标准和发包人要求，采取各项有效措施，确保勘察作业操作规范、安全、文明和环保，在风险性较大的环境中作业时应编制安全防护方案并制定应急预案，防止因勘察作业造成的人身伤害和财产损失。</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对于设计人在勘察设计过程中发生的人员伤亡或财产损失，或造成第三方的人员伤亡、财产损失，或由此而引起的其他一切损害和损失，发包人均不承担责任。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4.1.5 避免勘探对公众与他人的利益造成损害</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在进行合同约定的各项工作时，不得侵害发包人与他人使用公用道路、水源、市政管网等公共设施的权利，避免对邻近的公共设施产生干扰，保证勘探场地的周边设施、建构筑物、地下管线、架空线和其他物体的安全运行。设计人占用或使用他人的施工场地，影响他人作业或生活的，应承担相应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4.1.6 其他义务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4.1.6.1 设计人对本合同工程勘察设计质量承担设计使用年限内的终身责任。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 xml:space="preserve">4.1.6.2 </w:t>
      </w:r>
      <w:r>
        <w:rPr>
          <w:rFonts w:hint="default" w:ascii="Times New Roman" w:hAnsi="Times New Roman" w:cs="Times New Roman"/>
          <w:bCs/>
          <w:color w:val="auto"/>
          <w:sz w:val="24"/>
          <w:highlight w:val="none"/>
        </w:rPr>
        <w:t>在勘察设计过程中，设计人应与本项目相干扰的铁路、航道、水利、管线、电力电信及其他相关建筑设施或特殊保护区域的主管部门进行协商，获得项目相干扰部门对推荐路线的认同意见、协议、批准文件或纪要等，以确保本项目顺利实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 xml:space="preserve">4.1.6.3 </w:t>
      </w:r>
      <w:r>
        <w:rPr>
          <w:rFonts w:hint="default" w:ascii="Times New Roman" w:hAnsi="Times New Roman" w:cs="Times New Roman"/>
          <w:bCs/>
          <w:color w:val="auto"/>
          <w:sz w:val="24"/>
          <w:highlight w:val="none"/>
        </w:rPr>
        <w:t>设计人的勘察设计文件应接受发包人、咨询单位及发包人的上级主管部门的审查，凡审查意见中提出的问题，设计人应逐条给予认真贯彻落实，提交书面的反馈意见并免费修改勘察设计文件。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4.1.6.4 设计人应按发包人要求的数量（符合规范要求）提供所有为完成勘察设计所必需的研究试验阶段性或成果性报告，接受发包人或上级主管部门的审查，并对相关问题作出澄清和解答。</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4.1.6.5 设计人应根据设计需要开展专题研究工作，提交相应专题研究报告，并通过发包人或上级主管部门的审查。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 xml:space="preserve">4.1.6.6 </w:t>
      </w:r>
      <w:r>
        <w:rPr>
          <w:rFonts w:hint="default" w:ascii="Times New Roman" w:hAnsi="Times New Roman" w:cs="Times New Roman"/>
          <w:bCs/>
          <w:color w:val="auto"/>
          <w:sz w:val="24"/>
          <w:highlight w:val="none"/>
        </w:rPr>
        <w:t>设计人应履行合同约定的其他义务。</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591" w:name="_Toc485303383"/>
      <w:bookmarkStart w:id="592" w:name="_Toc382920065"/>
      <w:bookmarkStart w:id="593" w:name="_Toc492300456"/>
      <w:bookmarkStart w:id="594" w:name="_Toc13239"/>
      <w:bookmarkStart w:id="595" w:name="_Toc482188573"/>
      <w:bookmarkStart w:id="596" w:name="_Toc300835075"/>
      <w:bookmarkStart w:id="597" w:name="_Toc247514076"/>
      <w:bookmarkStart w:id="598" w:name="_Toc247527677"/>
      <w:bookmarkStart w:id="599" w:name="_Toc300835076"/>
      <w:r>
        <w:rPr>
          <w:rFonts w:hint="default" w:ascii="Times New Roman" w:hAnsi="Times New Roman" w:cs="Times New Roman"/>
          <w:b/>
          <w:bCs/>
          <w:color w:val="auto"/>
          <w:sz w:val="24"/>
          <w:highlight w:val="none"/>
        </w:rPr>
        <w:t>4.2 履约保证金</w:t>
      </w:r>
      <w:bookmarkEnd w:id="591"/>
      <w:bookmarkEnd w:id="592"/>
      <w:bookmarkEnd w:id="593"/>
      <w:bookmarkEnd w:id="594"/>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4.2.1 除专用合同条款另有约定外，履约保证金自合同生效之日起生效，在最后一批勘察设计成果文件经上级主管部门批复且设计人按照合同约定缴纳质量保证金之日起28天后失效。如果设计人不履行合同约定的义务或其履行不符合合同的约定，发包人有权扣划相应金额的履约保证金。</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4.2.2 发包人应在收到设计人缴纳的质量保证金后28天内将履约保证金退还给设计人。设计人拒绝按照本合同约定缴纳质量保证金的，发包人有权从勘察设计费中扣留相应金额作为质量保证金。</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4.2.3 发包人对履约保证金提出的任何索赔要求，均应在履约保证金有效期内提出。</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00" w:name="_Toc492300457"/>
      <w:r>
        <w:rPr>
          <w:rFonts w:hint="default" w:ascii="Times New Roman" w:hAnsi="Times New Roman" w:cs="Times New Roman"/>
          <w:b/>
          <w:bCs/>
          <w:color w:val="auto"/>
          <w:sz w:val="24"/>
          <w:highlight w:val="none"/>
        </w:rPr>
        <w:t>4.3 分包和不得转包</w:t>
      </w:r>
      <w:bookmarkEnd w:id="595"/>
      <w:bookmarkEnd w:id="60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4.3.1 设计人不得将其勘察设计的全部工作转包给第三人。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4.3.2 设计人不得将勘察设计的主体、关键性工作分包给第三人。除专用合同条款另有约定外，</w:t>
      </w:r>
      <w:r>
        <w:rPr>
          <w:rFonts w:hint="default" w:ascii="Times New Roman" w:hAnsi="Times New Roman" w:cs="Times New Roman"/>
          <w:color w:val="auto"/>
          <w:sz w:val="24"/>
          <w:highlight w:val="none"/>
        </w:rPr>
        <w:t>经发包人同意，设计人可将工程设计中跨专业或有特殊要求的勘察、设计工作进行分包。未列入投标文件的勘察设计工作，设计人不得分包。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4.3.3 发包人同意设计人分包工作的，设计人应在</w:t>
      </w:r>
      <w:r>
        <w:rPr>
          <w:rFonts w:hint="default" w:ascii="Times New Roman" w:hAnsi="Times New Roman" w:cs="Times New Roman"/>
          <w:color w:val="auto"/>
          <w:sz w:val="24"/>
          <w:highlight w:val="none"/>
        </w:rPr>
        <w:t>分包合同签订之日起7天内</w:t>
      </w:r>
      <w:r>
        <w:rPr>
          <w:rFonts w:hint="default" w:ascii="Times New Roman" w:hAnsi="Times New Roman" w:cs="Times New Roman"/>
          <w:bCs/>
          <w:color w:val="auto"/>
          <w:sz w:val="24"/>
          <w:highlight w:val="none"/>
        </w:rPr>
        <w:t>向发包人提交1份分包合同副本，并对分包工作质量承担连带责任。除专用合同条款另有约定外，分包人的勘察设计费用由设计人向分包人自行支付。</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4.3.4 分包人的资格能力应与其分包工作的标准和规模相适应，包括必要的企业资质、人员、设备和类似业绩等。</w:t>
      </w:r>
      <w:r>
        <w:rPr>
          <w:rFonts w:hint="default" w:ascii="Times New Roman" w:hAnsi="Times New Roman" w:cs="Times New Roman"/>
          <w:color w:val="auto"/>
          <w:sz w:val="24"/>
          <w:highlight w:val="none"/>
        </w:rPr>
        <w:t>分包人不得将分包项目再次分包或转包。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4.3.5 </w:t>
      </w:r>
      <w:r>
        <w:rPr>
          <w:rFonts w:hint="default" w:ascii="Times New Roman" w:hAnsi="Times New Roman" w:cs="Times New Roman"/>
          <w:color w:val="auto"/>
          <w:sz w:val="24"/>
          <w:highlight w:val="none"/>
        </w:rPr>
        <w:t>发包人对设计人与各分包人之间的法律和经济纠纷不承担任何责任和义务。</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01" w:name="_Toc492300458"/>
      <w:bookmarkStart w:id="602" w:name="_Toc482188574"/>
      <w:r>
        <w:rPr>
          <w:rFonts w:hint="default" w:ascii="Times New Roman" w:hAnsi="Times New Roman" w:cs="Times New Roman"/>
          <w:b/>
          <w:bCs/>
          <w:color w:val="auto"/>
          <w:sz w:val="24"/>
          <w:highlight w:val="none"/>
        </w:rPr>
        <w:t>4.4 联合体</w:t>
      </w:r>
      <w:bookmarkEnd w:id="601"/>
      <w:bookmarkEnd w:id="60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4.4.1 联合体各方应共同与发包人签订合同。联合体各方应为履行合同承担连带责任。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4.4.2 联合体协议经发包人确认后作为合同附件。在履行合同过程中，未经发包人同意，不得修改联合体协议。</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4.4.3 联合体牵头人负责与发包人联系并接受指示，负责组织联合体各成员全面履行合同。发包人就本合同工程向联合体牵头人发布的任何指令、指示、通知等均对联合体其他成员具有同等效力。</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4.4.4 未经发包人同意，联合体的组成、结构与业务分工均不得变动。</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03" w:name="_Toc482188575"/>
      <w:bookmarkStart w:id="604" w:name="_Toc492300459"/>
      <w:r>
        <w:rPr>
          <w:rFonts w:hint="default" w:ascii="Times New Roman" w:hAnsi="Times New Roman" w:cs="Times New Roman"/>
          <w:b/>
          <w:bCs/>
          <w:color w:val="auto"/>
          <w:sz w:val="24"/>
          <w:highlight w:val="none"/>
        </w:rPr>
        <w:t>4.5 项目负责人</w:t>
      </w:r>
      <w:bookmarkEnd w:id="603"/>
      <w:bookmarkEnd w:id="60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4.5.1 设计人应按合同协议书的约定指派项目负责人，并在约定的期限内到职。设计人更换项目负责</w:t>
      </w:r>
      <w:bookmarkStart w:id="605" w:name="_Toc247514069"/>
      <w:bookmarkStart w:id="606" w:name="_Toc300835067"/>
      <w:bookmarkStart w:id="607" w:name="_Toc247527670"/>
      <w:r>
        <w:rPr>
          <w:rFonts w:hint="default" w:ascii="Times New Roman" w:hAnsi="Times New Roman" w:cs="Times New Roman"/>
          <w:bCs/>
          <w:color w:val="auto"/>
          <w:sz w:val="24"/>
          <w:highlight w:val="none"/>
        </w:rPr>
        <w:t>人应事先征得</w:t>
      </w:r>
      <w:bookmarkEnd w:id="605"/>
      <w:bookmarkEnd w:id="606"/>
      <w:bookmarkEnd w:id="607"/>
      <w:r>
        <w:rPr>
          <w:rFonts w:hint="default" w:ascii="Times New Roman" w:hAnsi="Times New Roman" w:cs="Times New Roman"/>
          <w:bCs/>
          <w:color w:val="auto"/>
          <w:sz w:val="24"/>
          <w:highlight w:val="none"/>
        </w:rPr>
        <w:t>发包人同意，并应在更换14天前将拟更换的项目负责人姓名和详细资料提交发包人，拟更换的项目负责人资历应不低于原项目负责人。项目负责人2天内不能履行职责的，应事先征得发包人同意，并委派代表代行其职责。</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4.5.2项目负责人应按合同约定以及发包人要求，负责组织合同工作的实施。在情况紧急且无法与发包人取得联系时，可采取保证工程和人员生命财产安全的紧急措施，并在采取措施后24小时内向发包人提交书面报告。</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4.5.3 设计人为履行合同发出的一切函件均应盖有设计人单位章，并由设计人的项目负责人签字确认。</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bookmarkStart w:id="608" w:name="_Toc482188576"/>
      <w:r>
        <w:rPr>
          <w:rFonts w:hint="default" w:ascii="Times New Roman" w:hAnsi="Times New Roman" w:cs="Times New Roman"/>
          <w:bCs/>
          <w:color w:val="auto"/>
          <w:sz w:val="24"/>
          <w:highlight w:val="none"/>
        </w:rPr>
        <w:t>4.5.4 按照专用合同条款约定，项目负责人可以授权其下属人员履行其某项职责，但事先应将这些人员的姓名和授权范围书面通知发包人。</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09" w:name="_Toc492300460"/>
      <w:r>
        <w:rPr>
          <w:rFonts w:hint="default" w:ascii="Times New Roman" w:hAnsi="Times New Roman" w:cs="Times New Roman"/>
          <w:b/>
          <w:bCs/>
          <w:color w:val="auto"/>
          <w:sz w:val="24"/>
          <w:highlight w:val="none"/>
        </w:rPr>
        <w:t>4.6 勘察设计人员的管理</w:t>
      </w:r>
      <w:bookmarkEnd w:id="608"/>
      <w:bookmarkEnd w:id="60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4.6.1 设计人应在接到开始勘察设计通知之日起7天内，向发包人提交勘察设计项目机构以及</w:t>
      </w:r>
      <w:bookmarkStart w:id="610" w:name="_Toc247514070"/>
      <w:bookmarkStart w:id="611" w:name="_Toc247527671"/>
      <w:bookmarkStart w:id="612" w:name="_Toc300835068"/>
      <w:r>
        <w:rPr>
          <w:rFonts w:hint="default" w:ascii="Times New Roman" w:hAnsi="Times New Roman" w:cs="Times New Roman"/>
          <w:bCs/>
          <w:color w:val="auto"/>
          <w:sz w:val="24"/>
          <w:highlight w:val="none"/>
        </w:rPr>
        <w:t>人员安排的报告，其内容应</w:t>
      </w:r>
      <w:bookmarkEnd w:id="610"/>
      <w:bookmarkEnd w:id="611"/>
      <w:bookmarkEnd w:id="612"/>
      <w:r>
        <w:rPr>
          <w:rFonts w:hint="default" w:ascii="Times New Roman" w:hAnsi="Times New Roman" w:cs="Times New Roman"/>
          <w:bCs/>
          <w:color w:val="auto"/>
          <w:sz w:val="24"/>
          <w:highlight w:val="none"/>
        </w:rPr>
        <w:t>包括项目机构设置、主要勘察设计人员和其他人员的名单及资格条件。主要勘察设计人员应相对稳定，更换主要勘察设计人员的，应取得发包人的同意，并向发包人提交继任人员的资格、管理经验等资料，继任人员的资历应不低于原设计人员。项目负责人的更换，应按照本章第4.5.1项规定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4.6.2 除专用合同条款另有约定外，主要勘察设计人员包括项目负责人、专业负责人、审核人、审定人等；其他人员包括勘察作业人员、各专业的设计人员、管理人员等。  </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4.6.3设计人应保证其主要勘察设计人员（含分包人）在合同期限内的任何时候，都能按时参加发包人组织的工作会议。</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4.6.4 国家规定应当持证上岗的工作人员均应持有相应的资格证明，发包人有权随时检查。发包人认为有必要时，可以进行现场考核。</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4.6.5 </w:t>
      </w:r>
      <w:r>
        <w:rPr>
          <w:rFonts w:hint="default" w:ascii="Times New Roman" w:hAnsi="Times New Roman" w:cs="Times New Roman"/>
          <w:color w:val="auto"/>
          <w:sz w:val="24"/>
          <w:highlight w:val="none"/>
        </w:rPr>
        <w:t>设计人的工作进度未达到设计人投标文件中承诺的进度计划时，发包人有权要求设计人增加勘察设计人员，设计人应立即安排，其费用视为已包含在合同价格中。</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13" w:name="_Toc492300461"/>
      <w:bookmarkStart w:id="614" w:name="_Toc482188577"/>
      <w:r>
        <w:rPr>
          <w:rFonts w:hint="default" w:ascii="Times New Roman" w:hAnsi="Times New Roman" w:cs="Times New Roman"/>
          <w:b/>
          <w:bCs/>
          <w:color w:val="auto"/>
          <w:sz w:val="24"/>
          <w:highlight w:val="none"/>
        </w:rPr>
        <w:t>4.7 撤换项目负责人和其他人员</w:t>
      </w:r>
      <w:bookmarkEnd w:id="613"/>
      <w:bookmarkEnd w:id="61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设计人应对其项目负责人和其他人员进行有效管理。发包人要求撤换不能胜任本职工作、行</w:t>
      </w:r>
      <w:bookmarkStart w:id="615" w:name="_Toc247514071"/>
      <w:bookmarkStart w:id="616" w:name="_Toc247527672"/>
      <w:bookmarkStart w:id="617" w:name="_Toc300835069"/>
      <w:r>
        <w:rPr>
          <w:rFonts w:hint="default" w:ascii="Times New Roman" w:hAnsi="Times New Roman" w:cs="Times New Roman"/>
          <w:bCs/>
          <w:color w:val="auto"/>
          <w:sz w:val="24"/>
          <w:highlight w:val="none"/>
        </w:rPr>
        <w:t>为不端或玩忽职守的项目负责人和其</w:t>
      </w:r>
      <w:bookmarkEnd w:id="615"/>
      <w:bookmarkEnd w:id="616"/>
      <w:bookmarkEnd w:id="617"/>
      <w:r>
        <w:rPr>
          <w:rFonts w:hint="default" w:ascii="Times New Roman" w:hAnsi="Times New Roman" w:cs="Times New Roman"/>
          <w:bCs/>
          <w:color w:val="auto"/>
          <w:sz w:val="24"/>
          <w:highlight w:val="none"/>
        </w:rPr>
        <w:t>他人员的，设计人应予以撤换。</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18" w:name="_Toc492300462"/>
      <w:bookmarkStart w:id="619" w:name="_Toc482188578"/>
      <w:r>
        <w:rPr>
          <w:rFonts w:hint="default" w:ascii="Times New Roman" w:hAnsi="Times New Roman" w:cs="Times New Roman"/>
          <w:b/>
          <w:bCs/>
          <w:color w:val="auto"/>
          <w:sz w:val="24"/>
          <w:highlight w:val="none"/>
        </w:rPr>
        <w:t>4.8 保障人员的合法权益</w:t>
      </w:r>
      <w:bookmarkEnd w:id="618"/>
      <w:bookmarkEnd w:id="61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4.8.1 设计人应与其雇用的人员签订劳动合同，并按时发放工资。</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4.8.2 设计人应</w:t>
      </w:r>
      <w:bookmarkStart w:id="620" w:name="_Toc300835070"/>
      <w:bookmarkStart w:id="621" w:name="_Toc247514072"/>
      <w:bookmarkStart w:id="622" w:name="_Toc247527673"/>
      <w:r>
        <w:rPr>
          <w:rFonts w:hint="default" w:ascii="Times New Roman" w:hAnsi="Times New Roman" w:cs="Times New Roman"/>
          <w:bCs/>
          <w:color w:val="auto"/>
          <w:sz w:val="24"/>
          <w:highlight w:val="none"/>
        </w:rPr>
        <w:t>按劳动法的规定安排工作时间</w:t>
      </w:r>
      <w:bookmarkEnd w:id="620"/>
      <w:bookmarkEnd w:id="621"/>
      <w:bookmarkEnd w:id="622"/>
      <w:r>
        <w:rPr>
          <w:rFonts w:hint="default" w:ascii="Times New Roman" w:hAnsi="Times New Roman" w:cs="Times New Roman"/>
          <w:bCs/>
          <w:color w:val="auto"/>
          <w:sz w:val="24"/>
          <w:highlight w:val="none"/>
        </w:rPr>
        <w:t>，保证其雇用人员享有休息和休假的权利。因勘察设计需要占用休假日或延长工作时间的，应不超过法律规定的限度，并按法律规定给予补休或付酬。</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4.8.3 设计人应为其现场人员提供必要的食宿条件，以及符合环境保护和卫生要求的生活环境，在远离城镇的勘探场地，还应配备必要的伤病防治和急救设施。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4.8.4 设计人应按国家有关劳动保护的规定，采取有效的防止粉尘、降低噪声、控制有害气体和保障高温、高寒、高空作业安全等劳动保护措施。其雇用人员在勘探作业中受到伤害的，设计人应立即采取有效措施进行抢救和治疗。</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4.8.5 设计人应按有关法律规定和合同约定，为其雇用人员办理保险。</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23" w:name="_Toc482188579"/>
      <w:bookmarkStart w:id="624" w:name="_Toc492300463"/>
      <w:r>
        <w:rPr>
          <w:rFonts w:hint="default" w:ascii="Times New Roman" w:hAnsi="Times New Roman" w:cs="Times New Roman"/>
          <w:b/>
          <w:bCs/>
          <w:color w:val="auto"/>
          <w:sz w:val="24"/>
          <w:highlight w:val="none"/>
        </w:rPr>
        <w:t>4.9 合同价款应专款专用</w:t>
      </w:r>
      <w:bookmarkEnd w:id="623"/>
      <w:bookmarkEnd w:id="62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发包人按合同约定支付给设计人的各项价款，应专用于合同勘察设计工作。</w:t>
      </w:r>
    </w:p>
    <w:bookmarkEnd w:id="596"/>
    <w:bookmarkEnd w:id="597"/>
    <w:bookmarkEnd w:id="598"/>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625" w:name="_Toc5054"/>
      <w:bookmarkStart w:id="626" w:name="_Toc26007"/>
      <w:bookmarkStart w:id="627" w:name="_Toc11448"/>
      <w:bookmarkStart w:id="628" w:name="_Toc492300464"/>
      <w:bookmarkStart w:id="629" w:name="_Toc482188580"/>
      <w:r>
        <w:rPr>
          <w:rFonts w:hint="default" w:ascii="Times New Roman" w:hAnsi="Times New Roman" w:cs="Times New Roman"/>
          <w:color w:val="auto"/>
          <w:sz w:val="28"/>
          <w:szCs w:val="28"/>
          <w:highlight w:val="none"/>
        </w:rPr>
        <w:t xml:space="preserve">5. </w:t>
      </w:r>
      <w:r>
        <w:rPr>
          <w:rFonts w:hint="default" w:ascii="Times New Roman" w:hAnsi="Times New Roman" w:eastAsia="黑体" w:cs="Times New Roman"/>
          <w:color w:val="auto"/>
          <w:sz w:val="28"/>
          <w:szCs w:val="28"/>
          <w:highlight w:val="none"/>
        </w:rPr>
        <w:t>勘察设计要求</w:t>
      </w:r>
      <w:bookmarkEnd w:id="625"/>
      <w:bookmarkEnd w:id="626"/>
      <w:bookmarkEnd w:id="627"/>
      <w:bookmarkEnd w:id="628"/>
      <w:bookmarkEnd w:id="62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30" w:name="_Toc492300465"/>
      <w:bookmarkStart w:id="631" w:name="_Toc482188581"/>
      <w:r>
        <w:rPr>
          <w:rFonts w:hint="default" w:ascii="Times New Roman" w:hAnsi="Times New Roman" w:cs="Times New Roman"/>
          <w:b/>
          <w:bCs/>
          <w:color w:val="auto"/>
          <w:sz w:val="24"/>
          <w:highlight w:val="none"/>
        </w:rPr>
        <w:t>5.1 一般要求</w:t>
      </w:r>
      <w:bookmarkEnd w:id="630"/>
      <w:bookmarkEnd w:id="63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5.1.1 发包人应遵守法律和规范标准，不得以任何理由要求设计人违反法律和工程质量、安全标准进行勘察设计服务，降低工程质量。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5.1.2 设计人应按照法律规定，以及国家、行业和地方的规范和标准完成勘察设计工作，并应符合发包人要求。各项规范、标准和发包人要求之间如对同一内容的描述不一致时，应以描述更为严格的内容为准。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5.1.3 除专用合同条款另有约定外，设计人完成勘察设计工作所应遵守的法律规定，以及国家、行业和地方的规范和标准，均应视为在基准日适用的版本。基准日之后，前述版本发生重大变化，或者有新的法律，以及国家、行业和地方的规范和标准实施的，设计人应向发包人提出遵守新规定的建议。发包人应在收到建议后7天内发出是否遵守新规定的指示。发包人指示遵守新规定的，按照第11条约定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5.1.4 设计人在勘察设计服务中选用的材料、设备，应注明其规格、型号、性能等技术指标及适应性，满足质量、安全、节能、环保等要求，但不得指定生产厂、供应商和产品品牌。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5.1.5 设计人必须贯彻</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技术先进、安全可靠、适用耐久、经济合理</w:t>
      </w:r>
      <w:r>
        <w:rPr>
          <w:rFonts w:hint="eastAsia" w:ascii="宋体" w:hAnsi="宋体" w:eastAsia="宋体" w:cs="宋体"/>
          <w:bCs/>
          <w:color w:val="auto"/>
          <w:sz w:val="24"/>
          <w:highlight w:val="none"/>
        </w:rPr>
        <w:t>”</w:t>
      </w:r>
      <w:r>
        <w:rPr>
          <w:rFonts w:hint="default" w:ascii="Times New Roman" w:hAnsi="Times New Roman" w:cs="Times New Roman"/>
          <w:bCs/>
          <w:color w:val="auto"/>
          <w:sz w:val="24"/>
          <w:highlight w:val="none"/>
        </w:rPr>
        <w:t>的基本原则，加强总体设计，重视与城镇建设总体规划、土地开发利用规划、农田水利、森林植被、水土保持、生态环境、特殊设施保护区、其他运输方式和其他建设工程的总体协调和配合，节约资源、保护环境、合理选用技术指标、树立全寿命周期成本的理念，充分发挥工程建设项目经济、社会和环境的综合效益。</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32" w:name="_Toc482188582"/>
      <w:bookmarkStart w:id="633" w:name="_Toc492300466"/>
      <w:r>
        <w:rPr>
          <w:rFonts w:hint="default" w:ascii="Times New Roman" w:hAnsi="Times New Roman" w:cs="Times New Roman"/>
          <w:b/>
          <w:bCs/>
          <w:color w:val="auto"/>
          <w:sz w:val="24"/>
          <w:highlight w:val="none"/>
        </w:rPr>
        <w:t>5.2 勘察设计依据</w:t>
      </w:r>
      <w:bookmarkEnd w:id="632"/>
      <w:bookmarkEnd w:id="633"/>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除专用合同条款另有约定外，本工程的勘察设计依据如下：</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（1）适用的法律、行政法规及部门规章；</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（2）与工程有关的规范、标准、规程；</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（3）工程基础资料及其他文件；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（4）本勘察设计服务合同及补充合同；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（5）本工程施工需求；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（6）合同履行中与勘察设计服务有关的来往函件；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（7）其他勘察设计依据。</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34" w:name="_Toc492300467"/>
      <w:bookmarkStart w:id="635" w:name="_Toc482188583"/>
      <w:r>
        <w:rPr>
          <w:rFonts w:hint="default" w:ascii="Times New Roman" w:hAnsi="Times New Roman" w:cs="Times New Roman"/>
          <w:b/>
          <w:bCs/>
          <w:color w:val="auto"/>
          <w:sz w:val="24"/>
          <w:highlight w:val="none"/>
        </w:rPr>
        <w:t>5.3 勘察设计范围</w:t>
      </w:r>
      <w:bookmarkEnd w:id="634"/>
      <w:bookmarkEnd w:id="63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5.3.1 本合同的勘察设计范围包括工程范围、阶段范围和工作范围，具体勘察设计范围应根据三者之间的关联内容进行确定。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5.3.2 工程范围指勘察设计工程的建设内容，具体范围在专用合同条款中约定。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5.3.3 阶段范围指工程建设程序中的可行性研究勘察、初步勘察、详细勘察、施工勘察、方案设计、初步设计、技术设计（如有）、施工图设计等阶段中的一个或多个阶段，具体范围在专用合同条款中约定。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bookmarkStart w:id="636" w:name="_Toc482188584"/>
      <w:r>
        <w:rPr>
          <w:rFonts w:hint="default" w:ascii="Times New Roman" w:hAnsi="Times New Roman" w:cs="Times New Roman"/>
          <w:bCs/>
          <w:color w:val="auto"/>
          <w:sz w:val="24"/>
          <w:highlight w:val="none"/>
        </w:rPr>
        <w:t>5.3.4 工作范围指工程测量、岩土工程勘察、岩土工程设计（如有），编制设计文件，编制设计概算、预算，提供技术交底、招标与施工配合，编制竣工图，参加交工验收、参加竣工验收和发包人委托的其他服务中的一项或多项工作，具体范围在专用合同条款中约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37" w:name="_Toc492300873"/>
      <w:r>
        <w:rPr>
          <w:rFonts w:hint="default" w:ascii="Times New Roman" w:hAnsi="Times New Roman" w:cs="Times New Roman"/>
          <w:b/>
          <w:bCs/>
          <w:color w:val="auto"/>
          <w:sz w:val="24"/>
          <w:highlight w:val="none"/>
        </w:rPr>
        <w:t>5.4 勘察作业要求</w:t>
      </w:r>
      <w:bookmarkEnd w:id="63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5.4.1 测绘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（1）除专用合同条款另有约定外，发包人应在开始勘察前7天内，向设计人提供测量基准点、水准点和书</w:t>
      </w:r>
      <w:bookmarkStart w:id="638" w:name="_Toc247527705"/>
      <w:bookmarkStart w:id="639" w:name="_Toc247514104"/>
      <w:bookmarkStart w:id="640" w:name="_Toc300835107"/>
      <w:r>
        <w:rPr>
          <w:rFonts w:hint="default" w:ascii="Times New Roman" w:hAnsi="Times New Roman" w:cs="Times New Roman"/>
          <w:bCs/>
          <w:color w:val="auto"/>
          <w:sz w:val="24"/>
          <w:highlight w:val="none"/>
        </w:rPr>
        <w:t>面资料等</w:t>
      </w:r>
      <w:bookmarkEnd w:id="638"/>
      <w:bookmarkEnd w:id="639"/>
      <w:bookmarkEnd w:id="640"/>
      <w:r>
        <w:rPr>
          <w:rFonts w:hint="default" w:ascii="Times New Roman" w:hAnsi="Times New Roman" w:cs="Times New Roman"/>
          <w:bCs/>
          <w:color w:val="auto"/>
          <w:sz w:val="24"/>
          <w:highlight w:val="none"/>
        </w:rPr>
        <w:t>；设计人应根据国家测绘基准、测绘系统和工程测量技术规范，按发包人要求的基准点以及合同工程精度要求，进行测绘。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（2）设计人测绘之前，应认真核对测绘数据，保证引用数据和原始数据准确无误。测绘工作应由测量人员如实记录，不得补记、涂改或损坏。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（3）工程勘探之前，设计人应严格按照勘察方案的孔位坐标，进行测量放线并在实地位置定位，埋设带有编号且不易移动的标志桩进行定位控制。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5.4.2 勘探</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设计人应根据公路基本建设程序各阶段要求的深度开展工作，结合现场地形地质条件、工程结构设置以及不同勘察手段的特性等，统筹考虑、综合确定勘察方法及勘察工作量，为完成合同约定的勘察设计任务创造条件。设计人对于勘察方法的正确性、适用性和可靠性完全负责。</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布置勘探工作时，应充分考虑勘探方法对于自然环境、周边设施、建构筑物、地下管线、架空线和其他物体的影响，采用切实有效的措施进行防范控制，不得造成损坏或中断运行，否则由此导致的费用增加和（或）周期延误由设计人自行承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（3）设计人应在标定的孔位处进行勘探，不得随意改动位置。勘探方法、勘探机具、勘探记录、取样编录与描述，孔位标记、孔位封闭等事项，应严格执行规范标准，按实填写勘探报表和勘探日志。</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勘探工作完成后，设计人应按照规范要求及时封孔，并将封孔记录整理存档，勘探场地应地面平整、清洁卫生，并通知发包人、行政主管部门及使用维护单位进行现场验收。验收通过之后如果发生沉陷，设计人应及时进行二次封孔和现场验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5.4.3 取样</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（1）设计人应针对不同的岩土地质，按照勘探取样规范规程中的相关规定，根据地层特征、取样深度、设备条件和试验项目的不同，合理选用取样方法和取样工具进行取样，包括并不限于土样、水样、岩芯等。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取样后的样品应根据其类别、性质和特点等进行封装、贮存和运输。样品搬运之前，宜用数码相机进行现场拍照；运输途中应采用柔软材料充填、尽量避免震动和阳光曝晒；装卸之时尽量轻拿轻放，以免样品损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（3）取样后的样品应填写和粘贴标签，标签内容包括并不限于工程名称、孔号、样品编号、取样深度、样品名称、取样日期、取样人姓名、施工机组等。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5.4.4 试验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（1）设计人应根据岩土条件、设计要求、勘察经验和测试方法特点，选用合适的原位测试方法和勘察设备进行原位测试。原位测试成果应与室内试验数据进行对比分析，检验其可靠性。</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（2）设计人的试验室应通过行业管理部门认可的CMA计量认证，具有相应的资格证书、试验人员和试验条件，否则应委托第三方试验室进行室内试验。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设计人应在试验之前按照要求清点样品数目，认定取样质量及数量是否满足试验需要；勘察设备应检定合格，性能参数满足试验要求，严格按照规范标准的相应规定进行试验操作；试验之后应在有效期内保留备样，以备复核试验成果之用，并按规范标准规定处理余土和废液，符合环境保护、健康卫生等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（4）试验报告的格式应符合CMA计量认证体系要求，加盖CMA章并由试验负责人签字确认；试验负责人应通过计量认证考核，并由项目负责人授权许可。</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5.4.5 其他要求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（1）设计人应在勘察过程中重视地质环境对安全的影响，提交的勘察报告应真实、准确、可靠，满足工程安全生产的需要，并对勘察结论负责。</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（2）设计人应对有可能引发公路工程安全隐患的地质灾害提出防治建议。</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（3）工程勘察布点应参考发包人提供的资料。勘探点的数量、深度和位置可根据地质情况和现场条件依据规范进行调整，但应经发包人同意和批准。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（4）勘探过程中应认真记录每日工作内容，保存原始记录资料与数据，以供发包人检查和分析。</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（5）在钻探过程中，如发包人根据规范需要更改取样间距与现场试验的要求，或更改钻孔深度，设计人应积极配合并安排实施。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设计人在钻探过程中应对地下管线和构筑物进行相应保护，遇到地下文物时应及时向发包人和文物保护部门汇报并妥善保护。设计人在钻探过程中应采取有效的环境保护措施，避免对周围环境造成破坏或污染。</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7）设计人在进行外业勘察时，应采取有效措施避免对原有道路、桥梁、构造物及其他公共设施或地上附着物造成损坏或损伤。如造成损坏或损伤而引起的一切索赔、赔偿、诉讼费用和其他费用，由设计人自行承担。</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41" w:name="_Toc482188585"/>
      <w:bookmarkStart w:id="642" w:name="_Toc492300874"/>
      <w:r>
        <w:rPr>
          <w:rFonts w:hint="default" w:ascii="Times New Roman" w:hAnsi="Times New Roman" w:cs="Times New Roman"/>
          <w:b/>
          <w:bCs/>
          <w:color w:val="auto"/>
          <w:sz w:val="24"/>
          <w:highlight w:val="none"/>
        </w:rPr>
        <w:t>5.5 勘察设备要求</w:t>
      </w:r>
      <w:bookmarkEnd w:id="641"/>
      <w:bookmarkEnd w:id="64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5.5.1 设计人应按合同进度计划的要求，及时配置勘察设备进行作业。设计人更换合</w:t>
      </w:r>
      <w:bookmarkStart w:id="643" w:name="_Toc247527691"/>
      <w:bookmarkStart w:id="644" w:name="_Toc300835090"/>
      <w:bookmarkStart w:id="645" w:name="_Toc247514090"/>
      <w:r>
        <w:rPr>
          <w:rFonts w:hint="default" w:ascii="Times New Roman" w:hAnsi="Times New Roman" w:cs="Times New Roman"/>
          <w:bCs/>
          <w:color w:val="auto"/>
          <w:sz w:val="24"/>
          <w:highlight w:val="none"/>
        </w:rPr>
        <w:t>同约定的勘察设备的，应报发包人批准。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5.5.2 设计人应按照规范要求，及时维修、保养或更换勘察设备，包括并不限于钻机、触探仪、全站仪、水准仪、探测仪、测井平台、天平、固结仪、振筛机、干燥箱、直剪仪、收缩仪、膨胀仪、渗透仪等，保证勘察设备能够随时进场使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5.5.3 设计人使用的勘察设备不能满足合同进度计划和（或）质量要求时，发包人有权要求设计人增加或更换勘察设备，设计人应及时增加或更换，由此增加的费用和（或）周期延误由设计人自行承担。</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46" w:name="_Toc492300875"/>
      <w:bookmarkStart w:id="647" w:name="_Toc482188586"/>
      <w:r>
        <w:rPr>
          <w:rFonts w:hint="default" w:ascii="Times New Roman" w:hAnsi="Times New Roman" w:cs="Times New Roman"/>
          <w:b/>
          <w:bCs/>
          <w:color w:val="auto"/>
          <w:sz w:val="24"/>
          <w:highlight w:val="none"/>
        </w:rPr>
        <w:t>5.6 临时占地和设施要求</w:t>
      </w:r>
      <w:bookmarkEnd w:id="646"/>
      <w:bookmarkEnd w:id="64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5.6.1 设计人应根据勘察设计服务方案制订临时占地计划，报请发包人批准</w:t>
      </w:r>
      <w:bookmarkEnd w:id="643"/>
      <w:bookmarkEnd w:id="644"/>
      <w:bookmarkEnd w:id="645"/>
      <w:bookmarkStart w:id="648" w:name="_Toc247514091"/>
      <w:bookmarkStart w:id="649" w:name="_Toc300835092"/>
      <w:bookmarkStart w:id="650" w:name="_Toc247527692"/>
      <w:bookmarkStart w:id="651" w:name="_Toc184635103"/>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5.6.2 位于本工</w:t>
      </w:r>
      <w:bookmarkEnd w:id="648"/>
      <w:bookmarkEnd w:id="649"/>
      <w:bookmarkEnd w:id="650"/>
      <w:bookmarkEnd w:id="651"/>
      <w:r>
        <w:rPr>
          <w:rFonts w:hint="default" w:ascii="Times New Roman" w:hAnsi="Times New Roman" w:cs="Times New Roman"/>
          <w:bCs/>
          <w:color w:val="auto"/>
          <w:sz w:val="24"/>
          <w:highlight w:val="none"/>
        </w:rPr>
        <w:t>程</w:t>
      </w:r>
      <w:bookmarkStart w:id="652" w:name="_Toc247527693"/>
      <w:bookmarkStart w:id="653" w:name="_Toc247514092"/>
      <w:bookmarkStart w:id="654" w:name="_Toc300835093"/>
      <w:r>
        <w:rPr>
          <w:rFonts w:hint="default" w:ascii="Times New Roman" w:hAnsi="Times New Roman" w:cs="Times New Roman"/>
          <w:bCs/>
          <w:color w:val="auto"/>
          <w:sz w:val="24"/>
          <w:highlight w:val="none"/>
        </w:rPr>
        <w:t>区域内的</w:t>
      </w:r>
      <w:bookmarkEnd w:id="652"/>
      <w:bookmarkEnd w:id="653"/>
      <w:bookmarkEnd w:id="654"/>
      <w:r>
        <w:rPr>
          <w:rFonts w:hint="default" w:ascii="Times New Roman" w:hAnsi="Times New Roman" w:cs="Times New Roman"/>
          <w:bCs/>
          <w:color w:val="auto"/>
          <w:sz w:val="24"/>
          <w:highlight w:val="none"/>
        </w:rPr>
        <w:t>临时占地，由发包人协调提供。位于道路、绿化或者其他市政设施内的临时占地，由设计人向行政管理部门报建申请，按照要求制订占地施工方案，并据此实施。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5.6.3 临时占地使用完毕后，设计人应按照发包人要求或行政管理部门规定恢复临时占地。如果恢复或清理标准不能满足要求的，发包人有权委托他人代为恢复或清理，由此发生的费用从拟支付给设计人的勘察设计费用中扣除。</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5.6.4 设计人应配备或搭设足够的临时设施，保证勘探工作能够正常开展。临时设施包括并不限于施工围挡、交通疏导设施、安全防范设施、钻机防护设施、安全文明施工设施、办公生活用房、取样存放场所等。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5.6.5 临时设施应满足规范标准、发包人要求和行政管理部门的规定等。除专用合同条款另有约定外，临时设施的修建、拆除和恢复费用由设计人自行承担。</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55" w:name="_Toc482188587"/>
      <w:bookmarkStart w:id="656" w:name="_Toc492300876"/>
      <w:r>
        <w:rPr>
          <w:rFonts w:hint="default" w:ascii="Times New Roman" w:hAnsi="Times New Roman" w:cs="Times New Roman"/>
          <w:b/>
          <w:bCs/>
          <w:color w:val="auto"/>
          <w:sz w:val="24"/>
          <w:highlight w:val="none"/>
        </w:rPr>
        <w:t>5.7 安全作业要求</w:t>
      </w:r>
      <w:bookmarkEnd w:id="655"/>
      <w:bookmarkEnd w:id="65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5.7.1 设计人应按合同约定履行安全职责，执行发包人有关安全工作的指示，并在专用合同条</w:t>
      </w:r>
      <w:bookmarkStart w:id="657" w:name="_Toc247527711"/>
      <w:bookmarkStart w:id="658" w:name="_Toc300835113"/>
      <w:bookmarkStart w:id="659" w:name="_Toc247514110"/>
      <w:r>
        <w:rPr>
          <w:rFonts w:hint="default" w:ascii="Times New Roman" w:hAnsi="Times New Roman" w:cs="Times New Roman"/>
          <w:bCs/>
          <w:color w:val="auto"/>
          <w:sz w:val="24"/>
          <w:highlight w:val="none"/>
        </w:rPr>
        <w:t>款约定的期限内，按合同约</w:t>
      </w:r>
      <w:bookmarkEnd w:id="657"/>
      <w:bookmarkEnd w:id="658"/>
      <w:bookmarkEnd w:id="659"/>
      <w:r>
        <w:rPr>
          <w:rFonts w:hint="default" w:ascii="Times New Roman" w:hAnsi="Times New Roman" w:cs="Times New Roman"/>
          <w:bCs/>
          <w:color w:val="auto"/>
          <w:sz w:val="24"/>
          <w:highlight w:val="none"/>
        </w:rPr>
        <w:t>定的安全工作内容，编制安全措施计划报送发包人批准。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5.7.2 设计人应严格执行操作规程，采取有效措施保证道路、桥梁、交通安全设施、建构筑物、地下管线、架空线和其他周边设施等安全正常地运行。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5.7.3 设计人应按照法律、法规和工程建设强制性标准进行勘察，加强勘察作业安全管理，特别加强易燃、易爆材料、火工器材、有毒与腐蚀性材料和其他危险品的管理。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5.7.4 设计人应严格按照国家安全标准制定施工安全操作规程，配备必要的安全生产和劳动保护设施，加强对设计人人员的安全教育，并且发放安全工作手册和劳动保护用具。</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5.7.5 设计人应按发包人的指示制订应对灾害的紧急预案，报送发包人批准。设计人还应按预案做好安全检查，配置必要的救助物资和器材，切实保护好有关人员的人身和财产安全。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5.7.6 设计人应对其履行合同所雇用的全部人员，包括分包人人员的工伤事故承担责任，但由于发包人原因造成设计人人员工伤事故的，应由发包人承担责任。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5.7.7 由于设计人原因在施工场地内及其毗邻地带造成的第三者人员伤亡和财产损失，由设计人负责赔偿。</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60" w:name="_Toc482188588"/>
      <w:bookmarkStart w:id="661" w:name="_Toc492300877"/>
      <w:r>
        <w:rPr>
          <w:rFonts w:hint="default" w:ascii="Times New Roman" w:hAnsi="Times New Roman" w:cs="Times New Roman"/>
          <w:b/>
          <w:bCs/>
          <w:color w:val="auto"/>
          <w:sz w:val="24"/>
          <w:highlight w:val="none"/>
        </w:rPr>
        <w:t>5.8 环境保护要求</w:t>
      </w:r>
      <w:bookmarkEnd w:id="660"/>
      <w:bookmarkEnd w:id="66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5.8.1 设计人在履行合同过程中，应遵守有关环境保护的法律，履行合同约定的环境保护义务，并对违</w:t>
      </w:r>
      <w:bookmarkStart w:id="662" w:name="_Toc300835115"/>
      <w:bookmarkStart w:id="663" w:name="_Toc247514112"/>
      <w:bookmarkStart w:id="664" w:name="_Toc247527713"/>
      <w:r>
        <w:rPr>
          <w:rFonts w:hint="default" w:ascii="Times New Roman" w:hAnsi="Times New Roman" w:cs="Times New Roman"/>
          <w:bCs/>
          <w:color w:val="auto"/>
          <w:sz w:val="24"/>
          <w:highlight w:val="none"/>
        </w:rPr>
        <w:t>反法律和合同约定</w:t>
      </w:r>
      <w:bookmarkEnd w:id="662"/>
      <w:bookmarkEnd w:id="663"/>
      <w:bookmarkEnd w:id="664"/>
      <w:r>
        <w:rPr>
          <w:rFonts w:hint="default" w:ascii="Times New Roman" w:hAnsi="Times New Roman" w:cs="Times New Roman"/>
          <w:bCs/>
          <w:color w:val="auto"/>
          <w:sz w:val="24"/>
          <w:highlight w:val="none"/>
        </w:rPr>
        <w:t>义务所造成的环境破坏、人身伤害和财产损失负责。</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5.8.2 设计人应按合同约定的环保工作内容，编制环保措施计划，报送发包人批准。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5.8.3 设计人应确保勘探过程中产生的气体排放物、粉尘、噪声、地面排水及排污等，符合法律规定和发包人要求。</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65" w:name="_Toc492300878"/>
      <w:bookmarkStart w:id="666" w:name="_Toc482188589"/>
      <w:r>
        <w:rPr>
          <w:rFonts w:hint="default" w:ascii="Times New Roman" w:hAnsi="Times New Roman" w:cs="Times New Roman"/>
          <w:b/>
          <w:bCs/>
          <w:color w:val="auto"/>
          <w:sz w:val="24"/>
          <w:highlight w:val="none"/>
        </w:rPr>
        <w:t>5.9 事故处理要求</w:t>
      </w:r>
      <w:bookmarkEnd w:id="665"/>
      <w:bookmarkEnd w:id="66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5.9.1 合同履行过程中发生事故的，设计人应立即通知发包人。</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5.9.2 发包人和设计人应立即组织人员和设备进行紧急抢救</w:t>
      </w:r>
      <w:bookmarkStart w:id="667" w:name="_Toc300835116"/>
      <w:bookmarkStart w:id="668" w:name="_Toc247527714"/>
      <w:bookmarkStart w:id="669" w:name="_Toc247514113"/>
      <w:r>
        <w:rPr>
          <w:rFonts w:hint="default" w:ascii="Times New Roman" w:hAnsi="Times New Roman" w:cs="Times New Roman"/>
          <w:bCs/>
          <w:color w:val="auto"/>
          <w:sz w:val="24"/>
          <w:highlight w:val="none"/>
        </w:rPr>
        <w:t>和抢修，减少人员</w:t>
      </w:r>
      <w:bookmarkEnd w:id="667"/>
      <w:bookmarkEnd w:id="668"/>
      <w:bookmarkEnd w:id="669"/>
      <w:r>
        <w:rPr>
          <w:rFonts w:hint="default" w:ascii="Times New Roman" w:hAnsi="Times New Roman" w:cs="Times New Roman"/>
          <w:bCs/>
          <w:color w:val="auto"/>
          <w:sz w:val="24"/>
          <w:highlight w:val="none"/>
        </w:rPr>
        <w:t>伤亡和财产损失，防止事故扩大，并保护事故现场。需要移动现场物品时，应作出标记和书面记录，妥善保管有关证据。发包人和设计人应按国家有关规定，及时如实地向有关部门报告事故发生的情况，以及正在采取的紧急措施等。</w:t>
      </w:r>
    </w:p>
    <w:bookmarkEnd w:id="599"/>
    <w:bookmarkEnd w:id="636"/>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70" w:name="_Toc492300468"/>
      <w:bookmarkStart w:id="671" w:name="_Toc482188591"/>
      <w:r>
        <w:rPr>
          <w:rFonts w:hint="default" w:ascii="Times New Roman" w:hAnsi="Times New Roman" w:cs="Times New Roman"/>
          <w:b/>
          <w:bCs/>
          <w:color w:val="auto"/>
          <w:sz w:val="24"/>
          <w:highlight w:val="none"/>
        </w:rPr>
        <w:t>5.10 勘察设计文件要求</w:t>
      </w:r>
      <w:bookmarkEnd w:id="67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5.10.1 勘察设计文件的编制应符合法律法规、规范标准的强制性规定和发包人要求，相关勘察设计依据应完整、准确、可靠，勘察设计方案论证充分，计算成果规范可靠，并能够实施。</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5.10.2勘察设计服务应根据法律、规范标准和发包人要求，保证工程的合理使用寿命年限，并在设计文件中予以注明。</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5.10.3 勘察设计文件的深度应满足本合同相应勘察设计阶段的规定要求，满足发包人的下步工作需要，并应符合国家和行业现行规定。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5.10.4 勘察设计文件必须保证工程质量和施工安全等方面的要求，按照有关法律法规规定在勘察设计文件中提出保障施工作业人员安全和预防生产安全事故的措施建议。</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5.10.5 勘察设计文件必须符合下列要求：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（1）勘察设计文件的编制必须严格执行国家基本建设程序、工程建设标准强制性条文及有关公路工程建设的法律、法规、规章、规范、标准、规程、定额和合同的要求。</w:t>
      </w:r>
    </w:p>
    <w:p>
      <w:pPr>
        <w:pageBreakBefore w:val="0"/>
        <w:kinsoku/>
        <w:wordWrap w:val="0"/>
        <w:overflowPunct/>
        <w:bidi w:val="0"/>
        <w:spacing w:line="480" w:lineRule="exact"/>
        <w:ind w:firstLine="480" w:firstLineChars="200"/>
        <w:rPr>
          <w:rFonts w:hint="default" w:ascii="Times New Roman" w:hAnsi="Times New Roman" w:cs="Times New Roman"/>
          <w:bCs/>
          <w:i/>
          <w:color w:val="auto"/>
          <w:sz w:val="24"/>
          <w:highlight w:val="none"/>
        </w:rPr>
      </w:pPr>
      <w:r>
        <w:rPr>
          <w:rFonts w:hint="default" w:ascii="Times New Roman" w:hAnsi="Times New Roman" w:cs="Times New Roman"/>
          <w:bCs/>
          <w:color w:val="auto"/>
          <w:sz w:val="24"/>
          <w:highlight w:val="none"/>
        </w:rPr>
        <w:t>（2）勘察设计文件的编制须符合国民经济、社会发展规划和产业政策，贯彻提高社会经济效益和促进技术进步的方针，实行资源综合利用，节约资源和能源，符合国家自然风景区、城市、集镇、村庄规划和相关专业规划，符合国家有关劳动安全卫生、消防、抗震、人防规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（3）勘察设计文件必须保证工程质量和安全的要求，符合安全、适用、耐久、经济、美观的综合要求；并应特别注意沿线景观及沿线设施的协调性和符合环境保护、水土保持的要求。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5.10.6 设计人应根据批复的可行性研究报告和交通运输部《公路工程基本建设项目设计文件编制办法》规定的设计深度完成初步设计工作。初步设计文件经审查批复后，作为编制施工图设计文件和控制建设项目投资的依据。</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5.10.7 若发包人或发包人上级主管部门认为需要进行技术设计，设计人应根据发包人要求，按交通运输部《公路工程基本建设项目设计文件编制办法》有关规定编制技术设计文件和修正概算，并通过发包人上级主管部门的审查。如果发包人在招标阶段已明确本项目包括</w:t>
      </w:r>
      <w:r>
        <w:rPr>
          <w:rFonts w:hint="default" w:ascii="Times New Roman" w:hAnsi="Times New Roman" w:cs="Times New Roman"/>
          <w:color w:val="auto"/>
          <w:sz w:val="24"/>
          <w:highlight w:val="none"/>
        </w:rPr>
        <w:t>技术设计并且在报价清单中已列有相应报价子目，则按设计人在报价清单中所报的相应费用支付；否则，对于发包人在项目实施过程中提出的技术设计，发包人应另行支付费用。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5.10.8 设计人应按批准的初步设计完成施工图设计工作，并接受发包人、咨询单位及发包人上级主管部门对施工图设计文件的审查，按审查意见修改施工图设计文件。设计人应在发包人规定的时间内完成施工图预算的编制，施工图设计文件及施工图预算应按各施工标段进行编制。施工图设计文件批复后，则作为编制施工招标文件的依据。</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5.10.9 当发包人、咨询单位或上级主管部门认为需调用设计人的设计计算书时，设计人必须及时提供。</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672" w:name="_Toc13486"/>
      <w:bookmarkStart w:id="673" w:name="_Toc492300469"/>
      <w:bookmarkStart w:id="674" w:name="_Toc27095"/>
      <w:bookmarkStart w:id="675" w:name="_Toc3956"/>
      <w:r>
        <w:rPr>
          <w:rFonts w:hint="default" w:ascii="Times New Roman" w:hAnsi="Times New Roman" w:cs="Times New Roman"/>
          <w:color w:val="auto"/>
          <w:sz w:val="28"/>
          <w:szCs w:val="28"/>
          <w:highlight w:val="none"/>
        </w:rPr>
        <w:t xml:space="preserve">6. </w:t>
      </w:r>
      <w:r>
        <w:rPr>
          <w:rFonts w:hint="default" w:ascii="Times New Roman" w:hAnsi="Times New Roman" w:eastAsia="黑体" w:cs="Times New Roman"/>
          <w:color w:val="auto"/>
          <w:sz w:val="28"/>
          <w:szCs w:val="28"/>
          <w:highlight w:val="none"/>
        </w:rPr>
        <w:t>开始勘察设计和完成</w:t>
      </w:r>
      <w:bookmarkEnd w:id="671"/>
      <w:r>
        <w:rPr>
          <w:rFonts w:hint="default" w:ascii="Times New Roman" w:hAnsi="Times New Roman" w:eastAsia="黑体" w:cs="Times New Roman"/>
          <w:color w:val="auto"/>
          <w:sz w:val="28"/>
          <w:szCs w:val="28"/>
          <w:highlight w:val="none"/>
        </w:rPr>
        <w:t>勘察设计</w:t>
      </w:r>
      <w:bookmarkEnd w:id="672"/>
      <w:bookmarkEnd w:id="673"/>
      <w:bookmarkEnd w:id="674"/>
      <w:bookmarkEnd w:id="675"/>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76" w:name="_Toc482188592"/>
      <w:bookmarkStart w:id="677" w:name="_Toc492300470"/>
      <w:r>
        <w:rPr>
          <w:rFonts w:hint="default" w:ascii="Times New Roman" w:hAnsi="Times New Roman" w:cs="Times New Roman"/>
          <w:b/>
          <w:bCs/>
          <w:color w:val="auto"/>
          <w:sz w:val="24"/>
          <w:highlight w:val="none"/>
        </w:rPr>
        <w:t>6.1 开始</w:t>
      </w:r>
      <w:bookmarkEnd w:id="676"/>
      <w:r>
        <w:rPr>
          <w:rFonts w:hint="default" w:ascii="Times New Roman" w:hAnsi="Times New Roman" w:cs="Times New Roman"/>
          <w:b/>
          <w:bCs/>
          <w:color w:val="auto"/>
          <w:sz w:val="24"/>
          <w:highlight w:val="none"/>
        </w:rPr>
        <w:t>勘察设计</w:t>
      </w:r>
      <w:bookmarkEnd w:id="67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6.1.1符合专用合同条款约定的开始勘察设计条件的，发包人应提前7</w:t>
      </w:r>
      <w:bookmarkStart w:id="678" w:name="_Toc300835117"/>
      <w:bookmarkStart w:id="679" w:name="_Toc184635108"/>
      <w:bookmarkStart w:id="680" w:name="_Toc247514114"/>
      <w:bookmarkStart w:id="681" w:name="_Toc247527715"/>
      <w:r>
        <w:rPr>
          <w:rFonts w:hint="default" w:ascii="Times New Roman" w:hAnsi="Times New Roman" w:cs="Times New Roman"/>
          <w:bCs/>
          <w:color w:val="auto"/>
          <w:sz w:val="24"/>
          <w:highlight w:val="none"/>
        </w:rPr>
        <w:t>天向设计人发出开始</w:t>
      </w:r>
      <w:bookmarkEnd w:id="678"/>
      <w:bookmarkEnd w:id="679"/>
      <w:bookmarkEnd w:id="680"/>
      <w:bookmarkEnd w:id="681"/>
      <w:r>
        <w:rPr>
          <w:rFonts w:hint="default" w:ascii="Times New Roman" w:hAnsi="Times New Roman" w:cs="Times New Roman"/>
          <w:bCs/>
          <w:color w:val="auto"/>
          <w:sz w:val="24"/>
          <w:highlight w:val="none"/>
        </w:rPr>
        <w:t>勘察设计通知。</w:t>
      </w:r>
      <w:bookmarkStart w:id="682" w:name="_Toc300835118"/>
      <w:bookmarkStart w:id="683" w:name="_Toc247514115"/>
      <w:bookmarkStart w:id="684" w:name="_Toc247527716"/>
      <w:bookmarkStart w:id="685" w:name="_Toc247527718"/>
      <w:bookmarkStart w:id="686" w:name="_Toc300835120"/>
      <w:bookmarkStart w:id="687" w:name="_Toc247514117"/>
      <w:r>
        <w:rPr>
          <w:rFonts w:hint="default" w:ascii="Times New Roman" w:hAnsi="Times New Roman" w:cs="Times New Roman"/>
          <w:bCs/>
          <w:color w:val="auto"/>
          <w:sz w:val="24"/>
          <w:highlight w:val="none"/>
        </w:rPr>
        <w:t>勘察设计服务期限自开始</w:t>
      </w:r>
      <w:bookmarkEnd w:id="682"/>
      <w:bookmarkEnd w:id="683"/>
      <w:bookmarkEnd w:id="684"/>
      <w:r>
        <w:rPr>
          <w:rFonts w:hint="default" w:ascii="Times New Roman" w:hAnsi="Times New Roman" w:cs="Times New Roman"/>
          <w:bCs/>
          <w:color w:val="auto"/>
          <w:sz w:val="24"/>
          <w:highlight w:val="none"/>
        </w:rPr>
        <w:t>勘察设计通知中载明的开始勘察设计日期起计算。勘察设计服务周期安排</w:t>
      </w:r>
      <w:r>
        <w:rPr>
          <w:rFonts w:hint="default" w:ascii="Times New Roman" w:hAnsi="Times New Roman" w:cs="Times New Roman"/>
          <w:color w:val="auto"/>
          <w:kern w:val="0"/>
          <w:sz w:val="24"/>
          <w:highlight w:val="none"/>
        </w:rPr>
        <w:t>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6.1.2除专用合同条款另有约定外，因发包人原因造成合同签订之日起90天内未能发出开始勘察设计通知的，设计人有权提出价格调整要求，或者解除合同。发包人应承担由此增加的费用和（或）周期延误。</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6.1.3 设计人应在接到中标通知书后14天内，针对勘察设计各个阶段工作内容向发包人提交具有可实施性、分项目的勘察设计详细工作大纲及进度计划，以及为完成本计划而建议采用的措施和说明（含电子文件一份），经批准后作为勘察设计合同文件的组成部分，是发包人对勘察设计进行项目管理的依据之一。</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6.1.4 设计人在开展专题研究之前，应针对专题研究的具体内容提交详细的工作大纲（含电子文件一份），报发包人审核后实施，并作为勘察设计合同文件的组成部分。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6.1.5 发包人对设计人勘察设计详细工作大纲及进度计划、专题研究详细工作大纲的审查，并不免除设计人对本项目勘察设计（含专题研究）应承担的责任。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6.1.6 设计人应在每月月底向发包人提供进度报告，说明该月工作进展情况及下月计划安排，并根据发包人要求，参加发包人组织的月度工作例会。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88" w:name="_Toc482188593"/>
      <w:bookmarkStart w:id="689" w:name="_Toc492300471"/>
      <w:r>
        <w:rPr>
          <w:rFonts w:hint="default" w:ascii="Times New Roman" w:hAnsi="Times New Roman" w:cs="Times New Roman"/>
          <w:b/>
          <w:bCs/>
          <w:color w:val="auto"/>
          <w:sz w:val="24"/>
          <w:highlight w:val="none"/>
        </w:rPr>
        <w:t>6.2 发包人引起的周期延误</w:t>
      </w:r>
      <w:bookmarkEnd w:id="688"/>
      <w:bookmarkEnd w:id="68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在履行合同过程中，由于发包人的下列原因造成勘察设计服务期限延误的，发包人应延长勘察设计服务期限并增加勘察设计费用，具体方法在专用合同条款中约定。</w:t>
      </w:r>
      <w:bookmarkEnd w:id="685"/>
      <w:bookmarkEnd w:id="686"/>
      <w:bookmarkEnd w:id="68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（1）合同变更；</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（2）未按合同约定期限及时答复勘察设计事项；</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（3）因发包人原因导致的暂停勘察设计； </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（4）未按合同约定及时支付勘察设计费用；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（5）发包人提供的基准资料错误；</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（6）未及时履行合同约定的相关义务；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（7）未能按照合同约定期限对勘察设计文件进行审查；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（8）发包人造成周期延误的其他原因。</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90" w:name="_Toc492300472"/>
      <w:bookmarkStart w:id="691" w:name="_Toc482188595"/>
      <w:r>
        <w:rPr>
          <w:rFonts w:hint="default" w:ascii="Times New Roman" w:hAnsi="Times New Roman" w:cs="Times New Roman"/>
          <w:b/>
          <w:bCs/>
          <w:color w:val="auto"/>
          <w:sz w:val="24"/>
          <w:highlight w:val="none"/>
        </w:rPr>
        <w:t>6.3 设计人引起的周期延误</w:t>
      </w:r>
      <w:bookmarkEnd w:id="690"/>
      <w:bookmarkEnd w:id="69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由于设计人原因造成周期延误，设计人应支付逾期违约金。逾期违约金的计算方法和最高限额在专用合同条款中约定。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92" w:name="_Toc482188596"/>
      <w:bookmarkStart w:id="693" w:name="_Toc492300473"/>
      <w:bookmarkStart w:id="694" w:name="_Toc474834020"/>
      <w:r>
        <w:rPr>
          <w:rFonts w:hint="default" w:ascii="Times New Roman" w:hAnsi="Times New Roman" w:cs="Times New Roman"/>
          <w:b/>
          <w:bCs/>
          <w:color w:val="auto"/>
          <w:sz w:val="24"/>
          <w:highlight w:val="none"/>
        </w:rPr>
        <w:t>6.4 行政管理部门引起的周期延误</w:t>
      </w:r>
      <w:bookmarkEnd w:id="692"/>
      <w:bookmarkEnd w:id="693"/>
      <w:bookmarkEnd w:id="69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由于行政管理部门审查延迟原因造成费用增加和（或）周期延误的，由发包人承担。</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95" w:name="_Toc482188594"/>
      <w:bookmarkStart w:id="696" w:name="_Toc492300883"/>
      <w:r>
        <w:rPr>
          <w:rFonts w:hint="default" w:ascii="Times New Roman" w:hAnsi="Times New Roman" w:cs="Times New Roman"/>
          <w:b/>
          <w:bCs/>
          <w:color w:val="auto"/>
          <w:sz w:val="24"/>
          <w:highlight w:val="none"/>
        </w:rPr>
        <w:t>6.5 非人为因素引起的周期延误</w:t>
      </w:r>
      <w:bookmarkEnd w:id="695"/>
      <w:bookmarkEnd w:id="69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6.5.1 由于出现专用合同条款规定的异常恶劣气候条件、不利物质条件等因素导致周期延误的，设计人有权要求发包人延长周期和（或）增加费用。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6.5.2 设计人发现地下文物或化石时，应按规定及时报告发包人和文物保护部门，并采取有效措施进行保护；设计人有权要求发包人延长周期和（或）增加费用。</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697" w:name="_Toc482188597"/>
      <w:bookmarkStart w:id="698" w:name="_Toc492300474"/>
      <w:r>
        <w:rPr>
          <w:rFonts w:hint="default" w:ascii="Times New Roman" w:hAnsi="Times New Roman" w:cs="Times New Roman"/>
          <w:b/>
          <w:bCs/>
          <w:color w:val="auto"/>
          <w:sz w:val="24"/>
          <w:highlight w:val="none"/>
        </w:rPr>
        <w:t>6.6 完成</w:t>
      </w:r>
      <w:bookmarkEnd w:id="697"/>
      <w:r>
        <w:rPr>
          <w:rFonts w:hint="default" w:ascii="Times New Roman" w:hAnsi="Times New Roman" w:cs="Times New Roman"/>
          <w:b/>
          <w:bCs/>
          <w:color w:val="auto"/>
          <w:sz w:val="24"/>
          <w:highlight w:val="none"/>
        </w:rPr>
        <w:t>勘察设计</w:t>
      </w:r>
      <w:bookmarkEnd w:id="698"/>
      <w:r>
        <w:rPr>
          <w:rFonts w:hint="default" w:ascii="Times New Roman" w:hAnsi="Times New Roman" w:cs="Times New Roman"/>
          <w:b/>
          <w:bCs/>
          <w:color w:val="auto"/>
          <w:sz w:val="24"/>
          <w:highlight w:val="none"/>
        </w:rPr>
        <w:t xml:space="preserve"> </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6.6.1 设计人完成勘察设计服务之后，应根据法律、规范标准、合同约定和发包人要</w:t>
      </w:r>
      <w:bookmarkStart w:id="699" w:name="_Toc247514153"/>
      <w:bookmarkStart w:id="700" w:name="_Toc184635115"/>
      <w:bookmarkStart w:id="701" w:name="_Toc300835157"/>
      <w:bookmarkStart w:id="702" w:name="_Toc247527754"/>
      <w:r>
        <w:rPr>
          <w:rFonts w:hint="default" w:ascii="Times New Roman" w:hAnsi="Times New Roman" w:cs="Times New Roman"/>
          <w:bCs/>
          <w:color w:val="auto"/>
          <w:sz w:val="24"/>
          <w:highlight w:val="none"/>
        </w:rPr>
        <w:t>求编制勘察设计文件。</w:t>
      </w:r>
      <w:bookmarkEnd w:id="699"/>
      <w:bookmarkEnd w:id="700"/>
      <w:bookmarkEnd w:id="701"/>
      <w:bookmarkEnd w:id="70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6.6</w:t>
      </w:r>
      <w:bookmarkStart w:id="703" w:name="_Toc300835158"/>
      <w:bookmarkStart w:id="704" w:name="_Toc247527755"/>
      <w:bookmarkStart w:id="705" w:name="_Toc247514154"/>
      <w:r>
        <w:rPr>
          <w:rFonts w:hint="default" w:ascii="Times New Roman" w:hAnsi="Times New Roman" w:cs="Times New Roman"/>
          <w:bCs/>
          <w:color w:val="auto"/>
          <w:sz w:val="24"/>
          <w:highlight w:val="none"/>
        </w:rPr>
        <w:t xml:space="preserve">.2 </w:t>
      </w:r>
      <w:bookmarkEnd w:id="703"/>
      <w:r>
        <w:rPr>
          <w:rFonts w:hint="default" w:ascii="Times New Roman" w:hAnsi="Times New Roman" w:cs="Times New Roman"/>
          <w:bCs/>
          <w:color w:val="auto"/>
          <w:sz w:val="24"/>
          <w:highlight w:val="none"/>
        </w:rPr>
        <w:t>勘察设计文件是工程勘察设计的最终成果和施工的重要依据，应根据本工程的勘察设计内容和不同阶段的勘察设计任务、目的和要求等进行编制。勘察设计文件的内容和深度应满足对应阶段的规范要求。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6.6.3 除专用合同条款另有约定外，勘察设计文件包括纸质文件和电子文件两种形式，两者若有不一致时，应以纸质文件为准。纸质文件一式八份，应加盖</w:t>
      </w:r>
      <w:bookmarkEnd w:id="704"/>
      <w:bookmarkEnd w:id="705"/>
      <w:r>
        <w:rPr>
          <w:rFonts w:hint="default" w:ascii="Times New Roman" w:hAnsi="Times New Roman" w:cs="Times New Roman"/>
          <w:bCs/>
          <w:color w:val="auto"/>
          <w:sz w:val="24"/>
          <w:highlight w:val="none"/>
        </w:rPr>
        <w:t>单位章和项目负责人注册执业印章；电子文件中的文字为WORD格式、图形为CAD格式，并应使用光盘和U盘分别贮存。</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06" w:name="_Toc482188598"/>
      <w:bookmarkStart w:id="707" w:name="_Toc492300475"/>
      <w:r>
        <w:rPr>
          <w:rFonts w:hint="default" w:ascii="Times New Roman" w:hAnsi="Times New Roman" w:cs="Times New Roman"/>
          <w:b/>
          <w:bCs/>
          <w:color w:val="auto"/>
          <w:sz w:val="24"/>
          <w:highlight w:val="none"/>
        </w:rPr>
        <w:t>6.7 提前完成</w:t>
      </w:r>
      <w:bookmarkEnd w:id="706"/>
      <w:r>
        <w:rPr>
          <w:rFonts w:hint="default" w:ascii="Times New Roman" w:hAnsi="Times New Roman" w:cs="Times New Roman"/>
          <w:b/>
          <w:bCs/>
          <w:color w:val="auto"/>
          <w:sz w:val="24"/>
          <w:highlight w:val="none"/>
        </w:rPr>
        <w:t>勘察设计</w:t>
      </w:r>
      <w:bookmarkEnd w:id="70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6.7.1 根据发包人要求或者基于专业能力判断，设计人认为能够提前完成勘察设计的，可向发包人递交一份提前完成勘察设计建议书，包括实施方案、提前时间、勘察设计费用变动等内容。除专用合同条款另有约定之外，发包人接受建议书的，不因提前完成勘察设计而减少勘察设计费用；增加勘察设计费用的，所增费用由发包人承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6.7.2 发包人要求提前完成勘察设计但设计人认为无法实施的，应在收到发包人书面指示后7天内提出异议，说明不能提前完成的理由。发包人应在收到异议后7天内予以答复。任何情况下，发包人不得压缩合理的勘察设计服务期限。</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6.7.3 由于设计人提前完成勘察设计而给发包人带来经济效益的，发包人可以在专用合同条款中约定设计人因此获得的奖励内容。</w:t>
      </w:r>
    </w:p>
    <w:p>
      <w:pPr>
        <w:pStyle w:val="2"/>
        <w:pageBreakBefore w:val="0"/>
        <w:kinsoku/>
        <w:wordWrap w:val="0"/>
        <w:overflowPunct/>
        <w:bidi w:val="0"/>
        <w:spacing w:before="240" w:after="240" w:line="240" w:lineRule="atLeast"/>
        <w:rPr>
          <w:rFonts w:hint="default" w:ascii="Times New Roman" w:hAnsi="Times New Roman" w:eastAsia="黑体" w:cs="Times New Roman"/>
          <w:color w:val="auto"/>
          <w:sz w:val="28"/>
          <w:szCs w:val="28"/>
          <w:highlight w:val="none"/>
        </w:rPr>
      </w:pPr>
      <w:bookmarkStart w:id="708" w:name="_Toc482188599"/>
      <w:bookmarkStart w:id="709" w:name="_Toc28848"/>
      <w:bookmarkStart w:id="710" w:name="_Toc898"/>
      <w:bookmarkStart w:id="711" w:name="_Toc27448"/>
      <w:bookmarkStart w:id="712" w:name="_Toc492300476"/>
      <w:r>
        <w:rPr>
          <w:rFonts w:hint="default" w:ascii="Times New Roman" w:hAnsi="Times New Roman" w:cs="Times New Roman"/>
          <w:color w:val="auto"/>
          <w:sz w:val="28"/>
          <w:szCs w:val="28"/>
          <w:highlight w:val="none"/>
        </w:rPr>
        <w:t xml:space="preserve">7. </w:t>
      </w:r>
      <w:r>
        <w:rPr>
          <w:rFonts w:hint="default" w:ascii="Times New Roman" w:hAnsi="Times New Roman" w:eastAsia="黑体" w:cs="Times New Roman"/>
          <w:color w:val="auto"/>
          <w:sz w:val="28"/>
          <w:szCs w:val="28"/>
          <w:highlight w:val="none"/>
        </w:rPr>
        <w:t>暂停</w:t>
      </w:r>
      <w:bookmarkEnd w:id="708"/>
      <w:r>
        <w:rPr>
          <w:rFonts w:hint="default" w:ascii="Times New Roman" w:hAnsi="Times New Roman" w:eastAsia="黑体" w:cs="Times New Roman"/>
          <w:color w:val="auto"/>
          <w:sz w:val="28"/>
          <w:szCs w:val="28"/>
          <w:highlight w:val="none"/>
        </w:rPr>
        <w:t>勘察设计</w:t>
      </w:r>
      <w:bookmarkEnd w:id="709"/>
      <w:bookmarkEnd w:id="710"/>
      <w:bookmarkEnd w:id="711"/>
      <w:bookmarkEnd w:id="712"/>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13" w:name="_Toc467651003"/>
      <w:bookmarkStart w:id="714" w:name="_Toc482188600"/>
      <w:bookmarkStart w:id="715" w:name="_Toc492300477"/>
      <w:r>
        <w:rPr>
          <w:rFonts w:hint="default" w:ascii="Times New Roman" w:hAnsi="Times New Roman" w:cs="Times New Roman"/>
          <w:b/>
          <w:bCs/>
          <w:color w:val="auto"/>
          <w:sz w:val="24"/>
          <w:highlight w:val="none"/>
        </w:rPr>
        <w:t xml:space="preserve">7.1 </w:t>
      </w:r>
      <w:bookmarkEnd w:id="713"/>
      <w:r>
        <w:rPr>
          <w:rFonts w:hint="default" w:ascii="Times New Roman" w:hAnsi="Times New Roman" w:cs="Times New Roman"/>
          <w:b/>
          <w:bCs/>
          <w:color w:val="auto"/>
          <w:sz w:val="24"/>
          <w:highlight w:val="none"/>
        </w:rPr>
        <w:t>发包人原因暂停</w:t>
      </w:r>
      <w:bookmarkEnd w:id="714"/>
      <w:r>
        <w:rPr>
          <w:rFonts w:hint="default" w:ascii="Times New Roman" w:hAnsi="Times New Roman" w:cs="Times New Roman"/>
          <w:b/>
          <w:bCs/>
          <w:color w:val="auto"/>
          <w:sz w:val="24"/>
          <w:highlight w:val="none"/>
        </w:rPr>
        <w:t>勘察设计</w:t>
      </w:r>
      <w:bookmarkEnd w:id="71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同履行中发生下列情形之一的，设计人可向发包人发出通知，要求发包人采取有效措施予以纠正。发包人收到设计人通知后的28天内仍不履行合同义务时，设计人有权暂停勘察设计并通知发包人；发包人应承担由此导致的费用增加和（或）周期延误。</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（1）发包人违约；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（2）发包人确定暂停勘察设计；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（3）合同约定由发包人承担责任的其他情形。</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16" w:name="_Toc467651004"/>
      <w:bookmarkStart w:id="717" w:name="_Toc482188601"/>
      <w:bookmarkStart w:id="718" w:name="_Toc492300478"/>
      <w:r>
        <w:rPr>
          <w:rFonts w:hint="default" w:ascii="Times New Roman" w:hAnsi="Times New Roman" w:cs="Times New Roman"/>
          <w:b/>
          <w:bCs/>
          <w:color w:val="auto"/>
          <w:sz w:val="24"/>
          <w:highlight w:val="none"/>
        </w:rPr>
        <w:t>7.2 设计人原因暂停</w:t>
      </w:r>
      <w:bookmarkEnd w:id="716"/>
      <w:bookmarkEnd w:id="717"/>
      <w:r>
        <w:rPr>
          <w:rFonts w:hint="default" w:ascii="Times New Roman" w:hAnsi="Times New Roman" w:cs="Times New Roman"/>
          <w:b/>
          <w:bCs/>
          <w:color w:val="auto"/>
          <w:sz w:val="24"/>
          <w:highlight w:val="none"/>
        </w:rPr>
        <w:t>勘察设计</w:t>
      </w:r>
      <w:bookmarkEnd w:id="71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合同履行中发生下列情形之一的，发包人可向设计人发出通知暂停勘察设计，由此造成费用的增加和（或）周期延误由设计人承担：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（1）设计人违约；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（2）设计人擅自暂停勘察设计；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（3）合同约定由设计人承担责任的其他情形。</w:t>
      </w:r>
      <w:bookmarkStart w:id="719" w:name="_Toc247527728"/>
      <w:bookmarkStart w:id="720" w:name="_Toc184635110"/>
      <w:bookmarkStart w:id="721" w:name="_Toc247514127"/>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22" w:name="_Toc482188602"/>
      <w:bookmarkStart w:id="723" w:name="_Toc492300479"/>
      <w:r>
        <w:rPr>
          <w:rFonts w:hint="default" w:ascii="Times New Roman" w:hAnsi="Times New Roman" w:cs="Times New Roman"/>
          <w:b/>
          <w:bCs/>
          <w:color w:val="auto"/>
          <w:sz w:val="24"/>
          <w:highlight w:val="none"/>
        </w:rPr>
        <w:t>7.3 暂停期间的文件照管</w:t>
      </w:r>
      <w:bookmarkEnd w:id="722"/>
      <w:bookmarkEnd w:id="723"/>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不论由于何种原因引起暂停勘察设计的，暂停期间设计人应负责妥善保护已完部分的勘察设计文件，由此</w:t>
      </w:r>
      <w:bookmarkStart w:id="724" w:name="_Toc300835128"/>
      <w:r>
        <w:rPr>
          <w:rFonts w:hint="default" w:ascii="Times New Roman" w:hAnsi="Times New Roman" w:cs="Times New Roman"/>
          <w:bCs/>
          <w:color w:val="auto"/>
          <w:sz w:val="24"/>
          <w:highlight w:val="none"/>
        </w:rPr>
        <w:t>增加的费用由责任方承担。</w:t>
      </w:r>
    </w:p>
    <w:bookmarkEnd w:id="724"/>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725" w:name="_Toc12649"/>
      <w:bookmarkStart w:id="726" w:name="_Toc482188603"/>
      <w:bookmarkStart w:id="727" w:name="_Toc365"/>
      <w:bookmarkStart w:id="728" w:name="_Toc18614"/>
      <w:bookmarkStart w:id="729" w:name="_Toc492300480"/>
      <w:r>
        <w:rPr>
          <w:rFonts w:hint="default" w:ascii="Times New Roman" w:hAnsi="Times New Roman" w:cs="Times New Roman"/>
          <w:color w:val="auto"/>
          <w:sz w:val="28"/>
          <w:szCs w:val="28"/>
          <w:highlight w:val="none"/>
        </w:rPr>
        <w:t xml:space="preserve">8. </w:t>
      </w:r>
      <w:r>
        <w:rPr>
          <w:rFonts w:hint="default" w:ascii="Times New Roman" w:hAnsi="Times New Roman" w:eastAsia="黑体" w:cs="Times New Roman"/>
          <w:color w:val="auto"/>
          <w:sz w:val="28"/>
          <w:szCs w:val="28"/>
          <w:highlight w:val="none"/>
        </w:rPr>
        <w:t>勘察设计文件</w:t>
      </w:r>
      <w:bookmarkEnd w:id="725"/>
      <w:bookmarkEnd w:id="726"/>
      <w:bookmarkEnd w:id="727"/>
      <w:bookmarkEnd w:id="728"/>
      <w:bookmarkEnd w:id="72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30" w:name="_Toc492300481"/>
      <w:bookmarkStart w:id="731" w:name="_Toc482188604"/>
      <w:r>
        <w:rPr>
          <w:rFonts w:hint="default" w:ascii="Times New Roman" w:hAnsi="Times New Roman" w:cs="Times New Roman"/>
          <w:b/>
          <w:bCs/>
          <w:color w:val="auto"/>
          <w:sz w:val="24"/>
          <w:highlight w:val="none"/>
        </w:rPr>
        <w:t>8.1 勘察设计文件接收</w:t>
      </w:r>
      <w:bookmarkEnd w:id="730"/>
      <w:bookmarkEnd w:id="73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8.1.1 发包人应及时接收设计人提交的勘察设计文件。如无正当理由拒收的，视为发包人已经接收勘察设计文件。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8.1.2 发包人接收勘察设计文件时，应向设计人出具文件签收凭证，凭证内容包括文件名称、文件内容、文件形式、份数、提交和接收日期、提交人与接收人的亲笔签名等。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bookmarkStart w:id="732" w:name="_Toc482188605"/>
      <w:r>
        <w:rPr>
          <w:rFonts w:hint="default" w:ascii="Times New Roman" w:hAnsi="Times New Roman" w:cs="Times New Roman"/>
          <w:bCs/>
          <w:color w:val="auto"/>
          <w:sz w:val="24"/>
          <w:highlight w:val="none"/>
        </w:rPr>
        <w:t>8.1.3 勘察设计文件提交的份数、内容、纸幅、装订格式、电子文件、展板、模型、沙盘、动画等要求，在专用合同条款中约定。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33" w:name="_Toc492300482"/>
      <w:r>
        <w:rPr>
          <w:rFonts w:hint="default" w:ascii="Times New Roman" w:hAnsi="Times New Roman" w:cs="Times New Roman"/>
          <w:b/>
          <w:bCs/>
          <w:color w:val="auto"/>
          <w:sz w:val="24"/>
          <w:highlight w:val="none"/>
        </w:rPr>
        <w:t>8.2 发包人审查勘察设计文件</w:t>
      </w:r>
      <w:bookmarkEnd w:id="732"/>
      <w:bookmarkEnd w:id="733"/>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8.2.1 发包人接收勘察设计文件之后，可以自行或者组织专家会进行审查，设计人应给予配合。审查标准应符合法律、规范标准、合同约定和发包人要求等；审查的具体范围、明细内容和费用分担原则，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8.2.2 除专用合同条款另有约定外，发包人对于勘察设计文件的审查期限，自文件接收之日起不应超过14天。发包人逾期未作出审查结论且未提出异议的，视为设计人的勘察设计文件已经通过发包人审查。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8.2.3 发包人审查后不同意勘察设计文件的，应以书面形式通知设计人，说明审查不通过的理由及其具体内容。设计人应根据发包人的审查意见修改完善勘察设计文件，并重新报送发包人审查，审查期限重新起算。</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34" w:name="_Toc482188606"/>
      <w:bookmarkStart w:id="735" w:name="_Toc492300483"/>
      <w:r>
        <w:rPr>
          <w:rFonts w:hint="default" w:ascii="Times New Roman" w:hAnsi="Times New Roman" w:cs="Times New Roman"/>
          <w:b/>
          <w:bCs/>
          <w:color w:val="auto"/>
          <w:sz w:val="24"/>
          <w:highlight w:val="none"/>
        </w:rPr>
        <w:t>8.3 审查机构审查勘察设计文件</w:t>
      </w:r>
      <w:bookmarkEnd w:id="734"/>
      <w:bookmarkEnd w:id="73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8.3.1 勘察设计文件需经政府有关部门审查或批准的，发包人应在审查同意后，按照有关主管部门要求，将勘察设计文件和相关资料报送审查机构进行审查。发包人的审查和审查机构的审查不减免设计人因为质量问题而应承担的勘察设计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8.3.2 对于审查机构的审查意见，如不需要修改发包人要求的，应由设计人按照审查意见修改完善勘察设计文件；如需修改发包人要求的，则由发包人重新修改和提出发包人要求，再由设计人根据新的发包人要求修改完善勘察设计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8.3.3 由于自身原因造成勘察设计文件未通过审查机构审查的，设计人应承担违约责任，采取补救措施直至达到合同约定的质量标准，并自行承担由此导致的费用增加和（或）周期延误。</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736" w:name="_Toc11365"/>
      <w:bookmarkStart w:id="737" w:name="_Toc482188607"/>
      <w:bookmarkStart w:id="738" w:name="_Toc492300484"/>
      <w:bookmarkStart w:id="739" w:name="_Toc23910"/>
      <w:bookmarkStart w:id="740" w:name="_Toc10190"/>
      <w:r>
        <w:rPr>
          <w:rFonts w:hint="default" w:ascii="Times New Roman" w:hAnsi="Times New Roman" w:cs="Times New Roman"/>
          <w:color w:val="auto"/>
          <w:sz w:val="28"/>
          <w:szCs w:val="28"/>
          <w:highlight w:val="none"/>
        </w:rPr>
        <w:t xml:space="preserve">9. </w:t>
      </w:r>
      <w:r>
        <w:rPr>
          <w:rFonts w:hint="default" w:ascii="Times New Roman" w:hAnsi="Times New Roman" w:eastAsia="黑体" w:cs="Times New Roman"/>
          <w:color w:val="auto"/>
          <w:sz w:val="28"/>
          <w:szCs w:val="28"/>
          <w:highlight w:val="none"/>
        </w:rPr>
        <w:t>勘察设计责任与保险</w:t>
      </w:r>
      <w:bookmarkEnd w:id="736"/>
      <w:bookmarkEnd w:id="737"/>
      <w:bookmarkEnd w:id="738"/>
      <w:bookmarkEnd w:id="739"/>
      <w:bookmarkEnd w:id="740"/>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41" w:name="_Toc482188608"/>
      <w:bookmarkStart w:id="742" w:name="_Toc492300485"/>
      <w:r>
        <w:rPr>
          <w:rFonts w:hint="default" w:ascii="Times New Roman" w:hAnsi="Times New Roman" w:cs="Times New Roman"/>
          <w:b/>
          <w:bCs/>
          <w:color w:val="auto"/>
          <w:sz w:val="24"/>
          <w:highlight w:val="none"/>
        </w:rPr>
        <w:t>9.1 工作质量责任</w:t>
      </w:r>
      <w:bookmarkEnd w:id="741"/>
      <w:bookmarkEnd w:id="742"/>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9.1.1 勘察设计工作质量应满足法律规定、规范标准、合同约定和发包人要求等。</w:t>
      </w:r>
      <w:bookmarkEnd w:id="719"/>
      <w:bookmarkEnd w:id="720"/>
      <w:bookmarkEnd w:id="72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9.1.2 设计人应做好勘察设计服务的质量与技术管理工作，建立健全内部质量</w:t>
      </w:r>
      <w:bookmarkStart w:id="743" w:name="_Toc300835131"/>
      <w:r>
        <w:rPr>
          <w:rFonts w:hint="default" w:ascii="Times New Roman" w:hAnsi="Times New Roman" w:cs="Times New Roman"/>
          <w:bCs/>
          <w:color w:val="auto"/>
          <w:sz w:val="24"/>
          <w:highlight w:val="none"/>
        </w:rPr>
        <w:t>管理体系和质量责</w:t>
      </w:r>
      <w:bookmarkEnd w:id="743"/>
      <w:r>
        <w:rPr>
          <w:rFonts w:hint="default" w:ascii="Times New Roman" w:hAnsi="Times New Roman" w:cs="Times New Roman"/>
          <w:bCs/>
          <w:color w:val="auto"/>
          <w:sz w:val="24"/>
          <w:highlight w:val="none"/>
        </w:rPr>
        <w:t>任</w:t>
      </w:r>
      <w:bookmarkStart w:id="744" w:name="_Toc247514128"/>
      <w:bookmarkStart w:id="745" w:name="_Toc300835132"/>
      <w:bookmarkStart w:id="746" w:name="_Toc247527729"/>
      <w:r>
        <w:rPr>
          <w:rFonts w:hint="default" w:ascii="Times New Roman" w:hAnsi="Times New Roman" w:cs="Times New Roman"/>
          <w:bCs/>
          <w:color w:val="auto"/>
          <w:sz w:val="24"/>
          <w:highlight w:val="none"/>
        </w:rPr>
        <w:t>制度，加强勘察设计服务全过程的质量控制，建立完整的勘察设计文件的设计、复核、审核、会签和批准制度，明确各阶段的责任人。</w:t>
      </w:r>
      <w:bookmarkEnd w:id="744"/>
      <w:bookmarkEnd w:id="745"/>
      <w:bookmarkEnd w:id="74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9.1.3 设计人应强化现场作业质量和试验工作管理，保证原始记录和试验数据的可靠性、真实性和完整性，严禁离开现场进行追记、补记和修改记录。</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9.1.4 设计人应按合同约定对勘察设计服务进行全过程的质量检查和检验，并作详细记录，编制勘察设计工作质量报表</w:t>
      </w:r>
      <w:bookmarkStart w:id="747" w:name="_Toc300835133"/>
      <w:bookmarkStart w:id="748" w:name="_Toc247514130"/>
      <w:bookmarkStart w:id="749" w:name="_Toc247527731"/>
      <w:r>
        <w:rPr>
          <w:rFonts w:hint="default" w:ascii="Times New Roman" w:hAnsi="Times New Roman" w:cs="Times New Roman"/>
          <w:bCs/>
          <w:color w:val="auto"/>
          <w:sz w:val="24"/>
          <w:highlight w:val="none"/>
        </w:rPr>
        <w:t>，报送发包人审查。</w:t>
      </w:r>
    </w:p>
    <w:bookmarkEnd w:id="747"/>
    <w:bookmarkEnd w:id="748"/>
    <w:bookmarkEnd w:id="749"/>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9.1.5 发包人有权对勘察设计工作质量进行检查和审核。设计人应为发包人的检查和检验提供方便，包括发包人到</w:t>
      </w:r>
      <w:bookmarkStart w:id="750" w:name="_Toc247514131"/>
      <w:bookmarkStart w:id="751" w:name="_Toc300835134"/>
      <w:bookmarkStart w:id="752" w:name="_Toc247527732"/>
      <w:r>
        <w:rPr>
          <w:rFonts w:hint="default" w:ascii="Times New Roman" w:hAnsi="Times New Roman" w:cs="Times New Roman"/>
          <w:bCs/>
          <w:color w:val="auto"/>
          <w:sz w:val="24"/>
          <w:highlight w:val="none"/>
        </w:rPr>
        <w:t>勘察设计场地、试验室或合同约定</w:t>
      </w:r>
      <w:bookmarkEnd w:id="750"/>
      <w:bookmarkEnd w:id="751"/>
      <w:bookmarkEnd w:id="752"/>
      <w:r>
        <w:rPr>
          <w:rFonts w:hint="default" w:ascii="Times New Roman" w:hAnsi="Times New Roman" w:cs="Times New Roman"/>
          <w:bCs/>
          <w:color w:val="auto"/>
          <w:sz w:val="24"/>
          <w:highlight w:val="none"/>
        </w:rPr>
        <w:t>的其他地方进行察看，查阅、审核勘察设计的原始记录和其他文件。发包人的检查和审核，不免除设计人按合同约定应负的责任。</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53" w:name="_Toc482188609"/>
      <w:bookmarkStart w:id="754" w:name="_Toc492300486"/>
      <w:r>
        <w:rPr>
          <w:rFonts w:hint="default" w:ascii="Times New Roman" w:hAnsi="Times New Roman" w:cs="Times New Roman"/>
          <w:b/>
          <w:bCs/>
          <w:color w:val="auto"/>
          <w:sz w:val="24"/>
          <w:highlight w:val="none"/>
        </w:rPr>
        <w:t>9.2 勘察设计文件错误责任</w:t>
      </w:r>
      <w:bookmarkEnd w:id="753"/>
      <w:bookmarkEnd w:id="75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9.2.1 勘察设计文件存在错误、遗漏、含混、矛盾、不充分之处或其他缺陷，无论设计人是否通过了发包人审查或</w:t>
      </w:r>
      <w:bookmarkStart w:id="755" w:name="_Toc247527686"/>
      <w:bookmarkStart w:id="756" w:name="_Toc247514085"/>
      <w:bookmarkStart w:id="757" w:name="_Toc300835084"/>
      <w:r>
        <w:rPr>
          <w:rFonts w:hint="default" w:ascii="Times New Roman" w:hAnsi="Times New Roman" w:cs="Times New Roman"/>
          <w:bCs/>
          <w:color w:val="auto"/>
          <w:sz w:val="24"/>
          <w:highlight w:val="none"/>
        </w:rPr>
        <w:t>审查机构审查，设计人均</w:t>
      </w:r>
      <w:bookmarkEnd w:id="755"/>
      <w:bookmarkEnd w:id="756"/>
      <w:bookmarkEnd w:id="757"/>
      <w:r>
        <w:rPr>
          <w:rFonts w:hint="default" w:ascii="Times New Roman" w:hAnsi="Times New Roman" w:cs="Times New Roman"/>
          <w:bCs/>
          <w:color w:val="auto"/>
          <w:sz w:val="24"/>
          <w:highlight w:val="none"/>
        </w:rPr>
        <w:t>应自费对前述问题带来的缺陷和工程问题进行改正，但因第1.6.2项约定由发包人提供的文件错误导致的除外。</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9.2.2 因设计人原因造成勘察设计文件不合格的，发包人有权要求设计人采取补救措施，直至达到合同要求的质量标准，并按第14.1款的约定承担责任。 </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9.2.3 因发包人原因造成勘察设计文件不合格的，设计人应当采取补救措施，直至达到合同要求的质量标准，由此造成的勘察设计费用增加和（或）勘察设计服务期限延误由发包人承担。</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58" w:name="_Toc482188610"/>
      <w:bookmarkStart w:id="759" w:name="_Toc492300487"/>
      <w:r>
        <w:rPr>
          <w:rFonts w:hint="default" w:ascii="Times New Roman" w:hAnsi="Times New Roman" w:cs="Times New Roman"/>
          <w:b/>
          <w:bCs/>
          <w:color w:val="auto"/>
          <w:sz w:val="24"/>
          <w:highlight w:val="none"/>
        </w:rPr>
        <w:t>9.3 勘察设计责任主体</w:t>
      </w:r>
      <w:bookmarkEnd w:id="758"/>
      <w:bookmarkEnd w:id="75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9.3.1 设计人应运用一切合理的专业技术、知识技能和项目经验，按照职业道德准则和行业公认标准尽其全部职责，勤勉、谨慎、公正地履行其在本合同项下的责任和义务。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9.3.2 本工程施行质量责任终身制。设计人应书面明确相应的项目负责人和质量负责人。设计人的相关人员按照国家法律法规和有关规定在工程合理使用年限内承担相应的质量责任。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9.3.3 设计人应按照相关规定，做好设计交底、设计变更和后续服务工作，保障设计意图在施工中得以贯彻落实，及时处理施工中与设计相关的质量技术问题。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9.3.4 本工程交工验收前，设计人应对工程建设内容是否满足设计要求、是否达到使用功能等方面进行综合检查和分析评价，向发包人出具工程设计符合性评价意见。</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9.3.5 设计人应依法规范分包行为，并对承担的工程质量负总责，分包单位对分包合同范围内的工程质量负责。</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60" w:name="_Toc492300488"/>
      <w:bookmarkStart w:id="761" w:name="_Toc482188611"/>
      <w:r>
        <w:rPr>
          <w:rFonts w:hint="default" w:ascii="Times New Roman" w:hAnsi="Times New Roman" w:cs="Times New Roman"/>
          <w:b/>
          <w:bCs/>
          <w:color w:val="auto"/>
          <w:sz w:val="24"/>
          <w:highlight w:val="none"/>
        </w:rPr>
        <w:t>9.4 勘察设计责任保险</w:t>
      </w:r>
      <w:bookmarkEnd w:id="760"/>
      <w:bookmarkEnd w:id="76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9.4.1 除专用合同条款另有约定外，设计人应具有发包人认可的、履行本合同所需要的工程勘察设计责任险，于合同签订后28天内向发包人提交工程勘察设计责任险的保险单副本或者其他有效证明，并在合同履行期间保持足额、有效。</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9.4.2 工程勘察设计责任险的保险范围，应当包括由于设计人的疏忽或过失而造成的工程质量事故损失，以及由于事故引发的第三者人身伤亡、财产损失或费用赔偿等。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9.4.3 发生工程勘察设计保险事故后，设计人应按保险人要求进行报告，并负责办理保险理赔业务；保险金不足以补偿损失的，由设计人自行补偿。</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762" w:name="_Toc1534"/>
      <w:bookmarkStart w:id="763" w:name="_Toc20870"/>
      <w:bookmarkStart w:id="764" w:name="_Toc492300489"/>
      <w:bookmarkStart w:id="765" w:name="_Toc1319"/>
      <w:bookmarkStart w:id="766" w:name="_Toc482188612"/>
      <w:r>
        <w:rPr>
          <w:rFonts w:hint="default" w:ascii="Times New Roman" w:hAnsi="Times New Roman" w:cs="Times New Roman"/>
          <w:color w:val="auto"/>
          <w:sz w:val="28"/>
          <w:szCs w:val="28"/>
          <w:highlight w:val="none"/>
        </w:rPr>
        <w:t xml:space="preserve">10. </w:t>
      </w:r>
      <w:r>
        <w:rPr>
          <w:rFonts w:hint="default" w:ascii="Times New Roman" w:hAnsi="Times New Roman" w:eastAsia="黑体" w:cs="Times New Roman"/>
          <w:color w:val="auto"/>
          <w:sz w:val="28"/>
          <w:szCs w:val="28"/>
          <w:highlight w:val="none"/>
        </w:rPr>
        <w:t>招标和施工期间配合</w:t>
      </w:r>
      <w:bookmarkEnd w:id="762"/>
      <w:bookmarkEnd w:id="763"/>
      <w:bookmarkEnd w:id="764"/>
      <w:bookmarkEnd w:id="765"/>
      <w:bookmarkEnd w:id="766"/>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10.1 招标期间配合</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10.1.1 招标配合指设计人配合发包人进行各项招标工作。</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10.1.2 招标人应按发包人规定的时间提供各标段的施工招标图纸、工程量清单和参考资料；按发包人要求安排相关人员参加标前会，就有关设计问题进行答疑。</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10.2 施工期间配合</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10.2.1 施工配合指设计人配合施工承包人，在施工期间提供的补充勘察、设计服务或其他配合工作，直至</w:t>
      </w:r>
      <w:bookmarkStart w:id="767" w:name="_Toc59900921"/>
      <w:bookmarkStart w:id="768" w:name="_Toc14102103"/>
      <w:bookmarkStart w:id="769" w:name="_Toc55639358"/>
      <w:bookmarkStart w:id="770" w:name="_Toc56141845"/>
      <w:bookmarkStart w:id="771" w:name="_Toc54330945"/>
      <w:bookmarkStart w:id="772" w:name="_Toc54372036"/>
      <w:bookmarkStart w:id="773" w:name="_Toc53290167"/>
      <w:bookmarkStart w:id="774" w:name="_Toc54372202"/>
      <w:bookmarkStart w:id="775" w:name="_Toc25930149"/>
      <w:bookmarkStart w:id="776" w:name="_Toc26108575"/>
      <w:bookmarkStart w:id="777" w:name="_Toc54368851"/>
      <w:bookmarkStart w:id="778" w:name="_Toc55705121"/>
      <w:bookmarkStart w:id="779" w:name="_Toc56153807"/>
      <w:bookmarkStart w:id="780" w:name="_Toc55654493"/>
      <w:bookmarkStart w:id="781" w:name="_Toc56409060"/>
      <w:bookmarkStart w:id="782" w:name="_Toc54372620"/>
      <w:bookmarkStart w:id="783" w:name="_Toc402386799"/>
      <w:bookmarkStart w:id="784" w:name="_Toc56139035"/>
      <w:bookmarkStart w:id="785" w:name="_Toc55707626"/>
      <w:bookmarkStart w:id="786" w:name="_Toc54329116"/>
      <w:bookmarkStart w:id="787" w:name="_Toc59896653"/>
      <w:r>
        <w:rPr>
          <w:rFonts w:hint="default" w:ascii="Times New Roman" w:hAnsi="Times New Roman" w:cs="Times New Roman"/>
          <w:bCs/>
          <w:color w:val="auto"/>
          <w:sz w:val="24"/>
          <w:highlight w:val="none"/>
        </w:rPr>
        <w:t>工程通过</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Fonts w:hint="default" w:ascii="Times New Roman" w:hAnsi="Times New Roman" w:cs="Times New Roman"/>
          <w:bCs/>
          <w:color w:val="auto"/>
          <w:sz w:val="24"/>
          <w:highlight w:val="none"/>
        </w:rPr>
        <w:t>竣工验收为止。</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10.2.2 除专用合同条款另有约定外，发包人应为设计人派赴施工现场的工作人员，在施工期间提供办公房间、办公桌椅、互联网接口、冷暖设施、生活设施、进出现场交通服务和其他便利条件。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10.2.3设计人应在本工程的施工期间，积极提供勘察设计配合服务，包括并不限于设计技术交底、施工现场服务、参与施工过程验收、参与工程交工验收、参与工程竣工验收等工作。</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10.2.4 发包人应当组织设计技术交底会，由设计人向发包人、监理人和施工承包人等进行设计交底，对本工程的设计意图、设计文件和施工要求等进行系统的说明和解释。</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10.2.5 工程施工完毕后，发包人应当按有关规定组织工程交工验收和工程竣工验收，设计人参加验收并出具本单位的验收结论。如因勘察设计原因致使工程不合格的，设计人应当承担违约责任，免费修改勘察设计文件和赔偿发包人由此产生的经济损失。</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10.2.6 设计人应在施工现场设立代表处或派驻经验丰富的设计代表常驻施工现场，做好施工现场服务，并负责解决施工过程中出现的设计问题：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（1）开工前在发包人指定的时间内，做好设计文件的技术交底工作和现场控制点的交接工作（交桩）；</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（2）在发包人规定的时间内，及时处理与解决施工中与设计有关的问题；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（3）在发包人规定的时间内，积极配合发包人对施工及设计方案进行优化设计；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（4）参与工程质量事故分析，并对因设计造成的质量事故，提出相应的技术处理方案；</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（5）参加本工程的交工、竣工验收，提交设计工作报告，并配合质量监督部门校核工程是否按施工图设计施工。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发包人对设计代表的数量和资历条件有特定要求的，在专用合同条款中约定。设计人应按发包人提出的要求派驻设计代表，否则按违约处理。</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若发包人在工作中发现设计代表不称职或有违法行为时，有权提出更换，设计人应在发包人提出更换通知的7天内完成更换工作并使发包人满意。</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10.2.7 </w:t>
      </w:r>
      <w:r>
        <w:rPr>
          <w:rFonts w:hint="default" w:ascii="Times New Roman" w:hAnsi="Times New Roman" w:cs="Times New Roman"/>
          <w:color w:val="auto"/>
          <w:sz w:val="24"/>
          <w:highlight w:val="none"/>
        </w:rPr>
        <w:t>本项目设计变更的勘察设计由设计人承担，设计人应及时完成勘察设计，提交设计变更文件，并对设计变更文件承担相应责任。除本合同第11条规定之外的设计变更，其勘察设计费用应视为已含入合同价格中，发包人不再另行支付。所有设计变更必须提供预算金额并由设计代表签字确认。</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788" w:name="_Toc3939"/>
      <w:bookmarkStart w:id="789" w:name="_Toc492300490"/>
      <w:bookmarkStart w:id="790" w:name="_Toc4727"/>
      <w:bookmarkStart w:id="791" w:name="_Toc482188615"/>
      <w:bookmarkStart w:id="792" w:name="_Toc26665"/>
      <w:r>
        <w:rPr>
          <w:rFonts w:hint="default" w:ascii="Times New Roman" w:hAnsi="Times New Roman" w:cs="Times New Roman"/>
          <w:color w:val="auto"/>
          <w:sz w:val="28"/>
          <w:szCs w:val="28"/>
          <w:highlight w:val="none"/>
        </w:rPr>
        <w:t xml:space="preserve">11. </w:t>
      </w:r>
      <w:r>
        <w:rPr>
          <w:rFonts w:hint="default" w:ascii="Times New Roman" w:hAnsi="Times New Roman" w:eastAsia="黑体" w:cs="Times New Roman"/>
          <w:color w:val="auto"/>
          <w:sz w:val="28"/>
          <w:szCs w:val="28"/>
          <w:highlight w:val="none"/>
        </w:rPr>
        <w:t>合同变更</w:t>
      </w:r>
      <w:bookmarkEnd w:id="788"/>
      <w:bookmarkEnd w:id="789"/>
      <w:bookmarkEnd w:id="790"/>
      <w:bookmarkEnd w:id="791"/>
      <w:bookmarkEnd w:id="792"/>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93" w:name="_Toc492300491"/>
      <w:bookmarkStart w:id="794" w:name="_Toc482188616"/>
      <w:bookmarkStart w:id="795" w:name="_Toc467651025"/>
      <w:r>
        <w:rPr>
          <w:rFonts w:hint="default" w:ascii="Times New Roman" w:hAnsi="Times New Roman" w:cs="Times New Roman"/>
          <w:b/>
          <w:bCs/>
          <w:color w:val="auto"/>
          <w:sz w:val="24"/>
          <w:highlight w:val="none"/>
        </w:rPr>
        <w:t>11.1 变更情形</w:t>
      </w:r>
      <w:bookmarkEnd w:id="793"/>
      <w:bookmarkEnd w:id="794"/>
      <w:bookmarkEnd w:id="79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11.1.1 合同履行中发生下述情形时，合同一方均可向对方提出变更请求，经双方协商一致后进行变更，勘察设计服务期限和勘察设计费用的调整方法在专用合同条款中约定。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（1）勘察设计范围发生变化；</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（2）除不可抗力外，非设计人的原因引起的周期延误；</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（3）非设计人的原因，对工程同一部分重复进行勘察设计；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（4）非设计人的原因，对工程暂停勘察设计及恢复勘察设计。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11.1.2 基准日后，因颁布新的或修订原有法律、法规、规范和标准等引发合同变更情形的，按照上述约定进行调整。</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796" w:name="_Toc482188617"/>
      <w:bookmarkStart w:id="797" w:name="_Toc492300492"/>
      <w:bookmarkStart w:id="798" w:name="_Toc467651026"/>
      <w:r>
        <w:rPr>
          <w:rFonts w:hint="default" w:ascii="Times New Roman" w:hAnsi="Times New Roman" w:cs="Times New Roman"/>
          <w:b/>
          <w:bCs/>
          <w:color w:val="auto"/>
          <w:sz w:val="24"/>
          <w:highlight w:val="none"/>
        </w:rPr>
        <w:t>11.2 合理化建议</w:t>
      </w:r>
      <w:bookmarkEnd w:id="796"/>
      <w:bookmarkEnd w:id="797"/>
      <w:bookmarkEnd w:id="79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11.2.1 合同履行中，设计人可对发包人要求提出合理化建议。合理化建议应以书面形式提交发包人，被发包人采纳并构成变更的，执行第11.1款约定。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11.2.2 设计人提出的合理化建议降低了工程投资、缩短了施工期限或者提高了工程经济效益的，发包人应按专用合同条款中的约定给予奖励。</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799" w:name="_Toc482188618"/>
      <w:bookmarkStart w:id="800" w:name="_Toc492300493"/>
      <w:bookmarkStart w:id="801" w:name="_Toc21847"/>
      <w:bookmarkStart w:id="802" w:name="_Toc27552"/>
      <w:bookmarkStart w:id="803" w:name="_Toc22530"/>
      <w:r>
        <w:rPr>
          <w:rFonts w:hint="default" w:ascii="Times New Roman" w:hAnsi="Times New Roman" w:cs="Times New Roman"/>
          <w:color w:val="auto"/>
          <w:sz w:val="28"/>
          <w:szCs w:val="28"/>
          <w:highlight w:val="none"/>
        </w:rPr>
        <w:t xml:space="preserve">12. </w:t>
      </w:r>
      <w:r>
        <w:rPr>
          <w:rFonts w:hint="default" w:ascii="Times New Roman" w:hAnsi="Times New Roman" w:eastAsia="黑体" w:cs="Times New Roman"/>
          <w:color w:val="auto"/>
          <w:sz w:val="28"/>
          <w:szCs w:val="28"/>
          <w:highlight w:val="none"/>
        </w:rPr>
        <w:t>合同价格与支付</w:t>
      </w:r>
      <w:bookmarkEnd w:id="799"/>
      <w:bookmarkEnd w:id="800"/>
      <w:bookmarkEnd w:id="801"/>
      <w:bookmarkEnd w:id="802"/>
      <w:bookmarkEnd w:id="803"/>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04" w:name="_Toc492300494"/>
      <w:bookmarkStart w:id="805" w:name="_Toc482188619"/>
      <w:r>
        <w:rPr>
          <w:rFonts w:hint="default" w:ascii="Times New Roman" w:hAnsi="Times New Roman" w:cs="Times New Roman"/>
          <w:b/>
          <w:bCs/>
          <w:color w:val="auto"/>
          <w:sz w:val="24"/>
          <w:highlight w:val="none"/>
        </w:rPr>
        <w:t>12.1 合同价格</w:t>
      </w:r>
      <w:bookmarkEnd w:id="804"/>
      <w:bookmarkEnd w:id="805"/>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12.1.1 本合同的报价方式、价格调整方式和风险范围划分，在专用合同条款中约定。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12.1.2 勘察设计费用实行发包人签证制度，即设计人完成勘察设计项目后通知发包人进行验收，通过验收后由发包人代表对实施的勘察设计项目、数量、质量和实施时间签字确认，以此作为计算勘察设计费用的依据之一。</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12.1.3除专用合同条款另有约定外，合同价格应当包括收集资料，踏勘现场，制订纲要，进行测绘、勘探、取样、试验、测试、分析、设计、评估、审查等，编制勘察设计文件，招标与施工配合等全部费用和国家规定的各项税费。</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12.1.4 发包人要求设计人进行外出考察、试验检测、专项咨询或专家评审时，相应费用不含在合同价格之中，由发包人另行支付。</w:t>
      </w:r>
    </w:p>
    <w:p>
      <w:pPr>
        <w:pageBreakBefore w:val="0"/>
        <w:kinsoku/>
        <w:wordWrap w:val="0"/>
        <w:overflowPunct/>
        <w:bidi w:val="0"/>
        <w:spacing w:line="48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bCs/>
          <w:color w:val="auto"/>
          <w:sz w:val="24"/>
          <w:highlight w:val="none"/>
        </w:rPr>
        <w:t xml:space="preserve">12.1.5 </w:t>
      </w:r>
      <w:r>
        <w:rPr>
          <w:rFonts w:hint="default" w:ascii="Times New Roman" w:hAnsi="Times New Roman" w:cs="Times New Roman"/>
          <w:snapToGrid w:val="0"/>
          <w:color w:val="auto"/>
          <w:sz w:val="24"/>
          <w:highlight w:val="none"/>
        </w:rPr>
        <w:t>设计人为联合体的，发包人应根据勘察设计工作进展向联合体牵头人支付勘察设计费用，由联合体牵头人根据联合体各成员及分包人（如有）实际完成的工作量及完成质量，向联合体各成员及分包人支付合同价款，由此发生的税费等费用统一包含在合同价格内，发包人不另行支付。联合体牵头人提出书面申请时，发包人也可直接向联合体各成员支付合同价款。</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12.1.6 发包人向设计人实际支付的勘察设计费，将不高于初步设计审批概算中相应勘察设计费的审批额，除非勘察设计费审批额依法予以调整。勘察设计费超出审批额部分发包人将予以扣除，合同价格相应变更，不足部分发包人将不另行支付。</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06" w:name="_Toc482188620"/>
      <w:bookmarkStart w:id="807" w:name="_Toc492300495"/>
      <w:r>
        <w:rPr>
          <w:rFonts w:hint="default" w:ascii="Times New Roman" w:hAnsi="Times New Roman" w:cs="Times New Roman"/>
          <w:b/>
          <w:bCs/>
          <w:color w:val="auto"/>
          <w:sz w:val="24"/>
          <w:highlight w:val="none"/>
        </w:rPr>
        <w:t>12.2</w:t>
      </w:r>
      <w:bookmarkEnd w:id="806"/>
      <w:r>
        <w:rPr>
          <w:rFonts w:hint="default" w:ascii="Times New Roman" w:hAnsi="Times New Roman" w:cs="Times New Roman"/>
          <w:b/>
          <w:bCs/>
          <w:color w:val="auto"/>
          <w:sz w:val="24"/>
          <w:highlight w:val="none"/>
        </w:rPr>
        <w:t xml:space="preserve"> 预付款</w:t>
      </w:r>
      <w:bookmarkEnd w:id="807"/>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12.2.1 预付款应专用于本工程的勘察设计。预付款的额度、支付方式在专用合同条款中约定。设计人无须向发包人提交预付款保函，但设计人提交的履约保证金对预付款的正常使用承担保证责任。</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12.2.2 发包人应在收到预付款支付申请后28天内，将预付款支付给设计人；设计人应当提供等额的增值税专用发票。</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08" w:name="_Toc482188621"/>
      <w:bookmarkStart w:id="809" w:name="_Toc467651035"/>
      <w:bookmarkStart w:id="810" w:name="_Toc492300496"/>
      <w:r>
        <w:rPr>
          <w:rFonts w:hint="default" w:ascii="Times New Roman" w:hAnsi="Times New Roman" w:cs="Times New Roman"/>
          <w:b/>
          <w:bCs/>
          <w:color w:val="auto"/>
          <w:sz w:val="24"/>
          <w:highlight w:val="none"/>
        </w:rPr>
        <w:t>12.3 中期支付</w:t>
      </w:r>
      <w:bookmarkEnd w:id="808"/>
      <w:bookmarkEnd w:id="809"/>
      <w:bookmarkEnd w:id="81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12.3.1 设计人应按发包人批准或专用合同条款约定的格式及份数，向发包人提交中期支付申请，并附相应的支持性证明文件。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12.3.2 发包人应在收到中期支付申请后的28天内，将应付款项支付给设计人；设计人应当提供等额的增值税专用发票。发包人未能在前述时间内完成审批或不予答复的，视为发包人同意中期支付申请。发包人不按期支付的，按专用合同条款的约定支付逾期付款违约金。</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12.3.3 中期支付涉及政府投资资金的，按照国库集中支付等国家相关规定和专用合同条款的约定执行。</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11" w:name="_Toc492300497"/>
      <w:bookmarkStart w:id="812" w:name="_Toc467651036"/>
      <w:bookmarkStart w:id="813" w:name="_Toc482188622"/>
      <w:r>
        <w:rPr>
          <w:rFonts w:hint="default" w:ascii="Times New Roman" w:hAnsi="Times New Roman" w:cs="Times New Roman"/>
          <w:b/>
          <w:bCs/>
          <w:color w:val="auto"/>
          <w:sz w:val="24"/>
          <w:highlight w:val="none"/>
        </w:rPr>
        <w:t>12.4 费用结算</w:t>
      </w:r>
      <w:bookmarkEnd w:id="811"/>
      <w:bookmarkEnd w:id="812"/>
      <w:bookmarkEnd w:id="813"/>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12.4.1 合同工作完成后，设计人应按专用合同条款约定的份数和期限，向发包人提交勘察设计费用结算申请，并提供相关证明材料。</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12.4.2 发包人应在收到费用结算申请后的28天内，将应付款项支付给设计人；设计人应当提供等额的增值税专用发票。发包人未能在前述时间内完成审批或不予答复的，视为发包人同意费用结算申请。发包人不按期支付的，按专用合同条款的约定支付逾期付款违约金。</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12.4.3 发包人对费用结算申请内容有异议的，有权要求设计人进行修正和提供补充资料，由设计人重新提交。设计人对此有异议的，按第15条的约定执行。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12.4.4 最终结清付款涉及政府投资资金的，按第12.3.3项的约定执行。</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12.5 暂列金额</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12.5.1 本合同的暂列金额在专用合同条款中约定。暂列金额应按发包人的书面指示全部或部分地使用，或根本不予动用。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12.5.2 如果使用暂列金额进行某项额外勘察设计工作、专题研究、审查和会务工作，其费用应按设计人投标报价中相应项目的基本单价和实际发生的工作量经发包人核定后支付，或者按实际发生的工作费用经发包人核实后支付。</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12.6 质量保证金</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为保证设计人的设计质量和设计服务，最后一批勘察设计成果文件</w:t>
      </w:r>
      <w:r>
        <w:rPr>
          <w:rFonts w:hint="default" w:ascii="Times New Roman" w:hAnsi="Times New Roman" w:cs="Times New Roman"/>
          <w:color w:val="auto"/>
          <w:sz w:val="24"/>
          <w:highlight w:val="none"/>
        </w:rPr>
        <w:t>经上级主管部门批复</w:t>
      </w:r>
      <w:r>
        <w:rPr>
          <w:rFonts w:hint="default" w:ascii="Times New Roman" w:hAnsi="Times New Roman" w:cs="Times New Roman"/>
          <w:bCs/>
          <w:color w:val="auto"/>
          <w:sz w:val="24"/>
          <w:highlight w:val="none"/>
        </w:rPr>
        <w:t>之后28天内，设计人应向发包人缴纳质量保证金。质量保证金可采用银行保函或现金、支票形式，金额应符合专用合同条款的规定。采用银行保函时，出具保函的银行须具有相应担保能力，且按照发包人批准的格式出具，所需费用由设计人承担，待项目交工证书签发后28天内返还给设计人。</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14" w:name="_Toc492300498"/>
      <w:bookmarkStart w:id="815" w:name="_Toc482188623"/>
      <w:bookmarkStart w:id="816" w:name="_Toc1741"/>
      <w:bookmarkStart w:id="817" w:name="_Toc6511"/>
      <w:bookmarkStart w:id="818" w:name="_Toc18776"/>
      <w:r>
        <w:rPr>
          <w:rFonts w:hint="default" w:ascii="Times New Roman" w:hAnsi="Times New Roman" w:cs="Times New Roman"/>
          <w:color w:val="auto"/>
          <w:sz w:val="28"/>
          <w:szCs w:val="28"/>
          <w:highlight w:val="none"/>
        </w:rPr>
        <w:t>13.</w:t>
      </w:r>
      <w:r>
        <w:rPr>
          <w:rFonts w:hint="default" w:ascii="Times New Roman" w:hAnsi="Times New Roman" w:eastAsia="黑体" w:cs="Times New Roman"/>
          <w:color w:val="auto"/>
          <w:sz w:val="28"/>
          <w:szCs w:val="28"/>
          <w:highlight w:val="none"/>
        </w:rPr>
        <w:t xml:space="preserve"> 不可抗力</w:t>
      </w:r>
      <w:bookmarkEnd w:id="814"/>
      <w:bookmarkEnd w:id="815"/>
      <w:bookmarkEnd w:id="816"/>
      <w:bookmarkEnd w:id="817"/>
      <w:bookmarkEnd w:id="818"/>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19" w:name="_Toc492300499"/>
      <w:bookmarkStart w:id="820" w:name="_Toc482188624"/>
      <w:r>
        <w:rPr>
          <w:rFonts w:hint="default" w:ascii="Times New Roman" w:hAnsi="Times New Roman" w:cs="Times New Roman"/>
          <w:b/>
          <w:bCs/>
          <w:color w:val="auto"/>
          <w:sz w:val="24"/>
          <w:highlight w:val="none"/>
        </w:rPr>
        <w:t>13.1 不可抗力的确认</w:t>
      </w:r>
      <w:bookmarkEnd w:id="819"/>
      <w:bookmarkEnd w:id="820"/>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13.1.1 不可抗力是指设计人和发包人在订立合同时不可预见，在履行合</w:t>
      </w:r>
      <w:bookmarkStart w:id="821" w:name="_Toc300835182"/>
      <w:bookmarkStart w:id="822" w:name="_Toc247527781"/>
      <w:bookmarkStart w:id="823" w:name="_Toc247514180"/>
      <w:bookmarkStart w:id="824" w:name="_Toc184635118"/>
      <w:r>
        <w:rPr>
          <w:rFonts w:hint="default" w:ascii="Times New Roman" w:hAnsi="Times New Roman" w:cs="Times New Roman"/>
          <w:bCs/>
          <w:color w:val="auto"/>
          <w:sz w:val="24"/>
          <w:highlight w:val="none"/>
        </w:rPr>
        <w:t>同过程中不可避免</w:t>
      </w:r>
      <w:bookmarkEnd w:id="821"/>
      <w:bookmarkEnd w:id="822"/>
      <w:bookmarkEnd w:id="823"/>
      <w:bookmarkEnd w:id="824"/>
      <w:r>
        <w:rPr>
          <w:rFonts w:hint="default" w:ascii="Times New Roman" w:hAnsi="Times New Roman" w:cs="Times New Roman"/>
          <w:bCs/>
          <w:color w:val="auto"/>
          <w:sz w:val="24"/>
          <w:highlight w:val="none"/>
        </w:rPr>
        <w:t>发</w:t>
      </w:r>
      <w:bookmarkStart w:id="825" w:name="_Toc300835183"/>
      <w:bookmarkStart w:id="826" w:name="_Toc247514181"/>
      <w:bookmarkStart w:id="827" w:name="_Toc247527782"/>
      <w:r>
        <w:rPr>
          <w:rFonts w:hint="default" w:ascii="Times New Roman" w:hAnsi="Times New Roman" w:cs="Times New Roman"/>
          <w:bCs/>
          <w:color w:val="auto"/>
          <w:sz w:val="24"/>
          <w:highlight w:val="none"/>
        </w:rPr>
        <w:t>生并不能克服的自然灾害和</w:t>
      </w:r>
      <w:bookmarkEnd w:id="825"/>
      <w:bookmarkEnd w:id="826"/>
      <w:bookmarkEnd w:id="827"/>
      <w:r>
        <w:rPr>
          <w:rFonts w:hint="default" w:ascii="Times New Roman" w:hAnsi="Times New Roman" w:cs="Times New Roman"/>
          <w:bCs/>
          <w:color w:val="auto"/>
          <w:sz w:val="24"/>
          <w:highlight w:val="none"/>
        </w:rPr>
        <w:t>社会性突发事件，如地震、海啸、瘟疫、水灾、骚乱、暴动、战争和专用合同条款约定的其他情形。</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13.1.2 不可抗力发生后，发包人和设计人应及时认真统计所造成的损失，收集不可抗力造成损失的证据。合同双方对是否属于不可抗力或其损失的意见不一致的，由合同双方协商确定。</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28" w:name="_Toc492300500"/>
      <w:bookmarkStart w:id="829" w:name="_Toc482188625"/>
      <w:r>
        <w:rPr>
          <w:rFonts w:hint="default" w:ascii="Times New Roman" w:hAnsi="Times New Roman" w:cs="Times New Roman"/>
          <w:b/>
          <w:bCs/>
          <w:color w:val="auto"/>
          <w:sz w:val="24"/>
          <w:highlight w:val="none"/>
        </w:rPr>
        <w:t>13.2 不可抗力的通知</w:t>
      </w:r>
      <w:bookmarkEnd w:id="828"/>
      <w:bookmarkEnd w:id="829"/>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13.2.1 合同一方当事人遇到不可抗力事件，使其履行合同义务受到阻碍时，应立即通知合同</w:t>
      </w:r>
      <w:bookmarkStart w:id="830" w:name="_Toc247527783"/>
      <w:bookmarkStart w:id="831" w:name="_Toc247514182"/>
      <w:bookmarkStart w:id="832" w:name="_Toc300835184"/>
      <w:r>
        <w:rPr>
          <w:rFonts w:hint="default" w:ascii="Times New Roman" w:hAnsi="Times New Roman" w:cs="Times New Roman"/>
          <w:bCs/>
          <w:color w:val="auto"/>
          <w:sz w:val="24"/>
          <w:highlight w:val="none"/>
        </w:rPr>
        <w:t>另一方当事人，书面说明不</w:t>
      </w:r>
      <w:bookmarkEnd w:id="830"/>
      <w:bookmarkEnd w:id="831"/>
      <w:bookmarkEnd w:id="832"/>
      <w:r>
        <w:rPr>
          <w:rFonts w:hint="default" w:ascii="Times New Roman" w:hAnsi="Times New Roman" w:cs="Times New Roman"/>
          <w:bCs/>
          <w:color w:val="auto"/>
          <w:sz w:val="24"/>
          <w:highlight w:val="none"/>
        </w:rPr>
        <w:t>可抗力和受阻碍的详细情况，并提供必要的证明。</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13.2.2 如不可抗力持续发生，合同一方当事人应及时向合同另一方当事人提交中间报告，说明不可抗力和履行合同受阻的情况，并于不可抗力事件结束后28天内提交最终报告及有关资料。</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33" w:name="_Toc492300501"/>
      <w:bookmarkStart w:id="834" w:name="_Toc482188626"/>
      <w:r>
        <w:rPr>
          <w:rFonts w:hint="default" w:ascii="Times New Roman" w:hAnsi="Times New Roman" w:cs="Times New Roman"/>
          <w:b/>
          <w:bCs/>
          <w:color w:val="auto"/>
          <w:sz w:val="24"/>
          <w:highlight w:val="none"/>
        </w:rPr>
        <w:t>13.3 不可抗力后果及其处理</w:t>
      </w:r>
      <w:bookmarkEnd w:id="833"/>
      <w:bookmarkEnd w:id="834"/>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13.3.1 不可抗力引起的后果及其损失，应由合同当事人依据法律规定各自承担。不可抗力发生前已完成的勘察设计工作，应当按照合同约定进行支付。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13.3.2 不可抗力发生后，合同当事人应当采取有效措施避免损失进一步扩大，如未采取有效措施致使损失扩大的，应当自行承担扩大部分的损失。</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13.3.3 因一方当事人迟延履行合同义务，致使迟延履行期间遭遇不可抗力的，应由该当事人承担全部损失。</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35" w:name="_Toc25751"/>
      <w:bookmarkStart w:id="836" w:name="_Toc1479"/>
      <w:bookmarkStart w:id="837" w:name="_Toc482188627"/>
      <w:bookmarkStart w:id="838" w:name="_Toc492300502"/>
      <w:bookmarkStart w:id="839" w:name="_Toc8639"/>
      <w:r>
        <w:rPr>
          <w:rFonts w:hint="default" w:ascii="Times New Roman" w:hAnsi="Times New Roman" w:cs="Times New Roman"/>
          <w:color w:val="auto"/>
          <w:sz w:val="28"/>
          <w:szCs w:val="28"/>
          <w:highlight w:val="none"/>
        </w:rPr>
        <w:t xml:space="preserve">14. </w:t>
      </w:r>
      <w:r>
        <w:rPr>
          <w:rFonts w:hint="default" w:ascii="Times New Roman" w:hAnsi="Times New Roman" w:eastAsia="黑体" w:cs="Times New Roman"/>
          <w:color w:val="auto"/>
          <w:sz w:val="28"/>
          <w:szCs w:val="28"/>
          <w:highlight w:val="none"/>
        </w:rPr>
        <w:t>违约</w:t>
      </w:r>
      <w:bookmarkEnd w:id="835"/>
      <w:bookmarkEnd w:id="836"/>
      <w:bookmarkEnd w:id="837"/>
      <w:bookmarkEnd w:id="838"/>
      <w:bookmarkEnd w:id="83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40" w:name="_Toc492300503"/>
      <w:bookmarkStart w:id="841" w:name="_Toc482188628"/>
      <w:r>
        <w:rPr>
          <w:rFonts w:hint="default" w:ascii="Times New Roman" w:hAnsi="Times New Roman" w:cs="Times New Roman"/>
          <w:b/>
          <w:bCs/>
          <w:color w:val="auto"/>
          <w:sz w:val="24"/>
          <w:highlight w:val="none"/>
        </w:rPr>
        <w:t>14.1 设计人违约</w:t>
      </w:r>
      <w:bookmarkEnd w:id="840"/>
      <w:bookmarkEnd w:id="841"/>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14.1.1合同履行中发生下列情况之一的，属设计人违约：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（1）勘察设计文件不符合法律以及合同约定；</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（2）设计人转包、违法分包或者未经发包人同意擅自分包；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（3）设计人未按合同计划完成勘察设计（发包人同意延期的除外）；</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（4）设计人无法履行或停止履行合同；</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（5）在收到发包人或咨询单位或上级主管部门提出的审查意见后，设计人未在专用合同条款规定的期限内完成对勘察设计文件的修改； </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（6）设计人在投标文件中承诺的或按合同文件约定的投入本项目的主要勘察设计人员发生变化（因不可抗力引起的人员变动除外）；</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（7）设计人未按照本合同第10.1款规定提供招标期间的配合服务；</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（8）设计人未及时选派合格的设计代表进驻施工现场，或未能在发包人和设计人约定的时间内给予答复、完成变更设计；</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w:t>
      </w:r>
      <w:r>
        <w:rPr>
          <w:rFonts w:hint="default" w:ascii="Times New Roman" w:hAnsi="Times New Roman" w:cs="Times New Roman"/>
          <w:bCs/>
          <w:color w:val="auto"/>
          <w:sz w:val="24"/>
          <w:highlight w:val="none"/>
        </w:rPr>
        <w:t>因勘察设计深度不够、资料不足、方案缺陷以及勘察设计质量低劣而被要求返工；</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（10）因勘察设计深度不够、资料不足、方案缺陷或质量低劣导致未通过上级主管部门的审查，或导致本项目造价调整率超过</w:t>
      </w:r>
      <w:r>
        <w:rPr>
          <w:rFonts w:hint="default" w:ascii="Times New Roman" w:hAnsi="Times New Roman" w:cs="Times New Roman"/>
          <w:bCs/>
          <w:color w:val="auto"/>
          <w:sz w:val="24"/>
          <w:highlight w:val="none"/>
        </w:rPr>
        <w:t>专用合同条款中约定的比例</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（11）由于设计人的过失或责任引起本项目发生重大设计变更、较大设计变更或单个合同段因变更引起的工程费用调整累计超过</w:t>
      </w:r>
      <w:r>
        <w:rPr>
          <w:rFonts w:hint="default" w:ascii="Times New Roman" w:hAnsi="Times New Roman" w:cs="Times New Roman"/>
          <w:bCs/>
          <w:color w:val="auto"/>
          <w:sz w:val="24"/>
          <w:highlight w:val="none"/>
        </w:rPr>
        <w:t>专用合同条款中约定的比例</w:t>
      </w:r>
      <w:r>
        <w:rPr>
          <w:rFonts w:hint="default" w:ascii="Times New Roman" w:hAnsi="Times New Roman" w:cs="Times New Roman"/>
          <w:color w:val="auto"/>
          <w:sz w:val="24"/>
          <w:highlight w:val="none"/>
        </w:rPr>
        <w:t>，导致施工工期拖延或者给发包人造成经济损失。重大设计变更及较大设计变更的划分标准参照《公路工程设计变更管理办法》的规定执行；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（12）由于设计人的过失或责任</w:t>
      </w:r>
      <w:r>
        <w:rPr>
          <w:rFonts w:hint="default" w:ascii="Times New Roman" w:hAnsi="Times New Roman" w:cs="Times New Roman"/>
          <w:bCs/>
          <w:color w:val="auto"/>
          <w:sz w:val="24"/>
          <w:highlight w:val="none"/>
        </w:rPr>
        <w:t>导致勘察设计质量事故；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（13）设计人不履行合同约定的其他义务。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14.1.2 设计人发生违约情况时，发包人可向设计人发出整改通知，要求其在限定期限内纠正；逾期仍不纠正的，发包人有权解除合同并向设计人发出解除合同通知。设计人应当承担由于违约所造成的费用增加、周期延误和发包人损失等。</w:t>
      </w:r>
      <w:r>
        <w:rPr>
          <w:rFonts w:hint="default" w:ascii="Times New Roman" w:hAnsi="Times New Roman" w:cs="Times New Roman"/>
          <w:color w:val="auto"/>
          <w:sz w:val="24"/>
          <w:highlight w:val="none"/>
        </w:rPr>
        <w:t>发包人有权向设计人课以专用合同条款中约定的违约金，并由发包人将其违约行为上报省级交通运输主管部门，作为不良记录纳入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42" w:name="_Toc492300504"/>
      <w:bookmarkStart w:id="843" w:name="_Toc482188629"/>
      <w:r>
        <w:rPr>
          <w:rFonts w:hint="default" w:ascii="Times New Roman" w:hAnsi="Times New Roman" w:cs="Times New Roman"/>
          <w:b/>
          <w:bCs/>
          <w:color w:val="auto"/>
          <w:sz w:val="24"/>
          <w:highlight w:val="none"/>
        </w:rPr>
        <w:t>14.2 发包人违约</w:t>
      </w:r>
      <w:bookmarkEnd w:id="842"/>
      <w:bookmarkEnd w:id="843"/>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14.2.1合同履行中发生下列情况之一的，属发包人违约：</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（1）发</w:t>
      </w:r>
      <w:bookmarkStart w:id="844" w:name="_Toc300835188"/>
      <w:bookmarkStart w:id="845" w:name="_Toc247514186"/>
      <w:bookmarkStart w:id="846" w:name="_Toc247527787"/>
      <w:r>
        <w:rPr>
          <w:rFonts w:hint="default" w:ascii="Times New Roman" w:hAnsi="Times New Roman" w:cs="Times New Roman"/>
          <w:bCs/>
          <w:color w:val="auto"/>
          <w:sz w:val="24"/>
          <w:highlight w:val="none"/>
        </w:rPr>
        <w:t>包人未按合同约定支</w:t>
      </w:r>
      <w:bookmarkEnd w:id="844"/>
      <w:bookmarkEnd w:id="845"/>
      <w:bookmarkEnd w:id="846"/>
      <w:r>
        <w:rPr>
          <w:rFonts w:hint="default" w:ascii="Times New Roman" w:hAnsi="Times New Roman" w:cs="Times New Roman"/>
          <w:bCs/>
          <w:color w:val="auto"/>
          <w:sz w:val="24"/>
          <w:highlight w:val="none"/>
        </w:rPr>
        <w:t>付勘察设计费用；</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（2）发包人原因造成勘察设计停止；</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（3）发包人无法履行或停止履行合同；</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（4）由于发包人变更勘察设计项目、规模、条件，或未按合同约定提供勘察设计必需的资料，造成勘察设计的返工、停工、窝工或修改设计；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w:t>
      </w:r>
      <w:r>
        <w:rPr>
          <w:rFonts w:hint="default" w:ascii="Times New Roman" w:hAnsi="Times New Roman" w:cs="Times New Roman"/>
          <w:color w:val="auto"/>
          <w:sz w:val="24"/>
          <w:highlight w:val="none"/>
        </w:rPr>
        <w:t>发包人无正当理由不按时返还履约保证金、质量保证金；</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（6）发包人不履行合同约定的其他义务。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14.2.2发包人发生违约情况时，设计人可向发包人发出暂停勘察设计通知，要求其在限定期限内纠正；逾期仍不纠正的，设计人有权解除合同并向发包人发出解除合同通知。发包人应当承担由于违约所造成的费用增加、周期延误和设计人损失等。</w:t>
      </w:r>
      <w:r>
        <w:rPr>
          <w:rFonts w:hint="default" w:ascii="Times New Roman" w:hAnsi="Times New Roman" w:cs="Times New Roman"/>
          <w:color w:val="auto"/>
          <w:sz w:val="24"/>
          <w:highlight w:val="none"/>
        </w:rPr>
        <w:t>设计人有权向发包人课以专用合同条款中约定的违约金。</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bookmarkStart w:id="847" w:name="_Toc492300505"/>
      <w:bookmarkStart w:id="848" w:name="_Toc482188630"/>
      <w:r>
        <w:rPr>
          <w:rFonts w:hint="default" w:ascii="Times New Roman" w:hAnsi="Times New Roman" w:cs="Times New Roman"/>
          <w:b/>
          <w:bCs/>
          <w:color w:val="auto"/>
          <w:sz w:val="24"/>
          <w:highlight w:val="none"/>
        </w:rPr>
        <w:t>14.3 第三人造成的违约</w:t>
      </w:r>
      <w:bookmarkEnd w:id="847"/>
      <w:bookmarkEnd w:id="848"/>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在履行合同过程中，一方当事人因第三人的原因造成违约的，应当向对方当事人承担违约责任。一</w:t>
      </w:r>
      <w:bookmarkStart w:id="849" w:name="_Toc300835189"/>
      <w:bookmarkStart w:id="850" w:name="_Toc247514187"/>
      <w:bookmarkStart w:id="851" w:name="_Toc247527788"/>
      <w:r>
        <w:rPr>
          <w:rFonts w:hint="default" w:ascii="Times New Roman" w:hAnsi="Times New Roman" w:cs="Times New Roman"/>
          <w:bCs/>
          <w:color w:val="auto"/>
          <w:sz w:val="24"/>
          <w:highlight w:val="none"/>
        </w:rPr>
        <w:t>方当事人和第三人之间的纠纷</w:t>
      </w:r>
      <w:bookmarkEnd w:id="849"/>
      <w:bookmarkEnd w:id="850"/>
      <w:bookmarkEnd w:id="851"/>
      <w:r>
        <w:rPr>
          <w:rFonts w:hint="default" w:ascii="Times New Roman" w:hAnsi="Times New Roman" w:cs="Times New Roman"/>
          <w:bCs/>
          <w:color w:val="auto"/>
          <w:sz w:val="24"/>
          <w:highlight w:val="none"/>
        </w:rPr>
        <w:t>，依照法律规定或者按照约定解决。</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52" w:name="_Toc482188631"/>
      <w:bookmarkStart w:id="853" w:name="_Toc7468"/>
      <w:bookmarkStart w:id="854" w:name="_Toc492300506"/>
      <w:bookmarkStart w:id="855" w:name="_Toc1975"/>
      <w:bookmarkStart w:id="856" w:name="_Toc23585"/>
      <w:r>
        <w:rPr>
          <w:rFonts w:hint="default" w:ascii="Times New Roman" w:hAnsi="Times New Roman" w:cs="Times New Roman"/>
          <w:color w:val="auto"/>
          <w:sz w:val="28"/>
          <w:szCs w:val="28"/>
          <w:highlight w:val="none"/>
        </w:rPr>
        <w:t xml:space="preserve">15. </w:t>
      </w:r>
      <w:r>
        <w:rPr>
          <w:rFonts w:hint="default" w:ascii="Times New Roman" w:hAnsi="Times New Roman" w:eastAsia="黑体" w:cs="Times New Roman"/>
          <w:color w:val="auto"/>
          <w:sz w:val="28"/>
          <w:szCs w:val="28"/>
          <w:highlight w:val="none"/>
        </w:rPr>
        <w:t>争议的解决</w:t>
      </w:r>
      <w:bookmarkEnd w:id="852"/>
      <w:bookmarkEnd w:id="853"/>
      <w:bookmarkEnd w:id="854"/>
      <w:bookmarkEnd w:id="855"/>
      <w:bookmarkEnd w:id="856"/>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15.1 发包人和设计人在履行合同中发生争议的，可以友好协商解决</w:t>
      </w:r>
      <w:bookmarkStart w:id="857" w:name="_Toc247527794"/>
      <w:bookmarkStart w:id="858" w:name="_Toc184635121"/>
      <w:bookmarkStart w:id="859" w:name="_Toc247514193"/>
      <w:bookmarkStart w:id="860" w:name="_Toc300835195"/>
      <w:r>
        <w:rPr>
          <w:rFonts w:hint="default" w:ascii="Times New Roman" w:hAnsi="Times New Roman" w:cs="Times New Roman"/>
          <w:bCs/>
          <w:color w:val="auto"/>
          <w:sz w:val="24"/>
          <w:highlight w:val="none"/>
        </w:rPr>
        <w:t>。合同当事</w:t>
      </w:r>
      <w:bookmarkEnd w:id="857"/>
      <w:bookmarkEnd w:id="858"/>
      <w:bookmarkEnd w:id="859"/>
      <w:bookmarkEnd w:id="860"/>
      <w:r>
        <w:rPr>
          <w:rFonts w:hint="default" w:ascii="Times New Roman" w:hAnsi="Times New Roman" w:cs="Times New Roman"/>
          <w:bCs/>
          <w:color w:val="auto"/>
          <w:sz w:val="24"/>
          <w:highlight w:val="none"/>
        </w:rPr>
        <w:t>人</w:t>
      </w:r>
      <w:bookmarkStart w:id="861" w:name="_Toc300835196"/>
      <w:bookmarkStart w:id="862" w:name="_Toc247527795"/>
      <w:bookmarkStart w:id="863" w:name="_Toc247514194"/>
      <w:r>
        <w:rPr>
          <w:rFonts w:hint="default" w:ascii="Times New Roman" w:hAnsi="Times New Roman" w:cs="Times New Roman"/>
          <w:bCs/>
          <w:color w:val="auto"/>
          <w:sz w:val="24"/>
          <w:highlight w:val="none"/>
        </w:rPr>
        <w:t>友好协商解决不成</w:t>
      </w:r>
      <w:bookmarkEnd w:id="861"/>
      <w:bookmarkEnd w:id="862"/>
      <w:bookmarkEnd w:id="863"/>
      <w:r>
        <w:rPr>
          <w:rFonts w:hint="default" w:ascii="Times New Roman" w:hAnsi="Times New Roman" w:cs="Times New Roman"/>
          <w:bCs/>
          <w:color w:val="auto"/>
          <w:sz w:val="24"/>
          <w:highlight w:val="none"/>
        </w:rPr>
        <w:t>的，可在专用合同条款中约定按下列一种方式解决：</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（1）向约定的仲裁委员会申请仲裁；</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（2）向有管辖权的人民法院提起诉讼。</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 xml:space="preserve">15.2 </w:t>
      </w:r>
      <w:r>
        <w:rPr>
          <w:rFonts w:hint="default" w:ascii="Times New Roman" w:hAnsi="Times New Roman" w:cs="Times New Roman"/>
          <w:color w:val="auto"/>
          <w:sz w:val="24"/>
          <w:highlight w:val="none"/>
        </w:rPr>
        <w:t>采用仲裁方式最终解决争议的项目，仲裁裁决是终局性的并对发包人和设计人双方均具有约束力。全部仲裁费用应由败诉方承担，或按仲裁委员会裁决的比例分担。</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br w:type="page"/>
      </w:r>
    </w:p>
    <w:p>
      <w:pPr>
        <w:pStyle w:val="19"/>
        <w:pageBreakBefore w:val="0"/>
        <w:kinsoku/>
        <w:wordWrap w:val="0"/>
        <w:overflowPunct/>
        <w:bidi w:val="0"/>
        <w:snapToGrid w:val="0"/>
        <w:spacing w:line="400" w:lineRule="atLeast"/>
        <w:ind w:left="444" w:leftChars="0" w:hanging="444" w:hangingChars="139"/>
        <w:jc w:val="center"/>
        <w:outlineLvl w:val="0"/>
        <w:rPr>
          <w:rFonts w:hint="default" w:ascii="Times New Roman" w:hAnsi="Times New Roman" w:cs="Times New Roman"/>
          <w:b/>
          <w:color w:val="auto"/>
          <w:highlight w:val="none"/>
        </w:rPr>
      </w:pPr>
      <w:bookmarkStart w:id="864" w:name="_Toc3136"/>
      <w:bookmarkStart w:id="865" w:name="_Toc8964"/>
      <w:bookmarkStart w:id="866" w:name="_Toc20687"/>
      <w:r>
        <w:rPr>
          <w:rStyle w:val="163"/>
          <w:rFonts w:hint="default" w:ascii="Times New Roman" w:hAnsi="Times New Roman" w:eastAsia="黑体" w:cs="Times New Roman"/>
          <w:b w:val="0"/>
          <w:color w:val="auto"/>
          <w:sz w:val="32"/>
          <w:szCs w:val="32"/>
          <w:highlight w:val="none"/>
        </w:rPr>
        <w:t>第二节 专用合同条款</w:t>
      </w:r>
      <w:bookmarkEnd w:id="864"/>
      <w:r>
        <w:rPr>
          <w:rStyle w:val="56"/>
          <w:rFonts w:hint="default" w:ascii="Times New Roman" w:hAnsi="Times New Roman" w:eastAsia="黑体" w:cs="Times New Roman"/>
          <w:b w:val="0"/>
          <w:color w:val="auto"/>
          <w:sz w:val="32"/>
          <w:szCs w:val="32"/>
          <w:highlight w:val="none"/>
        </w:rPr>
        <w:footnoteReference w:id="39"/>
      </w:r>
      <w:bookmarkEnd w:id="865"/>
      <w:bookmarkEnd w:id="866"/>
    </w:p>
    <w:p>
      <w:pPr>
        <w:pStyle w:val="19"/>
        <w:pageBreakBefore w:val="0"/>
        <w:kinsoku/>
        <w:wordWrap w:val="0"/>
        <w:overflowPunct/>
        <w:bidi w:val="0"/>
        <w:snapToGrid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说  明：</w:t>
      </w:r>
    </w:p>
    <w:p>
      <w:pPr>
        <w:pStyle w:val="19"/>
        <w:pageBreakBefore w:val="0"/>
        <w:kinsoku/>
        <w:wordWrap w:val="0"/>
        <w:overflowPunct/>
        <w:bidi w:val="0"/>
        <w:snapToGrid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1.招标人在根据《</w:t>
      </w:r>
      <w:r>
        <w:rPr>
          <w:rFonts w:hint="default" w:ascii="Times New Roman" w:hAnsi="Times New Roman" w:cs="Times New Roman"/>
          <w:color w:val="auto"/>
          <w:sz w:val="24"/>
          <w:highlight w:val="none"/>
          <w:lang w:val="en-US" w:eastAsia="zh-CN"/>
        </w:rPr>
        <w:t>标准文件</w:t>
      </w:r>
      <w:r>
        <w:rPr>
          <w:rFonts w:hint="default" w:ascii="Times New Roman" w:hAnsi="Times New Roman" w:cs="Times New Roman"/>
          <w:color w:val="auto"/>
          <w:sz w:val="24"/>
          <w:highlight w:val="none"/>
        </w:rPr>
        <w:t>》编制项目招标文件中的</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时，可根据招标项目的具体特点和实际需要，对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进行补充、细化。在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中补充或细化的内容，不得违反法律、行政法规的强制性规定和平等、自愿、公平和诚实信用原则。</w:t>
      </w:r>
    </w:p>
    <w:p>
      <w:pPr>
        <w:pStyle w:val="19"/>
        <w:pageBreakBefore w:val="0"/>
        <w:kinsoku/>
        <w:wordWrap w:val="0"/>
        <w:overflowPunct/>
        <w:bidi w:val="0"/>
        <w:snapToGrid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2.专用合同条款的编号应与通用合同条款一致。</w:t>
      </w:r>
    </w:p>
    <w:p>
      <w:pPr>
        <w:pStyle w:val="19"/>
        <w:pageBreakBefore w:val="0"/>
        <w:kinsoku/>
        <w:wordWrap w:val="0"/>
        <w:overflowPunct/>
        <w:bidi w:val="0"/>
        <w:snapToGrid w:val="0"/>
        <w:spacing w:line="400" w:lineRule="atLeast"/>
        <w:ind w:firstLine="720" w:firstLineChars="300"/>
        <w:rPr>
          <w:rFonts w:hint="default" w:ascii="Times New Roman" w:hAnsi="Times New Roman" w:cs="Times New Roman"/>
          <w:color w:val="auto"/>
          <w:sz w:val="24"/>
          <w:highlight w:val="none"/>
        </w:rPr>
      </w:pP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br w:type="page"/>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根据本项目的具体情况，对通用合同条款的内容作如下补充、细化：</w:t>
      </w:r>
    </w:p>
    <w:p>
      <w:pPr>
        <w:pageBreakBefore w:val="0"/>
        <w:kinsoku/>
        <w:wordWrap w:val="0"/>
        <w:overflowPunct/>
        <w:bidi w:val="0"/>
        <w:spacing w:line="440" w:lineRule="atLeast"/>
        <w:rPr>
          <w:rFonts w:hint="default" w:ascii="Times New Roman" w:hAnsi="Times New Roman" w:cs="Times New Roman"/>
          <w:color w:val="auto"/>
          <w:sz w:val="24"/>
          <w:highlight w:val="none"/>
        </w:rPr>
      </w:pP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67" w:name="_Toc31620"/>
      <w:bookmarkStart w:id="868" w:name="_Toc2167"/>
      <w:bookmarkStart w:id="869" w:name="_Toc509993915"/>
      <w:bookmarkStart w:id="870" w:name="_Toc19380"/>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一般约定</w:t>
      </w:r>
      <w:bookmarkEnd w:id="867"/>
      <w:bookmarkEnd w:id="868"/>
      <w:bookmarkEnd w:id="869"/>
      <w:bookmarkEnd w:id="870"/>
    </w:p>
    <w:p>
      <w:pPr>
        <w:pageBreakBefore w:val="0"/>
        <w:kinsoku/>
        <w:wordWrap w:val="0"/>
        <w:overflowPunct/>
        <w:bidi w:val="0"/>
        <w:spacing w:line="480" w:lineRule="exact"/>
        <w:ind w:firstLine="481"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1.1 词语定义</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1.1.2.2 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 xml:space="preserve">1.1.3.1 </w:t>
      </w:r>
      <w:r>
        <w:rPr>
          <w:rFonts w:hint="default" w:ascii="Times New Roman" w:hAnsi="Times New Roman" w:cs="Times New Roman"/>
          <w:color w:val="auto"/>
          <w:sz w:val="24"/>
          <w:highlight w:val="none"/>
        </w:rPr>
        <w:t>本次进行勘察设计招标的项目为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公路工程。</w:t>
      </w:r>
    </w:p>
    <w:p>
      <w:pPr>
        <w:pageBreakBefore w:val="0"/>
        <w:kinsoku/>
        <w:wordWrap w:val="0"/>
        <w:overflowPunct/>
        <w:bidi w:val="0"/>
        <w:spacing w:line="480" w:lineRule="exact"/>
        <w:ind w:firstLine="481"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1.6 文件的提供和照管</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1.6.2 发包人负责提供的文件包括：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，提供数量：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，提供期限：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71" w:name="_Toc509993916"/>
      <w:bookmarkStart w:id="872" w:name="_Toc31565"/>
      <w:bookmarkStart w:id="873" w:name="_Toc15274"/>
      <w:bookmarkStart w:id="874" w:name="_Toc20825"/>
      <w:r>
        <w:rPr>
          <w:rFonts w:hint="default" w:ascii="Times New Roman" w:hAnsi="Times New Roman" w:cs="Times New Roman"/>
          <w:color w:val="auto"/>
          <w:sz w:val="28"/>
          <w:szCs w:val="28"/>
          <w:highlight w:val="none"/>
        </w:rPr>
        <w:t xml:space="preserve">3. </w:t>
      </w:r>
      <w:r>
        <w:rPr>
          <w:rFonts w:hint="default" w:ascii="Times New Roman" w:hAnsi="Times New Roman" w:eastAsia="黑体" w:cs="Times New Roman"/>
          <w:color w:val="auto"/>
          <w:sz w:val="28"/>
          <w:szCs w:val="28"/>
          <w:highlight w:val="none"/>
        </w:rPr>
        <w:t>发包人管理</w:t>
      </w:r>
      <w:bookmarkEnd w:id="871"/>
      <w:bookmarkEnd w:id="872"/>
      <w:bookmarkEnd w:id="873"/>
      <w:bookmarkEnd w:id="874"/>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3.2 监理人</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3.2.1 本工程是否委托监理人进行勘察设计监理：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如进行勘察设计监理，监理人的监理范围包括：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；职责权限：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；总监理工程师：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3.4 决定或答复</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3.4.2 发包人应在收到设计人书面提出的事项后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rPr>
        <w:t>天内作出书面答复。</w:t>
      </w:r>
    </w:p>
    <w:p>
      <w:pPr>
        <w:pStyle w:val="2"/>
        <w:pageBreakBefore w:val="0"/>
        <w:kinsoku/>
        <w:wordWrap w:val="0"/>
        <w:overflowPunct/>
        <w:bidi w:val="0"/>
        <w:spacing w:before="240" w:after="240" w:line="240" w:lineRule="atLeast"/>
        <w:ind w:firstLineChars="200"/>
        <w:rPr>
          <w:rFonts w:hint="default" w:ascii="Times New Roman" w:hAnsi="Times New Roman" w:cs="Times New Roman"/>
          <w:bCs/>
          <w:color w:val="auto"/>
          <w:sz w:val="28"/>
          <w:szCs w:val="28"/>
          <w:highlight w:val="none"/>
        </w:rPr>
      </w:pPr>
      <w:bookmarkStart w:id="875" w:name="_Toc25399"/>
      <w:r>
        <w:rPr>
          <w:rFonts w:hint="default" w:ascii="Times New Roman" w:hAnsi="Times New Roman" w:cs="Times New Roman"/>
          <w:bCs/>
          <w:color w:val="auto"/>
          <w:sz w:val="28"/>
          <w:szCs w:val="28"/>
          <w:highlight w:val="none"/>
        </w:rPr>
        <w:t>4. 设计人义务</w:t>
      </w:r>
      <w:bookmarkEnd w:id="875"/>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4.1 设计人的一般义务</w:t>
      </w:r>
    </w:p>
    <w:p>
      <w:pPr>
        <w:pageBreakBefore w:val="0"/>
        <w:kinsoku/>
        <w:wordWrap w:val="0"/>
        <w:overflowPunct/>
        <w:bidi w:val="0"/>
        <w:spacing w:line="480" w:lineRule="exact"/>
        <w:ind w:firstLine="480" w:firstLineChars="200"/>
        <w:rPr>
          <w:rFonts w:hint="default" w:ascii="Times New Roman" w:hAnsi="Times New Roman" w:cs="Times New Roman"/>
          <w:bCs w:val="0"/>
          <w:color w:val="auto"/>
          <w:sz w:val="24"/>
          <w:highlight w:val="none"/>
        </w:rPr>
      </w:pPr>
      <w:r>
        <w:rPr>
          <w:rFonts w:hint="default" w:ascii="Times New Roman" w:hAnsi="Times New Roman" w:cs="Times New Roman"/>
          <w:bCs w:val="0"/>
          <w:color w:val="auto"/>
          <w:sz w:val="24"/>
          <w:highlight w:val="none"/>
        </w:rPr>
        <w:t>4.1.7 设计人应严格执行辽宁省交通运输厅关于印发《辽宁省公路工程施工现场主要人员履约监督管理办法》的通知（辽交公路规﹝2025﹞3号）中关于主要人员履约考核管理的规定。</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76" w:name="_Toc509993917"/>
      <w:bookmarkStart w:id="877" w:name="_Toc11339"/>
      <w:bookmarkStart w:id="878" w:name="_Toc24063"/>
      <w:bookmarkStart w:id="879" w:name="_Toc15723"/>
      <w:r>
        <w:rPr>
          <w:rFonts w:hint="default" w:ascii="Times New Roman" w:hAnsi="Times New Roman" w:cs="Times New Roman"/>
          <w:color w:val="auto"/>
          <w:sz w:val="28"/>
          <w:szCs w:val="28"/>
          <w:highlight w:val="none"/>
        </w:rPr>
        <w:t xml:space="preserve">5. </w:t>
      </w:r>
      <w:r>
        <w:rPr>
          <w:rFonts w:hint="default" w:ascii="Times New Roman" w:hAnsi="Times New Roman" w:eastAsia="黑体" w:cs="Times New Roman"/>
          <w:color w:val="auto"/>
          <w:sz w:val="28"/>
          <w:szCs w:val="28"/>
          <w:highlight w:val="none"/>
        </w:rPr>
        <w:t>勘察设计要求</w:t>
      </w:r>
      <w:bookmarkEnd w:id="876"/>
      <w:bookmarkEnd w:id="877"/>
      <w:bookmarkEnd w:id="878"/>
      <w:bookmarkEnd w:id="87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5.3 勘察设计范围</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5.3.2 工程范围包括：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5.3.3 </w:t>
      </w:r>
      <w:r>
        <w:rPr>
          <w:rFonts w:hint="default" w:ascii="Times New Roman" w:hAnsi="Times New Roman" w:cs="Times New Roman"/>
          <w:bCs/>
          <w:color w:val="auto"/>
          <w:sz w:val="24"/>
          <w:highlight w:val="none"/>
        </w:rPr>
        <w:t>阶段范围包括：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5.3.4 </w:t>
      </w:r>
      <w:r>
        <w:rPr>
          <w:rFonts w:hint="default" w:ascii="Times New Roman" w:hAnsi="Times New Roman" w:cs="Times New Roman"/>
          <w:bCs/>
          <w:color w:val="auto"/>
          <w:sz w:val="24"/>
          <w:highlight w:val="none"/>
        </w:rPr>
        <w:t>工作范围包括：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5.7 安全作业要求</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5.7.1 设计人编制安全措施计划的期限：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80" w:name="_Toc509993918"/>
      <w:bookmarkStart w:id="881" w:name="_Toc8755"/>
      <w:bookmarkStart w:id="882" w:name="_Toc26855"/>
      <w:bookmarkStart w:id="883" w:name="_Toc24519"/>
      <w:r>
        <w:rPr>
          <w:rFonts w:hint="default" w:ascii="Times New Roman" w:hAnsi="Times New Roman" w:cs="Times New Roman"/>
          <w:color w:val="auto"/>
          <w:sz w:val="28"/>
          <w:szCs w:val="28"/>
          <w:highlight w:val="none"/>
        </w:rPr>
        <w:t xml:space="preserve">6. </w:t>
      </w:r>
      <w:r>
        <w:rPr>
          <w:rFonts w:hint="default" w:ascii="Times New Roman" w:hAnsi="Times New Roman" w:eastAsia="黑体" w:cs="Times New Roman"/>
          <w:color w:val="auto"/>
          <w:sz w:val="28"/>
          <w:szCs w:val="28"/>
          <w:highlight w:val="none"/>
        </w:rPr>
        <w:t>开始勘察设计和完成勘察设计</w:t>
      </w:r>
      <w:bookmarkEnd w:id="880"/>
      <w:bookmarkEnd w:id="881"/>
      <w:bookmarkEnd w:id="882"/>
      <w:bookmarkEnd w:id="883"/>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6.1 开始勘察设计</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6.1.1 满足以下条件时，发包人应向设计人发出开始勘察设计通知：</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bCs/>
          <w:color w:val="auto"/>
          <w:sz w:val="24"/>
          <w:highlight w:val="none"/>
        </w:rPr>
        <w:t>勘察设计服务周期安排：</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6.2 发包人引起的周期延误</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由于发包人原因造成勘察设计服务期限延误的，延长勘察设计服务期限的计算方法：</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；增加</w:t>
      </w:r>
      <w:r>
        <w:rPr>
          <w:rFonts w:hint="default" w:ascii="Times New Roman" w:hAnsi="Times New Roman" w:cs="Times New Roman"/>
          <w:bCs/>
          <w:color w:val="auto"/>
          <w:sz w:val="24"/>
          <w:highlight w:val="none"/>
        </w:rPr>
        <w:t>勘察设计费用的计算方法：</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6.3 设计人引起的周期延误</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逾期违约金的计算方法：</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r>
        <w:rPr>
          <w:rFonts w:hint="default" w:ascii="Times New Roman" w:hAnsi="Times New Roman" w:cs="Times New Roman"/>
          <w:bCs/>
          <w:color w:val="auto"/>
          <w:sz w:val="24"/>
          <w:highlight w:val="none"/>
        </w:rPr>
        <w:t>逾期违约金的最高限额：</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6.5 非人为因素引起的周期延误</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6.5.1 异常恶劣气候条件包括：</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r>
        <w:rPr>
          <w:rFonts w:hint="default" w:ascii="Times New Roman" w:hAnsi="Times New Roman" w:cs="Times New Roman"/>
          <w:bCs/>
          <w:color w:val="auto"/>
          <w:sz w:val="24"/>
          <w:highlight w:val="none"/>
        </w:rPr>
        <w:t>不利物质条件包括：</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6.7 提前完成勘察设计</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6.7.3 由于设计人提前完成勘察设计而给发包人带来经济效益的，发包人给予设计人如下奖励：</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bCs/>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84" w:name="_Toc9627"/>
      <w:bookmarkStart w:id="885" w:name="_Toc25552"/>
      <w:bookmarkStart w:id="886" w:name="_Toc16746"/>
      <w:bookmarkStart w:id="887" w:name="_Toc509993919"/>
      <w:r>
        <w:rPr>
          <w:rFonts w:hint="default" w:ascii="Times New Roman" w:hAnsi="Times New Roman" w:cs="Times New Roman"/>
          <w:color w:val="auto"/>
          <w:sz w:val="28"/>
          <w:szCs w:val="28"/>
          <w:highlight w:val="none"/>
        </w:rPr>
        <w:t xml:space="preserve">8. </w:t>
      </w:r>
      <w:r>
        <w:rPr>
          <w:rFonts w:hint="default" w:ascii="Times New Roman" w:hAnsi="Times New Roman" w:eastAsia="黑体" w:cs="Times New Roman"/>
          <w:color w:val="auto"/>
          <w:sz w:val="28"/>
          <w:szCs w:val="28"/>
          <w:highlight w:val="none"/>
        </w:rPr>
        <w:t>勘察设计文件</w:t>
      </w:r>
      <w:bookmarkEnd w:id="884"/>
      <w:bookmarkEnd w:id="885"/>
      <w:bookmarkEnd w:id="886"/>
      <w:bookmarkEnd w:id="887"/>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8.1 勘察设计文件接收</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8.1.3 勘察设计文件提交要求：</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（1）合同签订后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个月内，通过初测、初勘外业验收并提交初测、初勘报告送审稿</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（2）初测、初勘外业验收后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个月内，提交初步设计文件送审稿</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（3）初步设计文件批复后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个月内，通过详勘、定测外业验收并提交详勘、定测报告送审稿</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（4）合同签订后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个月内，陆续提交各专题研究报告送审稿</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（5）详勘、定测外业验收后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个月内，提交主体土建工程（包括</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工程）施工图设计文件送审稿</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份；其余工程的施工图设计文件根据工程项目进展及发包人要求进行提供；</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（6）根据咨询单位、发包人和上级主管部门审查意见，对勘察报告、各设计文件及专题研究报告进行修改完善，提交勘察报告、初步设计文件和专题研究报告最终稿各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份，施工图设计文件最终稿每标段各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（7）根据发包人招标工作进度的需要，分批提交开展施工招标工作所需的图纸、工程量清单、参考资料、施工专用技术规范等招标资料（每标段</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份）。</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（8）征地拆迁图编绘：初步设计文件批复后</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天内完成；</w:t>
      </w:r>
    </w:p>
    <w:p>
      <w:pPr>
        <w:pageBreakBefore w:val="0"/>
        <w:kinsoku/>
        <w:wordWrap w:val="0"/>
        <w:overflowPunct/>
        <w:autoSpaceDE w:val="0"/>
        <w:bidi w:val="0"/>
        <w:adjustRightInd w:val="0"/>
        <w:spacing w:line="480" w:lineRule="exact"/>
        <w:ind w:firstLine="523" w:firstLineChars="218"/>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（9）施工现场配合服务：从项目开工至项目竣工验收，施工期暂定</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年；缺陷责任期</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年。</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snapToGrid w:val="0"/>
          <w:color w:val="auto"/>
          <w:sz w:val="24"/>
          <w:highlight w:val="none"/>
        </w:rPr>
        <w:t>设计人还应向发包人提交最终成果的书面计算书一份，各阶段勘察报告、设计文件及专题研究报告的电子版一份。</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8.2 发包人审查勘察设计文件</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8.2.1 发包人审查勘察设计文件的具体范围：</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；明细内容：</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；费用分担原则：</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88" w:name="_Toc19962"/>
      <w:bookmarkStart w:id="889" w:name="_Toc8032"/>
      <w:bookmarkStart w:id="890" w:name="_Toc20041"/>
      <w:bookmarkStart w:id="891" w:name="_Toc509993920"/>
      <w:r>
        <w:rPr>
          <w:rFonts w:hint="default" w:ascii="Times New Roman" w:hAnsi="Times New Roman" w:cs="Times New Roman"/>
          <w:color w:val="auto"/>
          <w:sz w:val="28"/>
          <w:szCs w:val="28"/>
          <w:highlight w:val="none"/>
        </w:rPr>
        <w:t xml:space="preserve">10. </w:t>
      </w:r>
      <w:r>
        <w:rPr>
          <w:rFonts w:hint="default" w:ascii="Times New Roman" w:hAnsi="Times New Roman" w:eastAsia="黑体" w:cs="Times New Roman"/>
          <w:color w:val="auto"/>
          <w:sz w:val="28"/>
          <w:szCs w:val="28"/>
          <w:highlight w:val="none"/>
        </w:rPr>
        <w:t>招标和施工期间配合</w:t>
      </w:r>
      <w:bookmarkEnd w:id="888"/>
      <w:bookmarkEnd w:id="889"/>
      <w:bookmarkEnd w:id="890"/>
      <w:bookmarkEnd w:id="891"/>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10.2 施工期间配合</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10.2.6本项目对设计代表的数量和资历条件要求：常驻施工现场的设计代表应不少于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名，其中至少有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名，……；设计代表应由负责本勘察设计项目的上述专业分项负责人或项目负责人担任。</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92" w:name="_Toc509993921"/>
      <w:bookmarkStart w:id="893" w:name="_Toc22330"/>
      <w:bookmarkStart w:id="894" w:name="_Toc17253"/>
      <w:bookmarkStart w:id="895" w:name="_Toc5488"/>
      <w:r>
        <w:rPr>
          <w:rFonts w:hint="default" w:ascii="Times New Roman" w:hAnsi="Times New Roman" w:cs="Times New Roman"/>
          <w:color w:val="auto"/>
          <w:sz w:val="28"/>
          <w:szCs w:val="28"/>
          <w:highlight w:val="none"/>
        </w:rPr>
        <w:t xml:space="preserve">11. </w:t>
      </w:r>
      <w:r>
        <w:rPr>
          <w:rFonts w:hint="default" w:ascii="Times New Roman" w:hAnsi="Times New Roman" w:eastAsia="黑体" w:cs="Times New Roman"/>
          <w:color w:val="auto"/>
          <w:sz w:val="28"/>
          <w:szCs w:val="28"/>
          <w:highlight w:val="none"/>
        </w:rPr>
        <w:t>合同变更</w:t>
      </w:r>
      <w:bookmarkEnd w:id="892"/>
      <w:bookmarkEnd w:id="893"/>
      <w:bookmarkEnd w:id="894"/>
      <w:bookmarkEnd w:id="895"/>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11.1 变更情形</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11.1.1 合同变更时，勘察设计服务期限的调整方法：</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；勘察设计费用的调整方法：</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11.2 合理化建议</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11.2.2 设计人提出的合理化建议降低了工程投资、缩短了施工期限或者提高了工程经济效益的，发包人给予设计人如下奖励：</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896" w:name="_Toc9360"/>
      <w:bookmarkStart w:id="897" w:name="_Toc16173"/>
      <w:bookmarkStart w:id="898" w:name="_Toc28695"/>
      <w:bookmarkStart w:id="899" w:name="_Toc509993922"/>
      <w:r>
        <w:rPr>
          <w:rFonts w:hint="default" w:ascii="Times New Roman" w:hAnsi="Times New Roman" w:cs="Times New Roman"/>
          <w:color w:val="auto"/>
          <w:sz w:val="28"/>
          <w:szCs w:val="28"/>
          <w:highlight w:val="none"/>
        </w:rPr>
        <w:t xml:space="preserve">12. </w:t>
      </w:r>
      <w:r>
        <w:rPr>
          <w:rFonts w:hint="default" w:ascii="Times New Roman" w:hAnsi="Times New Roman" w:eastAsia="黑体" w:cs="Times New Roman"/>
          <w:color w:val="auto"/>
          <w:sz w:val="28"/>
          <w:szCs w:val="28"/>
          <w:highlight w:val="none"/>
        </w:rPr>
        <w:t>合同价格与支付</w:t>
      </w:r>
      <w:bookmarkEnd w:id="896"/>
      <w:bookmarkEnd w:id="897"/>
      <w:bookmarkEnd w:id="898"/>
      <w:bookmarkEnd w:id="899"/>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12.1 合同价格</w:t>
      </w:r>
    </w:p>
    <w:p>
      <w:pPr>
        <w:pageBreakBefore w:val="0"/>
        <w:kinsoku/>
        <w:wordWrap w:val="0"/>
        <w:overflowPunct/>
        <w:bidi w:val="0"/>
        <w:spacing w:line="48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color w:val="auto"/>
          <w:sz w:val="24"/>
          <w:highlight w:val="none"/>
        </w:rPr>
        <w:t>12.1.1 本合同的报价方式：</w:t>
      </w:r>
      <w:r>
        <w:rPr>
          <w:rFonts w:hint="default" w:ascii="Times New Roman" w:hAnsi="Times New Roman" w:cs="Times New Roman"/>
          <w:bCs/>
          <w:snapToGrid w:val="0"/>
          <w:color w:val="auto"/>
          <w:sz w:val="24"/>
          <w:highlight w:val="none"/>
          <w:u w:val="single"/>
        </w:rPr>
        <w:t xml:space="preserve">  总价合同或单价合同  </w:t>
      </w:r>
      <w:r>
        <w:rPr>
          <w:rFonts w:hint="default" w:ascii="Times New Roman" w:hAnsi="Times New Roman" w:cs="Times New Roman"/>
          <w:bCs/>
          <w:snapToGrid w:val="0"/>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在合同实施期间，由于人工、材料、设备等因素的市场价格变化导致本项目勘察设计费用变化，</w:t>
      </w:r>
      <w:r>
        <w:rPr>
          <w:rFonts w:hint="default" w:ascii="Times New Roman" w:hAnsi="Times New Roman" w:cs="Times New Roman"/>
          <w:bCs/>
          <w:color w:val="auto"/>
          <w:sz w:val="24"/>
          <w:highlight w:val="none"/>
        </w:rPr>
        <w:t>合同价格的调整方式和风险范围划分：</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tabs>
          <w:tab w:val="left" w:pos="900"/>
        </w:tabs>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合同计价模式为总价合同的，勘察设计费用支付阶段如下：</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（1）合同签署后28天内，发包人向设计人支付</w:t>
      </w:r>
      <w:r>
        <w:rPr>
          <w:rFonts w:hint="default" w:ascii="Times New Roman" w:hAnsi="Times New Roman" w:cs="Times New Roman"/>
          <w:color w:val="auto"/>
          <w:kern w:val="0"/>
          <w:sz w:val="24"/>
          <w:highlight w:val="none"/>
        </w:rPr>
        <w:t>勘察设计费用</w:t>
      </w:r>
      <w:r>
        <w:rPr>
          <w:rFonts w:hint="default" w:ascii="Times New Roman" w:hAnsi="Times New Roman" w:cs="Times New Roman"/>
          <w:snapToGrid w:val="0"/>
          <w:color w:val="auto"/>
          <w:sz w:val="24"/>
          <w:highlight w:val="none"/>
        </w:rPr>
        <w:t>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％作为</w:t>
      </w:r>
      <w:r>
        <w:rPr>
          <w:rFonts w:hint="default" w:ascii="Times New Roman" w:hAnsi="Times New Roman" w:cs="Times New Roman"/>
          <w:color w:val="auto"/>
          <w:sz w:val="24"/>
          <w:highlight w:val="none"/>
        </w:rPr>
        <w:t>预付款（本合同履行后，预付款抵作勘察设计费，不再扣回）；</w:t>
      </w:r>
    </w:p>
    <w:p>
      <w:pPr>
        <w:pageBreakBefore w:val="0"/>
        <w:kinsoku/>
        <w:wordWrap w:val="0"/>
        <w:overflowPunct/>
        <w:bidi w:val="0"/>
        <w:spacing w:line="48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（2）</w:t>
      </w:r>
      <w:r>
        <w:rPr>
          <w:rFonts w:hint="default" w:ascii="Times New Roman" w:hAnsi="Times New Roman" w:cs="Times New Roman"/>
          <w:color w:val="auto"/>
          <w:kern w:val="0"/>
          <w:sz w:val="24"/>
          <w:highlight w:val="none"/>
        </w:rPr>
        <w:t>初步设计文件按期完成后并送至发包人处，经发包人或上级主管部门审查、修改批准后，支付勘察设计费用的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（3）主体土建工程施工图设计文件按期完成后并送至发包人处，经发包人或上级主管部门审查、修改批准后，</w:t>
      </w:r>
      <w:r>
        <w:rPr>
          <w:rFonts w:hint="default" w:ascii="Times New Roman" w:hAnsi="Times New Roman" w:cs="Times New Roman"/>
          <w:color w:val="auto"/>
          <w:kern w:val="0"/>
          <w:sz w:val="24"/>
          <w:highlight w:val="none"/>
        </w:rPr>
        <w:t>支付勘察设计费用的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snapToGrid w:val="0"/>
          <w:color w:val="auto"/>
          <w:sz w:val="24"/>
          <w:highlight w:val="none"/>
        </w:rPr>
        <w:t>（4）</w:t>
      </w:r>
      <w:r>
        <w:rPr>
          <w:rFonts w:hint="default" w:ascii="Times New Roman" w:hAnsi="Times New Roman" w:cs="Times New Roman"/>
          <w:color w:val="auto"/>
          <w:sz w:val="24"/>
          <w:highlight w:val="none"/>
        </w:rPr>
        <w:t>施工招标图纸、参考资料、工程量清单及施工专用技术规范按期完成后并送至发包人处，发包人施工招标完成并与施工单位签订施工合同之后，支付</w:t>
      </w:r>
      <w:r>
        <w:rPr>
          <w:rFonts w:hint="default" w:ascii="Times New Roman" w:hAnsi="Times New Roman" w:cs="Times New Roman"/>
          <w:color w:val="auto"/>
          <w:kern w:val="0"/>
          <w:sz w:val="24"/>
          <w:highlight w:val="none"/>
        </w:rPr>
        <w:t>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（5）全部工程施工图设计文件均按期完成并送至发包人处，经发包人或上级主管部门审查、修改批准后，向设计人支付至勘察设计费用的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（6）施工配合期内各年度末，发包人每年向设计人支付勘察设计费用的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（7）本项目交工证书签发后28天内，发包人向设计人退还质量保证金。</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合同计价模式为单价合同的，勘察设计费用支付阶段如下：</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（1）合同签署后28天内，发包人向设计人支付</w:t>
      </w:r>
      <w:r>
        <w:rPr>
          <w:rFonts w:hint="default" w:ascii="Times New Roman" w:hAnsi="Times New Roman" w:cs="Times New Roman"/>
          <w:color w:val="auto"/>
          <w:kern w:val="0"/>
          <w:sz w:val="24"/>
          <w:highlight w:val="none"/>
        </w:rPr>
        <w:t>勘察设计费用</w:t>
      </w:r>
      <w:r>
        <w:rPr>
          <w:rFonts w:hint="default" w:ascii="Times New Roman" w:hAnsi="Times New Roman" w:cs="Times New Roman"/>
          <w:snapToGrid w:val="0"/>
          <w:color w:val="auto"/>
          <w:sz w:val="24"/>
          <w:highlight w:val="none"/>
        </w:rPr>
        <w:t>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％作为</w:t>
      </w:r>
      <w:r>
        <w:rPr>
          <w:rFonts w:hint="default" w:ascii="Times New Roman" w:hAnsi="Times New Roman" w:cs="Times New Roman"/>
          <w:color w:val="auto"/>
          <w:sz w:val="24"/>
          <w:highlight w:val="none"/>
        </w:rPr>
        <w:t>预付款（本合同履行后，预付款抵作勘察设计费，不再扣回）；</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snapToGrid w:val="0"/>
          <w:color w:val="auto"/>
          <w:sz w:val="24"/>
          <w:highlight w:val="none"/>
        </w:rPr>
        <w:t>（2）本项目勘察设计</w:t>
      </w:r>
      <w:r>
        <w:rPr>
          <w:rFonts w:hint="default" w:ascii="Times New Roman" w:hAnsi="Times New Roman" w:cs="Times New Roman"/>
          <w:color w:val="auto"/>
          <w:sz w:val="24"/>
          <w:highlight w:val="none"/>
        </w:rPr>
        <w:t>工作采用综合单价计价，报价清单中所列工作量是预估数量，仅作为投标的共同基础，不能作为最终结算支付的依据；实际支付应按实际完成并经发包人确认的工作量和报价清单的单价计算支付金额；</w:t>
      </w:r>
    </w:p>
    <w:p>
      <w:pPr>
        <w:pageBreakBefore w:val="0"/>
        <w:kinsoku/>
        <w:wordWrap w:val="0"/>
        <w:overflowPunct/>
        <w:bidi w:val="0"/>
        <w:spacing w:line="48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color w:val="auto"/>
          <w:sz w:val="24"/>
          <w:highlight w:val="none"/>
        </w:rPr>
        <w:t>（3）初步设计文件按期完成后并送至发包人处，经发包人或上级主管部门审查、修改批准后，支</w:t>
      </w:r>
      <w:r>
        <w:rPr>
          <w:rFonts w:hint="default" w:ascii="Times New Roman" w:hAnsi="Times New Roman" w:cs="Times New Roman"/>
          <w:color w:val="auto"/>
          <w:kern w:val="0"/>
          <w:sz w:val="24"/>
          <w:highlight w:val="none"/>
        </w:rPr>
        <w:t>付初步设计阶段勘察设计费用的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（4）主体土建工程施工图设计文件按期完成后并送至发包人处，经发包人或上级主管部门审查、修改批准后，</w:t>
      </w:r>
      <w:r>
        <w:rPr>
          <w:rFonts w:hint="default" w:ascii="Times New Roman" w:hAnsi="Times New Roman" w:cs="Times New Roman"/>
          <w:color w:val="auto"/>
          <w:kern w:val="0"/>
          <w:sz w:val="24"/>
          <w:highlight w:val="none"/>
        </w:rPr>
        <w:t>支付施工图设计阶段勘察设计费用的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snapToGrid w:val="0"/>
          <w:color w:val="auto"/>
          <w:sz w:val="24"/>
          <w:highlight w:val="none"/>
        </w:rPr>
        <w:t>（5）</w:t>
      </w:r>
      <w:r>
        <w:rPr>
          <w:rFonts w:hint="default" w:ascii="Times New Roman" w:hAnsi="Times New Roman" w:cs="Times New Roman"/>
          <w:color w:val="auto"/>
          <w:sz w:val="24"/>
          <w:highlight w:val="none"/>
        </w:rPr>
        <w:t>全部工程施工图设计文件均按期完成并送至发包人处，经发包人或上级主管部门审查、修改批准后，向设计人支付至所有勘察设计费用的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（6）施工配合期内各年度末，发包人每年向设计人支付勘察设计费用的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（7）本项目交工证书签发后28天内，发包人向设计人退还质量保证金。</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12.2 预付款</w:t>
      </w:r>
    </w:p>
    <w:p>
      <w:pPr>
        <w:pageBreakBefore w:val="0"/>
        <w:kinsoku/>
        <w:wordWrap w:val="0"/>
        <w:overflowPunct/>
        <w:bidi w:val="0"/>
        <w:spacing w:line="44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12.2.1 预付款的额度、支付方式：</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12.3 中期支付</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12.3.1 中期支付申请的格式及份数：</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12.3.2 </w:t>
      </w:r>
      <w:r>
        <w:rPr>
          <w:rFonts w:hint="default" w:ascii="Times New Roman" w:hAnsi="Times New Roman" w:cs="Times New Roman"/>
          <w:bCs/>
          <w:color w:val="auto"/>
          <w:sz w:val="24"/>
          <w:highlight w:val="none"/>
        </w:rPr>
        <w:t>逾期付款违约金：</w:t>
      </w:r>
      <w:r>
        <w:rPr>
          <w:rFonts w:hint="default" w:ascii="Times New Roman" w:hAnsi="Times New Roman" w:cs="Times New Roman"/>
          <w:color w:val="auto"/>
          <w:sz w:val="24"/>
          <w:highlight w:val="none"/>
        </w:rPr>
        <w:t>每延期支付1天, 发包人应付给设计人拖欠金额的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highlight w:val="none"/>
          <w:vertAlign w:val="superscript"/>
        </w:rPr>
        <w:footnoteReference w:id="40"/>
      </w:r>
      <w:r>
        <w:rPr>
          <w:rFonts w:hint="default" w:ascii="Times New Roman" w:hAnsi="Times New Roman" w:cs="Times New Roman"/>
          <w:color w:val="auto"/>
          <w:sz w:val="24"/>
          <w:highlight w:val="none"/>
        </w:rPr>
        <w:t>的违约金。</w:t>
      </w:r>
    </w:p>
    <w:p>
      <w:pPr>
        <w:pageBreakBefore w:val="0"/>
        <w:kinsoku/>
        <w:wordWrap w:val="0"/>
        <w:overflowPunct/>
        <w:bidi w:val="0"/>
        <w:spacing w:line="44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 xml:space="preserve">12.3.3 </w:t>
      </w:r>
      <w:r>
        <w:rPr>
          <w:rFonts w:hint="default" w:ascii="Times New Roman" w:hAnsi="Times New Roman" w:cs="Times New Roman"/>
          <w:bCs/>
          <w:color w:val="auto"/>
          <w:sz w:val="24"/>
          <w:highlight w:val="none"/>
        </w:rPr>
        <w:t>中期支付涉及政府投资资金的，支付规定如下：</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12.4 费用结算</w:t>
      </w:r>
    </w:p>
    <w:p>
      <w:pPr>
        <w:pageBreakBefore w:val="0"/>
        <w:kinsoku/>
        <w:wordWrap w:val="0"/>
        <w:overflowPunct/>
        <w:bidi w:val="0"/>
        <w:spacing w:line="44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12.4.1 勘察设计费用结算申请的份数和提交期限：</w:t>
      </w:r>
      <w:r>
        <w:rPr>
          <w:rFonts w:hint="default" w:ascii="Times New Roman" w:hAnsi="Times New Roman" w:cs="Times New Roman"/>
          <w:bCs/>
          <w:color w:val="auto"/>
          <w:sz w:val="24"/>
          <w:highlight w:val="none"/>
          <w:u w:val="single"/>
        </w:rPr>
        <w:t xml:space="preserve">                      </w:t>
      </w:r>
      <w:r>
        <w:rPr>
          <w:rFonts w:hint="default" w:ascii="Times New Roman" w:hAnsi="Times New Roman" w:cs="Times New Roman"/>
          <w:bCs/>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12.4.2 逾期付款违约金：</w:t>
      </w:r>
      <w:r>
        <w:rPr>
          <w:rFonts w:hint="default" w:ascii="Times New Roman" w:hAnsi="Times New Roman" w:cs="Times New Roman"/>
          <w:color w:val="auto"/>
          <w:sz w:val="24"/>
          <w:highlight w:val="none"/>
        </w:rPr>
        <w:t>每延期支付1天, 发包人应付给设计人拖欠金额的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highlight w:val="none"/>
          <w:vertAlign w:val="superscript"/>
        </w:rPr>
        <w:footnoteReference w:id="41"/>
      </w:r>
      <w:r>
        <w:rPr>
          <w:rFonts w:hint="default" w:ascii="Times New Roman" w:hAnsi="Times New Roman" w:cs="Times New Roman"/>
          <w:color w:val="auto"/>
          <w:sz w:val="24"/>
          <w:highlight w:val="none"/>
        </w:rPr>
        <w:t>的违约金。</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12.5 暂列金额</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 xml:space="preserve">12.5.1 </w:t>
      </w:r>
      <w:r>
        <w:rPr>
          <w:rFonts w:hint="default" w:ascii="Times New Roman" w:hAnsi="Times New Roman" w:cs="Times New Roman"/>
          <w:color w:val="auto"/>
          <w:sz w:val="24"/>
          <w:highlight w:val="none"/>
        </w:rPr>
        <w:t>本合同的暂列金额为工程勘察设计费的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12.6 质量保证金</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本项目的质量保证金为勘察设计费用总额的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Style w:val="56"/>
          <w:rFonts w:hint="default" w:ascii="Times New Roman" w:hAnsi="Times New Roman" w:cs="Times New Roman"/>
          <w:color w:val="auto"/>
          <w:sz w:val="24"/>
          <w:highlight w:val="none"/>
        </w:rPr>
        <w:footnoteReference w:id="42"/>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900" w:name="_Toc4207"/>
      <w:bookmarkStart w:id="901" w:name="_Toc509993923"/>
      <w:bookmarkStart w:id="902" w:name="_Toc28862"/>
      <w:bookmarkStart w:id="903" w:name="_Toc9103"/>
      <w:r>
        <w:rPr>
          <w:rFonts w:hint="default" w:ascii="Times New Roman" w:hAnsi="Times New Roman" w:cs="Times New Roman"/>
          <w:color w:val="auto"/>
          <w:sz w:val="28"/>
          <w:szCs w:val="28"/>
          <w:highlight w:val="none"/>
        </w:rPr>
        <w:t xml:space="preserve">14. </w:t>
      </w:r>
      <w:r>
        <w:rPr>
          <w:rFonts w:hint="default" w:ascii="Times New Roman" w:hAnsi="Times New Roman" w:eastAsia="黑体" w:cs="Times New Roman"/>
          <w:color w:val="auto"/>
          <w:sz w:val="28"/>
          <w:szCs w:val="28"/>
          <w:highlight w:val="none"/>
        </w:rPr>
        <w:t>违约</w:t>
      </w:r>
      <w:bookmarkEnd w:id="900"/>
      <w:bookmarkEnd w:id="901"/>
      <w:bookmarkEnd w:id="902"/>
      <w:bookmarkEnd w:id="903"/>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14.1 设计人违约</w:t>
      </w:r>
    </w:p>
    <w:p>
      <w:pPr>
        <w:pageBreakBefore w:val="0"/>
        <w:kinsoku/>
        <w:wordWrap w:val="0"/>
        <w:overflowPunct/>
        <w:bidi w:val="0"/>
        <w:spacing w:line="480" w:lineRule="exact"/>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bCs/>
          <w:color w:val="auto"/>
          <w:sz w:val="24"/>
          <w:highlight w:val="none"/>
        </w:rPr>
        <w:t>14.1.1（10）施工图预算超过初步设计概算的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%，或工程竣工决算超过施工图预算的</w:t>
      </w:r>
      <w:bookmarkStart w:id="904" w:name="_Hlk485633155"/>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w:t>
      </w:r>
      <w:bookmarkEnd w:id="904"/>
      <w:r>
        <w:rPr>
          <w:rFonts w:hint="default" w:ascii="Times New Roman" w:hAnsi="Times New Roman" w:cs="Times New Roman"/>
          <w:snapToGrid w:val="0"/>
          <w:color w:val="auto"/>
          <w:sz w:val="24"/>
          <w:highlight w:val="none"/>
        </w:rPr>
        <w:t>；</w:t>
      </w:r>
    </w:p>
    <w:p>
      <w:pPr>
        <w:pageBreakBefore w:val="0"/>
        <w:kinsoku/>
        <w:wordWrap w:val="0"/>
        <w:overflowPunct/>
        <w:bidi w:val="0"/>
        <w:spacing w:line="480" w:lineRule="exact"/>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（11）单个合同段</w:t>
      </w:r>
      <w:r>
        <w:rPr>
          <w:rFonts w:hint="default" w:ascii="Times New Roman" w:hAnsi="Times New Roman" w:cs="Times New Roman"/>
          <w:color w:val="auto"/>
          <w:sz w:val="24"/>
          <w:highlight w:val="none"/>
        </w:rPr>
        <w:t>因变更引起的工程费用调整累计超过该合同段合同价的</w:t>
      </w:r>
      <w:r>
        <w:rPr>
          <w:rFonts w:hint="default" w:ascii="Times New Roman" w:hAnsi="Times New Roman" w:cs="Times New Roman"/>
          <w:snapToGrid w:val="0"/>
          <w:color w:val="auto"/>
          <w:sz w:val="24"/>
          <w:highlight w:val="none"/>
          <w:u w:val="single"/>
        </w:rPr>
        <w:t xml:space="preserve">    </w:t>
      </w:r>
      <w:r>
        <w:rPr>
          <w:rFonts w:hint="default" w:ascii="Times New Roman" w:hAnsi="Times New Roman" w:cs="Times New Roman"/>
          <w:snapToGrid w:val="0"/>
          <w:color w:val="auto"/>
          <w:sz w:val="24"/>
          <w:highlight w:val="none"/>
        </w:rPr>
        <w:t xml:space="preserve">%。 </w:t>
      </w:r>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14.1.2 设计人发生违约情况时，</w:t>
      </w:r>
      <w:r>
        <w:rPr>
          <w:rFonts w:hint="default" w:ascii="Times New Roman" w:hAnsi="Times New Roman" w:cs="Times New Roman"/>
          <w:color w:val="auto"/>
          <w:sz w:val="24"/>
          <w:highlight w:val="none"/>
        </w:rPr>
        <w:t>发包人有权向设计人课以违约金，具体约定如下：</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80" w:lineRule="exact"/>
        <w:ind w:firstLine="481"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14.2 发包人违约</w:t>
      </w:r>
    </w:p>
    <w:p>
      <w:pPr>
        <w:pageBreakBefore w:val="0"/>
        <w:kinsoku/>
        <w:wordWrap w:val="0"/>
        <w:overflowPunct/>
        <w:bidi w:val="0"/>
        <w:spacing w:line="480" w:lineRule="exact"/>
        <w:ind w:firstLine="480" w:firstLineChars="200"/>
        <w:rPr>
          <w:rFonts w:hint="default" w:ascii="Times New Roman" w:hAnsi="Times New Roman" w:eastAsia="黑体" w:cs="Times New Roman"/>
          <w:color w:val="auto"/>
          <w:sz w:val="28"/>
          <w:szCs w:val="28"/>
          <w:highlight w:val="none"/>
        </w:rPr>
      </w:pPr>
      <w:r>
        <w:rPr>
          <w:rFonts w:hint="default" w:ascii="Times New Roman" w:hAnsi="Times New Roman" w:cs="Times New Roman"/>
          <w:bCs/>
          <w:color w:val="auto"/>
          <w:sz w:val="24"/>
          <w:highlight w:val="none"/>
        </w:rPr>
        <w:t>14.2.2发包人发生违约情况时，设计人有权向发包人</w:t>
      </w:r>
      <w:r>
        <w:rPr>
          <w:rFonts w:hint="default" w:ascii="Times New Roman" w:hAnsi="Times New Roman" w:cs="Times New Roman"/>
          <w:color w:val="auto"/>
          <w:sz w:val="24"/>
          <w:highlight w:val="none"/>
        </w:rPr>
        <w:t>课以违约金，具体约定如下：</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Style w:val="2"/>
        <w:pageBreakBefore w:val="0"/>
        <w:kinsoku/>
        <w:wordWrap w:val="0"/>
        <w:overflowPunct/>
        <w:bidi w:val="0"/>
        <w:spacing w:before="240" w:after="240" w:line="240" w:lineRule="atLeast"/>
        <w:rPr>
          <w:rFonts w:hint="default" w:ascii="Times New Roman" w:hAnsi="Times New Roman" w:cs="Times New Roman"/>
          <w:color w:val="auto"/>
          <w:sz w:val="28"/>
          <w:szCs w:val="28"/>
          <w:highlight w:val="none"/>
        </w:rPr>
      </w:pPr>
      <w:bookmarkStart w:id="905" w:name="_Toc24913"/>
      <w:bookmarkStart w:id="906" w:name="_Toc4363"/>
      <w:bookmarkStart w:id="907" w:name="_Toc509993924"/>
      <w:bookmarkStart w:id="908" w:name="_Toc3339"/>
      <w:r>
        <w:rPr>
          <w:rFonts w:hint="default" w:ascii="Times New Roman" w:hAnsi="Times New Roman" w:cs="Times New Roman"/>
          <w:color w:val="auto"/>
          <w:sz w:val="28"/>
          <w:szCs w:val="28"/>
          <w:highlight w:val="none"/>
        </w:rPr>
        <w:t xml:space="preserve">15. </w:t>
      </w:r>
      <w:r>
        <w:rPr>
          <w:rFonts w:hint="default" w:ascii="Times New Roman" w:hAnsi="Times New Roman" w:eastAsia="黑体" w:cs="Times New Roman"/>
          <w:color w:val="auto"/>
          <w:sz w:val="28"/>
          <w:szCs w:val="28"/>
          <w:highlight w:val="none"/>
        </w:rPr>
        <w:t>争议的解决</w:t>
      </w:r>
      <w:bookmarkEnd w:id="905"/>
      <w:bookmarkEnd w:id="906"/>
      <w:bookmarkEnd w:id="907"/>
      <w:bookmarkEnd w:id="908"/>
    </w:p>
    <w:p>
      <w:pPr>
        <w:pageBreakBefore w:val="0"/>
        <w:kinsoku/>
        <w:wordWrap w:val="0"/>
        <w:overflowPunct/>
        <w:bidi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 xml:space="preserve">15.1 </w:t>
      </w:r>
      <w:r>
        <w:rPr>
          <w:rFonts w:hint="default" w:ascii="Times New Roman" w:hAnsi="Times New Roman" w:cs="Times New Roman"/>
          <w:color w:val="auto"/>
          <w:sz w:val="24"/>
          <w:highlight w:val="none"/>
        </w:rPr>
        <w:t>争议的最终解决方式：</w:t>
      </w:r>
      <w:r>
        <w:rPr>
          <w:rFonts w:hint="default" w:ascii="Times New Roman" w:hAnsi="Times New Roman" w:cs="Times New Roman"/>
          <w:color w:val="auto"/>
          <w:sz w:val="24"/>
          <w:highlight w:val="none"/>
          <w:u w:val="single"/>
        </w:rPr>
        <w:t xml:space="preserve">  仲裁或诉讼  </w:t>
      </w:r>
    </w:p>
    <w:p>
      <w:pPr>
        <w:pStyle w:val="38"/>
        <w:pageBreakBefore w:val="0"/>
        <w:kinsoku/>
        <w:wordWrap w:val="0"/>
        <w:overflowPunct/>
        <w:bidi w:val="0"/>
        <w:spacing w:after="0" w:line="480" w:lineRule="exact"/>
        <w:ind w:firstLine="600" w:firstLineChars="25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如采用仲裁，仲裁机构名称：</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仲裁委员会。</w:t>
      </w:r>
    </w:p>
    <w:p>
      <w:pPr>
        <w:pStyle w:val="38"/>
        <w:pageBreakBefore w:val="0"/>
        <w:kinsoku/>
        <w:wordWrap w:val="0"/>
        <w:overflowPunct/>
        <w:bidi w:val="0"/>
        <w:spacing w:after="0" w:line="480" w:lineRule="exact"/>
        <w:ind w:firstLine="600" w:firstLineChars="25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szCs w:val="24"/>
          <w:highlight w:val="none"/>
        </w:rPr>
        <w:t>如采用诉讼，诉讼机构名称：</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法院。</w:t>
      </w:r>
      <w:bookmarkEnd w:id="465"/>
      <w:r>
        <w:rPr>
          <w:rFonts w:hint="default" w:ascii="Times New Roman" w:hAnsi="Times New Roman" w:eastAsia="黑体" w:cs="Times New Roman"/>
          <w:color w:val="auto"/>
          <w:sz w:val="24"/>
          <w:highlight w:val="none"/>
        </w:rPr>
        <w:br w:type="page"/>
      </w:r>
      <w:bookmarkStart w:id="909" w:name="_Toc234833230"/>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910" w:name="_Toc19327"/>
      <w:bookmarkStart w:id="911" w:name="_Toc31326"/>
      <w:bookmarkStart w:id="912" w:name="_Toc14746"/>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910"/>
    <w:bookmarkEnd w:id="911"/>
    <w:bookmarkEnd w:id="912"/>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jc w:val="center"/>
        <w:rPr>
          <w:rFonts w:hint="default" w:ascii="Times New Roman" w:hAnsi="Times New Roman" w:eastAsia="黑体" w:cs="Times New Roman"/>
          <w:b w:val="0"/>
          <w:color w:val="auto"/>
          <w:sz w:val="32"/>
          <w:szCs w:val="32"/>
          <w:highlight w:val="none"/>
        </w:rPr>
      </w:pPr>
      <w:bookmarkStart w:id="913" w:name="_Toc3270"/>
      <w:bookmarkStart w:id="914" w:name="_Toc31534"/>
      <w:bookmarkStart w:id="915" w:name="_Toc8956"/>
      <w:r>
        <w:rPr>
          <w:rFonts w:hint="default" w:ascii="Times New Roman" w:hAnsi="Times New Roman" w:eastAsia="黑体" w:cs="Times New Roman"/>
          <w:b w:val="0"/>
          <w:color w:val="auto"/>
          <w:sz w:val="32"/>
          <w:szCs w:val="32"/>
          <w:highlight w:val="none"/>
        </w:rPr>
        <w:t>第三节  合同附件格式</w:t>
      </w:r>
      <w:bookmarkEnd w:id="909"/>
      <w:bookmarkEnd w:id="913"/>
      <w:bookmarkEnd w:id="914"/>
      <w:bookmarkEnd w:id="915"/>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Style w:val="2"/>
        <w:pageBreakBefore w:val="0"/>
        <w:kinsoku/>
        <w:wordWrap w:val="0"/>
        <w:overflowPunct/>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0"/>
          <w:szCs w:val="20"/>
          <w:highlight w:val="none"/>
        </w:rPr>
        <w:br w:type="page"/>
      </w:r>
      <w:bookmarkStart w:id="916" w:name="_Toc32604"/>
      <w:bookmarkStart w:id="917" w:name="_Toc5358"/>
      <w:bookmarkStart w:id="918" w:name="_Toc234833231"/>
      <w:bookmarkStart w:id="919" w:name="_Toc27141"/>
      <w:r>
        <w:rPr>
          <w:rFonts w:hint="default" w:ascii="Times New Roman" w:hAnsi="Times New Roman" w:eastAsia="黑体" w:cs="Times New Roman"/>
          <w:b w:val="0"/>
          <w:color w:val="auto"/>
          <w:sz w:val="24"/>
          <w:szCs w:val="24"/>
          <w:highlight w:val="none"/>
        </w:rPr>
        <w:t>附件一 合同协议书</w:t>
      </w:r>
      <w:bookmarkEnd w:id="916"/>
      <w:bookmarkEnd w:id="917"/>
      <w:bookmarkEnd w:id="918"/>
      <w:bookmarkEnd w:id="919"/>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合 同 协 议 书</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u w:val="singl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）为实施</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设计人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标段勘察设计的投标。发包人和设计人共同达成如下协议。</w:t>
      </w:r>
    </w:p>
    <w:p>
      <w:pPr>
        <w:pageBreakBefore w:val="0"/>
        <w:kinsoku/>
        <w:wordWrap w:val="0"/>
        <w:overflowPunct/>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标段由K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至K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，长约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km，公路等级为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，设计速度为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路面，有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立交</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处；特大桥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m；大中桥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m；隧道</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m以及其他构造物工程等。</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下列文件应视为构成合同文件的组成部分：</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（1）本合同协议书及各种合同附件（含评标期间和合同谈判过程中的澄清文件和补充资料；设计人提交的经发包人审核通过的勘察设计详细工作大纲及进度计划、专题研究详细工作大纲等）；</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（4）专用合同条款；</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（5）通用合同条款；</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（6）发包人要求；</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（7）勘察设计费用清单；</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（8）设计人有关人员投入的承诺；</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（9）其他合同文件。</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上述合同文件互相补充和解释。如果合同文件之间存在矛盾或不一致之处，以上述文件的排列顺序在先者为准。</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3.签约合同价：人民币（大写）________元（¥________）。</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4.项目负责人：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5.勘察设计工作质量符合的标准和要求：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设计人承诺按合同约定承担工程的勘察设计工作，包括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发包人承诺按合同约定的条件、时间和方式向设计人支付合同价款。</w:t>
      </w:r>
    </w:p>
    <w:p>
      <w:pPr>
        <w:pageBreakBefore w:val="0"/>
        <w:kinsoku/>
        <w:wordWrap w:val="0"/>
        <w:overflowPunct/>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设计人计划开始勘察设计日期：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，实际日期按照发包人在开始勘察设计通知中载明的开始勘察设计日期为准。勘察设计服务期限为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天。</w:t>
      </w:r>
    </w:p>
    <w:p>
      <w:pPr>
        <w:pageBreakBefore w:val="0"/>
        <w:kinsoku/>
        <w:wordWrap w:val="0"/>
        <w:overflowPunct/>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本协议书在设计人提供履约保证金后，由双方法定代表人或其委托代理人签署并加盖单位章后生效。设计人完成全部勘察设计工作且勘察设计费用结清后失效。</w:t>
      </w:r>
    </w:p>
    <w:p>
      <w:pPr>
        <w:pageBreakBefore w:val="0"/>
        <w:kinsoku/>
        <w:wordWrap w:val="0"/>
        <w:overflowPunct/>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本协议书正本二份、副本____份，合同双方各执正本一份，副本____份，当正本与副本的内容不一致时，以正本为准。</w:t>
      </w:r>
    </w:p>
    <w:p>
      <w:pPr>
        <w:pageBreakBefore w:val="0"/>
        <w:kinsoku/>
        <w:wordWrap w:val="0"/>
        <w:overflowPunct/>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合同未尽事宜，双方另行签订补充协议。补充协议是合同的组成部分。</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设计人：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40" w:lineRule="exact"/>
        <w:ind w:firstLine="360" w:firstLineChars="1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Style w:val="2"/>
        <w:pageBreakBefore w:val="0"/>
        <w:kinsoku/>
        <w:wordWrap w:val="0"/>
        <w:overflowPunct/>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920" w:name="_Toc11102"/>
      <w:bookmarkStart w:id="921" w:name="_Toc234833232"/>
      <w:bookmarkStart w:id="922" w:name="_Toc10920"/>
      <w:bookmarkStart w:id="923" w:name="_Toc778"/>
      <w:r>
        <w:rPr>
          <w:rFonts w:hint="default" w:ascii="Times New Roman" w:hAnsi="Times New Roman" w:eastAsia="黑体" w:cs="Times New Roman"/>
          <w:b w:val="0"/>
          <w:color w:val="auto"/>
          <w:sz w:val="24"/>
          <w:szCs w:val="24"/>
          <w:highlight w:val="none"/>
        </w:rPr>
        <w:t>附件二 廉政合同</w:t>
      </w:r>
      <w:bookmarkEnd w:id="920"/>
      <w:bookmarkEnd w:id="921"/>
      <w:bookmarkEnd w:id="922"/>
      <w:bookmarkEnd w:id="923"/>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廉 政 合 同</w:t>
      </w:r>
    </w:p>
    <w:p>
      <w:pPr>
        <w:pageBreakBefore w:val="0"/>
        <w:kinsoku/>
        <w:wordWrap w:val="0"/>
        <w:overflowPunct/>
        <w:bidi w:val="0"/>
        <w:spacing w:line="400" w:lineRule="atLeast"/>
        <w:rPr>
          <w:rFonts w:hint="default" w:ascii="Times New Roman" w:hAnsi="Times New Roman" w:eastAsia="黑体" w:cs="Times New Roman"/>
          <w:b/>
          <w:color w:val="auto"/>
          <w:spacing w:val="30"/>
          <w:sz w:val="24"/>
          <w:highlight w:val="none"/>
        </w:rPr>
      </w:pP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（项目名称）的项目法人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（项目法人名称，以下简称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标段的勘察设计单位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（勘察设计单位名称，以下简称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设计人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），特订立如下合同。</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 发包人和设计人双方的权利和义务</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（1）严格遵守党的政策规定和国家有关法律法规及交通运输部的有关规定。</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（2）严格执行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标段勘察设计合同文件，自觉按合同办事。</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（3）双方的业务活动坚持公开、公正、诚信、透明的原则（法律认定的商业秘密和合同文件另有规定除外），不得损害国家和集体利益，不得违反工程建设管理规章制度。</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（4）建立健全廉政制度，开展廉政教育，设立廉政告示牌，公布举报电话，监督并认真查处违法违纪行为。</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（5）发现对方在业务活动中有违反廉政规定的行为，有及时提醒对方纠正的权利和义务。</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（6）发现对方严重违反本合同义务条款的行为，有向其上级有关部门举报、建议给予处理并要求告知处理结果的权利。</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 发包人的义务</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（1）发包人及其工作人员不得索要或接受设计人的礼金、有价证券和贵重物品，不得让设计人报销任何应由发包人或发包人工作人员个人支付的费用等。</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（2）发包人工作人员不得参加设计人安排的超标准宴请和娱乐活动；不得接受设计人提供的通信工具、交通工具和高档办公用品等。</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（3）发包人及其工作人员不得要求或者接受设计人为其住房装修、婚丧嫁娶活动、配偶子女的工作安排以及出国出境、旅游等提供方便等。</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（4）发包人工作人员及其配偶、子女、亲属不得从事与本勘察设计合同有关的勘察设计业务等活动。不得以任何理由要求设计人和相关单位在设计中使用某种产品、材料和设备。</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（5）发包人工作人员要秉公办事，不准营私舞弊，不准利用职权从事各种个人有偿中介活动和安排个人勘察设计队伍。</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br w:type="page"/>
      </w:r>
      <w:r>
        <w:rPr>
          <w:rFonts w:hint="default" w:ascii="Times New Roman" w:hAnsi="Times New Roman" w:eastAsia="黑体" w:cs="Times New Roman"/>
          <w:color w:val="auto"/>
          <w:sz w:val="24"/>
          <w:highlight w:val="none"/>
        </w:rPr>
        <w:t>3. 设计人的义务</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（1）设计人不得以任何理由向发包人及其工作人员行贿或馈赠礼金、有价证券、贵重礼品。</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（2）设计人不得以任何名义为发包人及其工作人员报销应由发包人单位或个人支付的任何费用。</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（3）设计人不得以任何理由安排发包人工作人员参加超标准宴请及娱乐活动。</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（4）设计人不得为发包人单位和个人购置或提供通信工具、交通工具和高档办公用品等。</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4. 违约责任</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（1）发包人及其工作人员违反本合同第1、2条，按管理权限，依据有关规定给予党纪、政纪或组织处理；涉嫌犯罪的，移交司法机关追究刑事责任；给设计人单位造成经济损失的，应予以赔偿。</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设计人及其工作人员违反本合同第1、3条，按管理权限，依据有关规定给予党纪、政纪或组织处理；给发包人单位造成经济损失的，应予以赔偿；情节严重的，发包人建议交通运输主管部门给予设计人一至三年内不得进入其主管的公路建设市场的处罚。</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5.</w:t>
      </w:r>
      <w:r>
        <w:rPr>
          <w:rFonts w:hint="default" w:ascii="Times New Roman" w:hAnsi="Times New Roman" w:cs="Times New Roman"/>
          <w:color w:val="auto"/>
          <w:sz w:val="24"/>
          <w:highlight w:val="none"/>
        </w:rPr>
        <w:t xml:space="preserve"> 双方约定：本合同由双方或双方上级单位的纪检监察部门负责监督执行。由发包人或发包人上级单位的纪检监察部门约请设计人或设计人上级单位纪检监察部门对本合同执行情况进行检查，提出在本合同规定范围内的裁定意见。</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6. </w:t>
      </w:r>
      <w:r>
        <w:rPr>
          <w:rFonts w:hint="default" w:ascii="Times New Roman" w:hAnsi="Times New Roman" w:cs="Times New Roman"/>
          <w:color w:val="auto"/>
          <w:sz w:val="24"/>
          <w:highlight w:val="none"/>
        </w:rPr>
        <w:t>本合同有效期为合同双方签署之日起至勘察设计合同失效日止。</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7. </w:t>
      </w:r>
      <w:r>
        <w:rPr>
          <w:rFonts w:hint="default" w:ascii="Times New Roman" w:hAnsi="Times New Roman" w:cs="Times New Roman"/>
          <w:color w:val="auto"/>
          <w:sz w:val="24"/>
          <w:highlight w:val="none"/>
        </w:rPr>
        <w:t>本合同作为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标段勘察设计合同的附件，与勘察设计合同具有同等的法律效力，经合同双方签署后立即生效。</w:t>
      </w:r>
    </w:p>
    <w:p>
      <w:pPr>
        <w:pageBreakBefore w:val="0"/>
        <w:kinsoku/>
        <w:wordWrap w:val="0"/>
        <w:overflowPunct/>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8.</w:t>
      </w:r>
      <w:r>
        <w:rPr>
          <w:rFonts w:hint="default" w:ascii="Times New Roman" w:hAnsi="Times New Roman" w:cs="Times New Roman"/>
          <w:color w:val="auto"/>
          <w:sz w:val="24"/>
          <w:highlight w:val="none"/>
        </w:rPr>
        <w:t xml:space="preserve"> 本合同一式四份，由发包人和设计人各执一份，送交发包人和设计人的监督单位各一份。</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设计人：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40" w:lineRule="exact"/>
        <w:ind w:firstLine="360" w:firstLineChars="1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pageBreakBefore w:val="0"/>
        <w:kinsoku/>
        <w:wordWrap w:val="0"/>
        <w:overflowPunct/>
        <w:bidi w:val="0"/>
        <w:spacing w:line="440" w:lineRule="exact"/>
        <w:ind w:firstLine="360" w:firstLineChars="150"/>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发包人监督单位：</w:t>
      </w:r>
      <w:r>
        <w:rPr>
          <w:rFonts w:hint="default" w:ascii="Times New Roman" w:hAnsi="Times New Roman" w:cs="Times New Roman"/>
          <w:color w:val="auto"/>
          <w:sz w:val="24"/>
          <w:highlight w:val="none"/>
          <w:u w:val="single"/>
        </w:rPr>
        <w:t>（全称）（盖单位章）</w:t>
      </w:r>
      <w:r>
        <w:rPr>
          <w:rFonts w:hint="default" w:ascii="Times New Roman" w:hAnsi="Times New Roman" w:cs="Times New Roman"/>
          <w:color w:val="auto"/>
          <w:sz w:val="24"/>
          <w:highlight w:val="none"/>
        </w:rPr>
        <w:t xml:space="preserve">     设计人监督单位：</w:t>
      </w:r>
      <w:r>
        <w:rPr>
          <w:rFonts w:hint="default" w:ascii="Times New Roman" w:hAnsi="Times New Roman" w:cs="Times New Roman"/>
          <w:color w:val="auto"/>
          <w:sz w:val="24"/>
          <w:highlight w:val="none"/>
          <w:u w:val="single"/>
        </w:rPr>
        <w:t>（全称） （盖单位章）</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Style w:val="2"/>
        <w:pageBreakBefore w:val="0"/>
        <w:kinsoku/>
        <w:wordWrap w:val="0"/>
        <w:overflowPunct/>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924" w:name="_Toc234833234"/>
      <w:bookmarkStart w:id="925" w:name="_Toc14843"/>
      <w:bookmarkStart w:id="926" w:name="_Toc9547"/>
      <w:bookmarkStart w:id="927" w:name="_Toc22650"/>
      <w:r>
        <w:rPr>
          <w:rFonts w:hint="default" w:ascii="Times New Roman" w:hAnsi="Times New Roman" w:eastAsia="黑体" w:cs="Times New Roman"/>
          <w:b w:val="0"/>
          <w:color w:val="auto"/>
          <w:sz w:val="24"/>
          <w:szCs w:val="24"/>
          <w:highlight w:val="none"/>
        </w:rPr>
        <w:t xml:space="preserve">附件三 分项负责人最低要求 </w:t>
      </w:r>
      <w:r>
        <w:rPr>
          <w:rFonts w:hint="default" w:ascii="Times New Roman" w:hAnsi="Times New Roman" w:cs="Times New Roman"/>
          <w:color w:val="auto"/>
          <w:kern w:val="2"/>
          <w:sz w:val="24"/>
          <w:szCs w:val="24"/>
          <w:highlight w:val="none"/>
          <w:vertAlign w:val="superscript"/>
        </w:rPr>
        <w:footnoteReference w:id="43"/>
      </w:r>
      <w:bookmarkEnd w:id="924"/>
      <w:bookmarkEnd w:id="925"/>
      <w:bookmarkEnd w:id="926"/>
      <w:bookmarkEnd w:id="927"/>
    </w:p>
    <w:p>
      <w:pPr>
        <w:pageBreakBefore w:val="0"/>
        <w:kinsoku/>
        <w:wordWrap w:val="0"/>
        <w:overflowPunct/>
        <w:bidi w:val="0"/>
        <w:adjustRightInd w:val="0"/>
        <w:snapToGrid w:val="0"/>
        <w:spacing w:line="400" w:lineRule="atLeast"/>
        <w:rPr>
          <w:rFonts w:hint="default" w:ascii="Times New Roman" w:hAnsi="Times New Roman" w:cs="Times New Roman"/>
          <w:color w:val="auto"/>
          <w:sz w:val="24"/>
          <w:highlight w:val="none"/>
        </w:rPr>
      </w:pPr>
    </w:p>
    <w:tbl>
      <w:tblPr>
        <w:tblStyle w:val="47"/>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4282"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vAlign w:val="center"/>
          </w:tcPr>
          <w:p>
            <w:pPr>
              <w:pageBreakBefore w:val="0"/>
              <w:kinsoku/>
              <w:wordWrap w:val="0"/>
              <w:overflowPunct/>
              <w:bidi w:val="0"/>
              <w:spacing w:line="400" w:lineRule="atLeast"/>
              <w:jc w:val="center"/>
              <w:rPr>
                <w:rFonts w:hint="default" w:ascii="Times New Roman" w:hAnsi="Times New Roman" w:cs="Times New Roman"/>
                <w:color w:val="auto"/>
                <w:sz w:val="24"/>
                <w:highlight w:val="none"/>
              </w:rPr>
            </w:pPr>
          </w:p>
        </w:tc>
        <w:tc>
          <w:tcPr>
            <w:tcW w:w="2161" w:type="dxa"/>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vAlign w:val="center"/>
          </w:tcPr>
          <w:p>
            <w:pPr>
              <w:pageBreakBefore w:val="0"/>
              <w:kinsoku/>
              <w:wordWrap w:val="0"/>
              <w:overflowPunct/>
              <w:bidi w:val="0"/>
              <w:spacing w:line="400" w:lineRule="atLeast"/>
              <w:rPr>
                <w:rFonts w:hint="default" w:ascii="Times New Roman" w:hAnsi="Times New Roman" w:cs="Times New Roman"/>
                <w:color w:val="auto"/>
                <w:sz w:val="24"/>
                <w:highlight w:val="none"/>
              </w:rPr>
            </w:pPr>
          </w:p>
        </w:tc>
      </w:tr>
    </w:tbl>
    <w:p>
      <w:pPr>
        <w:pStyle w:val="2"/>
        <w:pageBreakBefore w:val="0"/>
        <w:kinsoku/>
        <w:wordWrap w:val="0"/>
        <w:overflowPunct/>
        <w:bidi w:val="0"/>
        <w:spacing w:before="0" w:after="0" w:line="380" w:lineRule="atLeast"/>
        <w:rPr>
          <w:rFonts w:hint="default" w:ascii="Times New Roman" w:hAnsi="Times New Roman" w:eastAsia="黑体" w:cs="Times New Roman"/>
          <w:bCs w:val="0"/>
          <w:color w:val="auto"/>
          <w:sz w:val="24"/>
          <w:highlight w:val="none"/>
        </w:rPr>
      </w:pPr>
      <w:r>
        <w:rPr>
          <w:rFonts w:hint="default" w:ascii="Times New Roman" w:hAnsi="Times New Roman" w:eastAsia="黑体" w:cs="Times New Roman"/>
          <w:color w:val="auto"/>
          <w:sz w:val="24"/>
          <w:highlight w:val="none"/>
        </w:rPr>
        <w:br w:type="page"/>
      </w:r>
      <w:bookmarkStart w:id="928" w:name="_Toc18541"/>
      <w:bookmarkStart w:id="929" w:name="_Toc3960"/>
      <w:bookmarkStart w:id="930" w:name="_Toc28220"/>
      <w:r>
        <w:rPr>
          <w:rFonts w:hint="default" w:ascii="Times New Roman" w:hAnsi="Times New Roman" w:eastAsia="黑体" w:cs="Times New Roman"/>
          <w:bCs w:val="0"/>
          <w:color w:val="auto"/>
          <w:sz w:val="24"/>
          <w:highlight w:val="none"/>
        </w:rPr>
        <w:t>附件四 履约保证金格式</w:t>
      </w:r>
      <w:bookmarkEnd w:id="928"/>
      <w:bookmarkEnd w:id="929"/>
      <w:bookmarkEnd w:id="930"/>
    </w:p>
    <w:p>
      <w:pPr>
        <w:pageBreakBefore w:val="0"/>
        <w:kinsoku/>
        <w:wordWrap w:val="0"/>
        <w:overflowPunct/>
        <w:bidi w:val="0"/>
        <w:spacing w:line="400" w:lineRule="atLeast"/>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如采用银行保函，格式如下。</w:t>
      </w:r>
    </w:p>
    <w:p>
      <w:pPr>
        <w:pageBreakBefore w:val="0"/>
        <w:kinsoku/>
        <w:wordWrap w:val="0"/>
        <w:overflowPunct/>
        <w:bidi w:val="0"/>
        <w:spacing w:line="400" w:lineRule="atLeast"/>
        <w:ind w:firstLine="2880"/>
        <w:jc w:val="left"/>
        <w:rPr>
          <w:rFonts w:hint="default" w:ascii="Times New Roman" w:hAnsi="Times New Roman" w:eastAsia="黑体" w:cs="Times New Roman"/>
          <w:color w:val="auto"/>
          <w:sz w:val="24"/>
          <w:highlight w:val="none"/>
        </w:rPr>
      </w:pPr>
    </w:p>
    <w:p>
      <w:pPr>
        <w:pageBreakBefore w:val="0"/>
        <w:kinsoku/>
        <w:wordWrap w:val="0"/>
        <w:overflowPunct/>
        <w:bidi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履约保证金 </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600" w:firstLineChars="2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设计人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标段勘察设计的投标。我方愿意无条件地、不可撤销地就设计人履行与你方订立的合同，向你方提供担保。</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担保金额人民币（大写）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担保有效期自发包人与设计人签订的合同生效之日起至发包人签收最后一批勘察设计成果文件且设计人按照合同约定缴纳质量保证金之日止。</w:t>
      </w:r>
      <w:r>
        <w:rPr>
          <w:rStyle w:val="56"/>
          <w:rFonts w:hint="default" w:ascii="Times New Roman" w:hAnsi="Times New Roman" w:eastAsia="黑体" w:cs="Times New Roman"/>
          <w:color w:val="auto"/>
          <w:sz w:val="28"/>
          <w:szCs w:val="28"/>
          <w:highlight w:val="none"/>
        </w:rPr>
        <w:footnoteReference w:id="44"/>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在本担保有效期内，如果设计人不履行合同约定的义务或其履行不符合合同的约定，我方在收到你方以书面形式提出的在担保金额内的赔偿要求后，在7日内无条件支付，无须你方出具证明或陈述理由。</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发包人和设计人变更合同时，无论我方是否收到该变更，我方承担本担保规定的义务不变。</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 保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bidi w:val="0"/>
        <w:spacing w:line="400" w:lineRule="atLeast"/>
        <w:ind w:firstLine="4216" w:firstLineChars="1757"/>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eastAsia="黑体" w:cs="Times New Roman"/>
          <w:color w:val="auto"/>
          <w:sz w:val="24"/>
          <w:highlight w:val="none"/>
        </w:rPr>
        <w:sectPr>
          <w:footerReference r:id="rId26" w:type="default"/>
          <w:headerReference r:id="rId25" w:type="even"/>
          <w:footerReference r:id="rId27"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00" w:lineRule="atLeas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931" w:name="_Toc12976"/>
      <w:bookmarkStart w:id="932" w:name="_Toc23063"/>
      <w:bookmarkStart w:id="933" w:name="_Toc19395"/>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931"/>
    <w:bookmarkEnd w:id="932"/>
    <w:bookmarkEnd w:id="933"/>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148"/>
          <w:rFonts w:hint="default" w:ascii="Times New Roman" w:hAnsi="Times New Roman" w:eastAsia="黑体" w:cs="Times New Roman"/>
          <w:color w:val="auto"/>
          <w:sz w:val="42"/>
          <w:szCs w:val="42"/>
          <w:highlight w:val="none"/>
        </w:rPr>
      </w:pPr>
      <w:bookmarkStart w:id="934" w:name="_Toc26875"/>
      <w:r>
        <w:rPr>
          <w:rFonts w:hint="default" w:ascii="Times New Roman" w:hAnsi="Times New Roman" w:eastAsia="黑体" w:cs="Times New Roman"/>
          <w:color w:val="auto"/>
          <w:sz w:val="56"/>
          <w:szCs w:val="56"/>
          <w:highlight w:val="none"/>
        </w:rPr>
        <w:t>第二卷</w:t>
      </w:r>
      <w:bookmarkEnd w:id="934"/>
    </w:p>
    <w:p>
      <w:pPr>
        <w:pageBreakBefore w:val="0"/>
        <w:widowControl/>
        <w:kinsoku/>
        <w:wordWrap w:val="0"/>
        <w:overflowPunct/>
        <w:bidi w:val="0"/>
        <w:jc w:val="left"/>
        <w:rPr>
          <w:rFonts w:hint="default" w:ascii="Times New Roman" w:hAnsi="Times New Roman" w:eastAsia="黑体" w:cs="Times New Roman"/>
          <w:color w:val="auto"/>
          <w:sz w:val="29"/>
          <w:szCs w:val="29"/>
          <w:highlight w:val="none"/>
        </w:rPr>
      </w:pPr>
      <w:r>
        <w:rPr>
          <w:rStyle w:val="148"/>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935" w:name="_Toc3515"/>
      <w:bookmarkStart w:id="936" w:name="_Toc11000"/>
      <w:bookmarkStart w:id="937" w:name="_Toc9671"/>
      <w:bookmarkStart w:id="938" w:name="_Toc267901496"/>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935"/>
    <w:bookmarkEnd w:id="936"/>
    <w:bookmarkEnd w:id="937"/>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44"/>
        <w:pageBreakBefore w:val="0"/>
        <w:kinsoku/>
        <w:wordWrap w:val="0"/>
        <w:overflowPunct/>
        <w:bidi w:val="0"/>
        <w:rPr>
          <w:rFonts w:hint="default" w:ascii="Times New Roman" w:hAnsi="Times New Roman" w:eastAsia="黑体" w:cs="Times New Roman"/>
          <w:color w:val="auto"/>
          <w:sz w:val="36"/>
          <w:szCs w:val="36"/>
          <w:highlight w:val="none"/>
        </w:rPr>
      </w:pPr>
      <w:bookmarkStart w:id="939" w:name="_Toc14248"/>
      <w:bookmarkStart w:id="940" w:name="_Toc22095"/>
      <w:bookmarkStart w:id="941" w:name="_Toc388"/>
      <w:r>
        <w:rPr>
          <w:rFonts w:hint="default" w:ascii="Times New Roman" w:hAnsi="Times New Roman" w:eastAsia="黑体" w:cs="Times New Roman"/>
          <w:color w:val="auto"/>
          <w:sz w:val="36"/>
          <w:szCs w:val="36"/>
          <w:highlight w:val="none"/>
        </w:rPr>
        <w:t xml:space="preserve">第五章  </w:t>
      </w:r>
      <w:bookmarkEnd w:id="938"/>
      <w:r>
        <w:rPr>
          <w:rFonts w:hint="default" w:ascii="Times New Roman" w:hAnsi="Times New Roman" w:eastAsia="黑体" w:cs="Times New Roman"/>
          <w:color w:val="auto"/>
          <w:sz w:val="36"/>
          <w:szCs w:val="36"/>
          <w:highlight w:val="none"/>
        </w:rPr>
        <w:t>发包人要求</w:t>
      </w:r>
      <w:r>
        <w:rPr>
          <w:rStyle w:val="56"/>
          <w:rFonts w:hint="default" w:ascii="Times New Roman" w:hAnsi="Times New Roman" w:eastAsia="黑体" w:cs="Times New Roman"/>
          <w:color w:val="auto"/>
          <w:sz w:val="40"/>
          <w:szCs w:val="40"/>
          <w:highlight w:val="none"/>
        </w:rPr>
        <w:footnoteReference w:id="45"/>
      </w:r>
      <w:bookmarkEnd w:id="939"/>
      <w:bookmarkEnd w:id="940"/>
      <w:bookmarkEnd w:id="941"/>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jc w:val="center"/>
        <w:rPr>
          <w:rFonts w:hint="default" w:ascii="Times New Roman" w:hAnsi="Times New Roman" w:eastAsia="黑体" w:cs="Times New Roman"/>
          <w:color w:val="auto"/>
          <w:sz w:val="30"/>
          <w:highlight w:val="none"/>
        </w:rPr>
      </w:pPr>
      <w:r>
        <w:rPr>
          <w:rFonts w:hint="default" w:ascii="Times New Roman" w:hAnsi="Times New Roman" w:eastAsia="黑体" w:cs="Times New Roman"/>
          <w:color w:val="auto"/>
          <w:sz w:val="20"/>
          <w:szCs w:val="20"/>
          <w:highlight w:val="none"/>
        </w:rPr>
        <w:br w:type="page"/>
      </w:r>
      <w:r>
        <w:rPr>
          <w:rFonts w:hint="default" w:ascii="Times New Roman" w:hAnsi="Times New Roman" w:eastAsia="黑体" w:cs="Times New Roman"/>
          <w:color w:val="auto"/>
          <w:sz w:val="30"/>
          <w:highlight w:val="none"/>
        </w:rPr>
        <w:t>发包人要求</w:t>
      </w:r>
    </w:p>
    <w:p>
      <w:pPr>
        <w:pageBreakBefore w:val="0"/>
        <w:kinsoku/>
        <w:wordWrap w:val="0"/>
        <w:overflowPunct/>
        <w:bidi w:val="0"/>
        <w:spacing w:line="480" w:lineRule="atLeast"/>
        <w:jc w:val="center"/>
        <w:rPr>
          <w:rFonts w:hint="default" w:ascii="Times New Roman" w:hAnsi="Times New Roman" w:eastAsia="黑体" w:cs="Times New Roman"/>
          <w:color w:val="auto"/>
          <w:sz w:val="28"/>
          <w:highlight w:val="none"/>
        </w:rPr>
      </w:pP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要求应尽可能清晰准确，对于可以进行定量评估的工作，发包人要求不仅应明确规定其功能、用途、质量、环境、安全，并且要规定检验、试验、试运行的具体要求（如有）。对于设计人负责提供的有关服务，在发包人要求中应一并明确规定。</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发包人要求通常包括但不限于以下内容。</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42" w:name="_Toc492300513"/>
      <w:bookmarkStart w:id="943" w:name="_Toc482188637"/>
      <w:r>
        <w:rPr>
          <w:rFonts w:hint="default" w:ascii="Times New Roman" w:hAnsi="Times New Roman" w:eastAsia="黑体" w:cs="Times New Roman"/>
          <w:b/>
          <w:color w:val="auto"/>
          <w:sz w:val="24"/>
          <w:highlight w:val="none"/>
        </w:rPr>
        <w:t>一、勘察设计要求</w:t>
      </w:r>
      <w:bookmarkEnd w:id="942"/>
      <w:bookmarkEnd w:id="943"/>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招标人应当根据项目情况在本章中明确相应的勘察设计要求，一般应包括以下内容：</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项目概况</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包括项目名称、建设单位、建设规模、技术标准、项目地理位置、周边环境、相关区域路网现状及规划（包括道路及交通工程设施现状及规划）、文物情况、地质地貌、水文、气候及气象条件等。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勘察设计范围及内容</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勘察设计依据</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项目使用功能的要求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勘察设计人员和设备要求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其他要求</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44" w:name="_Toc482188638"/>
      <w:bookmarkStart w:id="945" w:name="_Toc492300514"/>
      <w:r>
        <w:rPr>
          <w:rFonts w:hint="default" w:ascii="Times New Roman" w:hAnsi="Times New Roman" w:eastAsia="黑体" w:cs="Times New Roman"/>
          <w:b/>
          <w:color w:val="auto"/>
          <w:sz w:val="24"/>
          <w:highlight w:val="none"/>
        </w:rPr>
        <w:t>二、适用规范标准</w:t>
      </w:r>
      <w:bookmarkEnd w:id="944"/>
      <w:bookmarkEnd w:id="945"/>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工程的勘察设计过程和成果必须符合国家有关工程建设标准强制性条文和交通运输部关于公路勘察设计方面现行的标准、规范、规程、定额、办法、示例以及招标项目所在地关于公路工程勘察设计方面的文件、规定。</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设计人在勘察设计工作中使用或参考上述标准、规范以外的技术标准、规范时，应征得发包人或发包人指定代表人的同意。</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在设计过程中，如果国家或有关部门颁布了新的技术标准或规范，则设计人应采用新的标准或规范进行勘察设计。</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设计人在勘察设计工作中必须使用中华人民共和国《工程建设标准强制性条文》（公路工程部分）和下述标准、规范（不限于）：</w:t>
      </w:r>
    </w:p>
    <w:p>
      <w:pPr>
        <w:pageBreakBefore w:val="0"/>
        <w:kinsoku/>
        <w:wordWrap/>
        <w:overflowPunct/>
        <w:bidi w:val="0"/>
        <w:spacing w:line="240" w:lineRule="auto"/>
        <w:ind w:firstLine="0" w:firstLineChars="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br w:type="page"/>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p>
    <w:tbl>
      <w:tblPr>
        <w:tblStyle w:val="47"/>
        <w:tblW w:w="8783" w:type="dxa"/>
        <w:tblInd w:w="108" w:type="dxa"/>
        <w:tblLayout w:type="fixed"/>
        <w:tblCellMar>
          <w:top w:w="0" w:type="dxa"/>
          <w:left w:w="108" w:type="dxa"/>
          <w:bottom w:w="0" w:type="dxa"/>
          <w:right w:w="108" w:type="dxa"/>
        </w:tblCellMar>
      </w:tblPr>
      <w:tblGrid>
        <w:gridCol w:w="2977"/>
        <w:gridCol w:w="5806"/>
      </w:tblGrid>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1.（JTG B01-2014）</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《公路工程技术标准》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2.（JTJ 002-87）</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《公路工程名词术语》</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3.（JTJ 003-86）</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《公路自然区划标准》</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4.（JTG/T 2231-01-2020）</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《公路桥梁抗震设计</w:t>
            </w:r>
            <w:r>
              <w:rPr>
                <w:rFonts w:hint="default" w:ascii="Times New Roman" w:hAnsi="Times New Roman" w:cs="Times New Roman"/>
                <w:color w:val="auto"/>
                <w:sz w:val="24"/>
                <w:highlight w:val="none"/>
                <w:lang w:val="en-US" w:eastAsia="zh-CN"/>
              </w:rPr>
              <w:t>规范</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5.（JTG B03-2006）</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《公路建设项目环境影响评价规范》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6.（JTG B04-2010）</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《公路环境保护设计规范》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7.（JTG C10-2007）</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《公路勘测规范》</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8.（JTG C20-2011）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《公路工程地质勘察规范》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9.（JTG C30-2015）</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《公路工程水文勘测设计规范》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10.（JTG 3430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2020）</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《公路土工试验规程》</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11.（JTG D20-2017）</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《公路路线设计规范》</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12．（JTG/T D21-2014）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《公路立体交叉设计细则》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13.（JTG D30-2015）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《公路路基设计规范》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14.（JTG D50-2017）</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《公路沥青路面设计规范》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15.（JTG D40-2011）</w:t>
            </w:r>
            <w:r>
              <w:rPr>
                <w:rFonts w:hint="default" w:ascii="Times New Roman" w:hAnsi="Times New Roman" w:cs="Times New Roman"/>
                <w:color w:val="auto"/>
                <w:sz w:val="24"/>
                <w:highlight w:val="none"/>
              </w:rPr>
              <w:tab/>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《公路水泥混凝土路面设计规范》</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 xml:space="preserve">（JTG/T D33-2012）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《公路排水设计规范》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17.（JTG D60-2015）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《公路桥涵设计通用规范》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18.（JTG D61-2005）</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《公路圬工桥涵设计规范》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19.（JTG 3362</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 xml:space="preserve">2018）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《公路钢筋混凝土及预应力混凝土桥涵设计规范》</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20.（JTG 3363</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 xml:space="preserve">2019）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《公路桥涵地基与基础设计规范》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21.（JTG D64-2015）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《公路钢结构桥梁设计规范》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22.（JTG 3370.1-2018）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《公路隧道设计规范</w:t>
            </w:r>
            <w:r>
              <w:rPr>
                <w:rFonts w:hint="eastAsia"/>
                <w:color w:val="auto"/>
                <w:sz w:val="24"/>
                <w:highlight w:val="none"/>
                <w:lang w:val="en-US" w:eastAsia="zh-CN"/>
              </w:rPr>
              <w:t xml:space="preserve"> </w:t>
            </w:r>
            <w:r>
              <w:rPr>
                <w:rFonts w:hint="eastAsia"/>
                <w:color w:val="auto"/>
                <w:sz w:val="24"/>
                <w:highlight w:val="none"/>
              </w:rPr>
              <w:t>第一册 土建工</w:t>
            </w:r>
            <w:r>
              <w:rPr>
                <w:rFonts w:hint="eastAsia"/>
                <w:color w:val="auto"/>
                <w:sz w:val="24"/>
                <w:highlight w:val="none"/>
                <w:lang w:val="en-US" w:eastAsia="zh-CN"/>
              </w:rPr>
              <w:t>程</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23.（JTG D70/2-2014）</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《公路隧道设计规范 第二册 交通工程与附属设施》</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24.（JTG/T D70/2-01-2014）</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《公路隧道照明设计细则》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25.（JTG/T D70/2-02-2014）</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《公路隧道通风设计细则》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26.（JTG D81-2017）</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《公路交通安全设施设计规范》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27.（JTG/T D81-2017）</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《公路交通安全设施设计细则》</w:t>
            </w:r>
          </w:p>
        </w:tc>
      </w:tr>
      <w:t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28.（JTG/T3310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2019）</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《公路工程混凝土结构耐久性设计规范》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29.（JTG B05-2015）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《公路项目安全性评价规范》</w:t>
            </w:r>
          </w:p>
        </w:tc>
      </w:tr>
      <w:tr>
        <w:tblPrEx>
          <w:tblCellMar>
            <w:top w:w="0" w:type="dxa"/>
            <w:left w:w="108" w:type="dxa"/>
            <w:bottom w:w="0" w:type="dxa"/>
            <w:right w:w="108" w:type="dxa"/>
          </w:tblCellMar>
        </w:tblPrEx>
        <w:trPr>
          <w:trHeight w:val="90" w:hRule="atLeast"/>
        </w:trP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30.（JTG 2120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2020）</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《公路工程结构可靠度设计统一标准》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31.（GB 50162-92）</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《道路工程制图标准》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32.（交公路发[2007]358号）</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《公路工程基本建设项目设计文件编制办法》</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33.（JTG 3830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《公路工程建设项目概算预算编制办法》</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34.（JTGT 3831</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《公路工程概算定额》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35.（JTGT 3832</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《公路工程预算定额》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36.（JTGT 3833</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《公路工程机械台班费用定额》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37.（建标[</w:t>
            </w:r>
            <w:r>
              <w:rPr>
                <w:rFonts w:hint="eastAsia" w:cs="Times New Roman"/>
                <w:color w:val="auto"/>
                <w:sz w:val="24"/>
                <w:highlight w:val="none"/>
                <w:lang w:eastAsia="zh-CN"/>
              </w:rPr>
              <w:t>2</w:t>
            </w:r>
            <w:r>
              <w:rPr>
                <w:rFonts w:hint="eastAsia" w:cs="Times New Roman"/>
                <w:color w:val="auto"/>
                <w:sz w:val="24"/>
                <w:highlight w:val="none"/>
                <w:lang w:val="en-US" w:eastAsia="zh-CN"/>
              </w:rPr>
              <w:t>011</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124</w:t>
            </w:r>
            <w:r>
              <w:rPr>
                <w:rFonts w:hint="default" w:ascii="Times New Roman" w:hAnsi="Times New Roman" w:cs="Times New Roman"/>
                <w:color w:val="auto"/>
                <w:sz w:val="24"/>
                <w:highlight w:val="none"/>
              </w:rPr>
              <w:t>号）</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《公路工程项目建设用地指标》</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38.（YD 2002-92）</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《长途通信干线电缆线路工程设计规范》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39.（</w:t>
            </w:r>
            <w:r>
              <w:rPr>
                <w:rFonts w:hint="default" w:ascii="Times New Roman" w:hAnsi="Times New Roman" w:cs="Times New Roman"/>
                <w:color w:val="auto"/>
                <w:sz w:val="24"/>
                <w:highlight w:val="none"/>
                <w:lang w:val="en-US" w:eastAsia="zh-CN"/>
              </w:rPr>
              <w:t>GB</w:t>
            </w:r>
            <w:r>
              <w:rPr>
                <w:rFonts w:hint="default" w:ascii="Times New Roman" w:hAnsi="Times New Roman" w:cs="Times New Roman"/>
                <w:color w:val="auto"/>
                <w:sz w:val="24"/>
                <w:highlight w:val="none"/>
              </w:rPr>
              <w:t xml:space="preserve"> 51158-2015）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《通信线路工程设计规范》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40.（YDJ 44-89）</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《电信网光纤数字传输系统工程施工及验收暂行技术规定》</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41.（GB 50689-2011）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《通信局（站）防雷与接地设计工程技术规定》</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42.（GB/T</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50374-2018）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《通信管道工程施工及验收技术</w:t>
            </w:r>
            <w:r>
              <w:rPr>
                <w:rFonts w:hint="default" w:ascii="Times New Roman" w:hAnsi="Times New Roman" w:cs="Times New Roman"/>
                <w:color w:val="auto"/>
                <w:sz w:val="24"/>
                <w:highlight w:val="none"/>
                <w:lang w:val="en-US" w:eastAsia="zh-CN"/>
              </w:rPr>
              <w:t>标准</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43.（GB 50198-2011）</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《民用闭路监视电视系统工程技术规范》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44.（GB 50174-20</w:t>
            </w:r>
            <w:r>
              <w:rPr>
                <w:rFonts w:hint="eastAsia" w:cs="Times New Roman"/>
                <w:color w:val="auto"/>
                <w:sz w:val="24"/>
                <w:highlight w:val="none"/>
                <w:lang w:val="en-US" w:eastAsia="zh-CN"/>
              </w:rPr>
              <w:t>17</w:t>
            </w:r>
            <w:r>
              <w:rPr>
                <w:rFonts w:hint="default" w:ascii="Times New Roman" w:hAnsi="Times New Roman" w:cs="Times New Roman"/>
                <w:color w:val="auto"/>
                <w:sz w:val="24"/>
                <w:highlight w:val="none"/>
              </w:rPr>
              <w:t>）</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数据中心</w:t>
            </w:r>
            <w:r>
              <w:rPr>
                <w:rFonts w:hint="default" w:ascii="Times New Roman" w:hAnsi="Times New Roman" w:cs="Times New Roman"/>
                <w:color w:val="auto"/>
                <w:sz w:val="24"/>
                <w:highlight w:val="none"/>
              </w:rPr>
              <w:t>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45.（ITU-T）</w:t>
            </w:r>
            <w:r>
              <w:rPr>
                <w:rFonts w:hint="default" w:ascii="Times New Roman" w:hAnsi="Times New Roman" w:cs="Times New Roman"/>
                <w:color w:val="auto"/>
                <w:sz w:val="24"/>
                <w:highlight w:val="none"/>
              </w:rPr>
              <w:tab/>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《国际电工协会系列标准》</w:t>
            </w:r>
          </w:p>
        </w:tc>
      </w:tr>
      <w:tr>
        <w:tblPrEx>
          <w:tblCellMar>
            <w:top w:w="0" w:type="dxa"/>
            <w:left w:w="108" w:type="dxa"/>
            <w:bottom w:w="0" w:type="dxa"/>
            <w:right w:w="108" w:type="dxa"/>
          </w:tblCellMar>
        </w:tblPrEx>
        <w:trPr>
          <w:trHeight w:val="288" w:hRule="atLeast"/>
        </w:trPr>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46.（GB 50057-2010）</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《建筑物防雷设计规范》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47.（GB</w:t>
            </w: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51348-2019）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《民用建筑电气设计</w:t>
            </w:r>
            <w:r>
              <w:rPr>
                <w:rFonts w:hint="default" w:ascii="Times New Roman" w:hAnsi="Times New Roman" w:cs="Times New Roman"/>
                <w:color w:val="auto"/>
                <w:sz w:val="24"/>
                <w:highlight w:val="none"/>
                <w:lang w:val="en-US" w:eastAsia="zh-CN"/>
              </w:rPr>
              <w:t>标准</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48.（YDJ 9-90）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《市内通信全塑电缆线路工程设计规范》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49.（YD 5121-2010）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《通信线路工程验收规范》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50.（GB</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50168-2018）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《电气装置安装工程电缆线路施工及验收标准》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51.（JTG/T C10-2007）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《公路勘测细则》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52.（GB/T 20257.1-20</w:t>
            </w:r>
            <w:r>
              <w:rPr>
                <w:rFonts w:hint="eastAsia" w:cs="Times New Roman"/>
                <w:color w:val="auto"/>
                <w:sz w:val="24"/>
                <w:highlight w:val="none"/>
                <w:lang w:val="en-US" w:eastAsia="zh-CN"/>
              </w:rPr>
              <w:t>17</w:t>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《1：500　1：1000　1：2000地形图图式》</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53.（GB/T 13923-2022）</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《基础地理信息要素分类与代码》</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54.（CH 1003-95）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《测绘产品质量评定标准》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55.（CH 1002-95）</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《测绘产品检查验收规定》</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56.（GB/T 18316-2008）</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《数字测绘成果质量检查与验收》</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bidi w:val="0"/>
              <w:snapToGrid w:val="0"/>
              <w:spacing w:line="400" w:lineRule="exact"/>
              <w:ind w:left="-105" w:leftChars="-50" w:right="-57"/>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57.（建质[</w:t>
            </w:r>
            <w:r>
              <w:rPr>
                <w:rFonts w:hint="eastAsia" w:cs="Times New Roman"/>
                <w:color w:val="auto"/>
                <w:sz w:val="24"/>
                <w:highlight w:val="none"/>
                <w:lang w:val="en-US" w:eastAsia="zh-CN"/>
              </w:rPr>
              <w:t>2016</w:t>
            </w:r>
            <w:r>
              <w:rPr>
                <w:rFonts w:hint="default" w:ascii="Times New Roman" w:hAnsi="Times New Roman" w:cs="Times New Roman"/>
                <w:color w:val="auto"/>
                <w:sz w:val="24"/>
                <w:highlight w:val="none"/>
              </w:rPr>
              <w:t xml:space="preserve">] </w:t>
            </w:r>
            <w:r>
              <w:rPr>
                <w:rFonts w:hint="eastAsia" w:cs="Times New Roman"/>
                <w:color w:val="auto"/>
                <w:sz w:val="24"/>
                <w:highlight w:val="none"/>
                <w:lang w:val="en-US" w:eastAsia="zh-CN"/>
              </w:rPr>
              <w:t>247</w:t>
            </w:r>
            <w:r>
              <w:rPr>
                <w:rFonts w:hint="default" w:ascii="Times New Roman" w:hAnsi="Times New Roman" w:cs="Times New Roman"/>
                <w:color w:val="auto"/>
                <w:sz w:val="24"/>
                <w:highlight w:val="none"/>
              </w:rPr>
              <w:t>号）</w:t>
            </w:r>
          </w:p>
        </w:tc>
        <w:tc>
          <w:tcPr>
            <w:tcW w:w="5806" w:type="dxa"/>
            <w:shd w:val="clear" w:color="auto" w:fill="auto"/>
          </w:tcPr>
          <w:p>
            <w:pPr>
              <w:pageBreakBefore w:val="0"/>
              <w:kinsoku/>
              <w:wordWrap w:val="0"/>
              <w:overflowPunct/>
              <w:bidi w:val="0"/>
              <w:snapToGrid w:val="0"/>
              <w:spacing w:line="400" w:lineRule="exact"/>
              <w:ind w:right="42"/>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《建筑工程设计文件编制深度规定》</w:t>
            </w:r>
          </w:p>
        </w:tc>
      </w:tr>
    </w:tbl>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46" w:name="_Toc482188639"/>
      <w:bookmarkStart w:id="947" w:name="_Toc492300515"/>
      <w:r>
        <w:rPr>
          <w:rFonts w:hint="default" w:ascii="Times New Roman" w:hAnsi="Times New Roman" w:eastAsia="黑体" w:cs="Times New Roman"/>
          <w:b/>
          <w:color w:val="auto"/>
          <w:sz w:val="24"/>
          <w:highlight w:val="none"/>
        </w:rPr>
        <w:t>三、成果文件要求</w:t>
      </w:r>
      <w:bookmarkEnd w:id="946"/>
      <w:bookmarkEnd w:id="947"/>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成果文件的组成：勘察设计说明、图纸等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成果文件的深度</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成果文件的格式要求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成果文件的份数要求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成果文件的载体要求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（1）纸质版的要求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（2）电子版的要求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（3）其他要求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成果文件的展板、模型、沙盘、动画要求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成果文件的其他要求</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48" w:name="_Toc482188640"/>
      <w:bookmarkStart w:id="949" w:name="_Toc492300516"/>
      <w:r>
        <w:rPr>
          <w:rFonts w:hint="default" w:ascii="Times New Roman" w:hAnsi="Times New Roman" w:eastAsia="黑体" w:cs="Times New Roman"/>
          <w:b/>
          <w:color w:val="auto"/>
          <w:sz w:val="24"/>
          <w:highlight w:val="none"/>
        </w:rPr>
        <w:t>四、发包人财产清单</w:t>
      </w:r>
      <w:bookmarkEnd w:id="948"/>
      <w:bookmarkEnd w:id="949"/>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0" w:name="_Toc482188641"/>
      <w:bookmarkStart w:id="951" w:name="_Toc492300517"/>
      <w:r>
        <w:rPr>
          <w:rFonts w:hint="default" w:ascii="Times New Roman" w:hAnsi="Times New Roman" w:cs="Times New Roman"/>
          <w:color w:val="auto"/>
          <w:sz w:val="24"/>
          <w:highlight w:val="none"/>
        </w:rPr>
        <w:t>（一）发包人提供的设备、设施</w:t>
      </w:r>
      <w:bookmarkEnd w:id="950"/>
      <w:bookmarkEnd w:id="951"/>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发包人提供的办公房屋及冷暖设施：如办公室数量及面积、空调等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发包人提供的设备清单：如计算机、投影、打印机、复印机等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发包人提供的设施清单：如办公桌椅、文件柜等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2" w:name="_Toc482188642"/>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3" w:name="_Toc492300518"/>
      <w:r>
        <w:rPr>
          <w:rFonts w:hint="default" w:ascii="Times New Roman" w:hAnsi="Times New Roman" w:cs="Times New Roman"/>
          <w:color w:val="auto"/>
          <w:sz w:val="24"/>
          <w:highlight w:val="none"/>
        </w:rPr>
        <w:t>（二）发包人提供的资料</w:t>
      </w:r>
      <w:bookmarkEnd w:id="952"/>
      <w:bookmarkEnd w:id="953"/>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施工场地及毗邻区域内的供水、排水、供电、供气、供热、通信、广播电视等地下管线资料，气象和水文观测资料，相邻建筑物和构筑物、地下工程的有关资料，以及其他与公路工程有关的原始资料</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定位放线的基准点、基准线和基准标高</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发包人取得的有关审批、核准和备案材料</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 </w:t>
      </w:r>
      <w:r>
        <w:rPr>
          <w:rFonts w:hint="default" w:ascii="Times New Roman" w:hAnsi="Times New Roman" w:cs="Times New Roman"/>
          <w:bCs/>
          <w:color w:val="auto"/>
          <w:sz w:val="24"/>
          <w:highlight w:val="none"/>
        </w:rPr>
        <w:t>前一阶段研究或设计的成果文件及相应的批件</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发包人提供的技术标准、规范</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其他资料</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4" w:name="_Toc482188643"/>
      <w:r>
        <w:rPr>
          <w:rFonts w:hint="default" w:ascii="Times New Roman" w:hAnsi="Times New Roman" w:cs="Times New Roman"/>
          <w:color w:val="auto"/>
          <w:sz w:val="24"/>
          <w:highlight w:val="none"/>
        </w:rPr>
        <w:t>……</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5" w:name="_Toc492300519"/>
      <w:r>
        <w:rPr>
          <w:rFonts w:hint="default" w:ascii="Times New Roman" w:hAnsi="Times New Roman" w:cs="Times New Roman"/>
          <w:color w:val="auto"/>
          <w:sz w:val="24"/>
          <w:highlight w:val="none"/>
        </w:rPr>
        <w:t>（三）发包人财产使用要求及退还要求</w:t>
      </w:r>
      <w:bookmarkEnd w:id="954"/>
      <w:bookmarkEnd w:id="955"/>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发包人财产使用要求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发包人财产退还要求</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6" w:name="_Toc482188644"/>
      <w:r>
        <w:rPr>
          <w:rFonts w:hint="default" w:ascii="Times New Roman" w:hAnsi="Times New Roman" w:cs="Times New Roman"/>
          <w:color w:val="auto"/>
          <w:sz w:val="24"/>
          <w:highlight w:val="none"/>
        </w:rPr>
        <w:t>……</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57" w:name="_Toc492300520"/>
      <w:r>
        <w:rPr>
          <w:rFonts w:hint="default" w:ascii="Times New Roman" w:hAnsi="Times New Roman" w:eastAsia="黑体" w:cs="Times New Roman"/>
          <w:b/>
          <w:color w:val="auto"/>
          <w:sz w:val="24"/>
          <w:highlight w:val="none"/>
        </w:rPr>
        <w:t>五、发包人提供的便利条件</w:t>
      </w:r>
      <w:bookmarkEnd w:id="956"/>
      <w:bookmarkEnd w:id="957"/>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发包人提供的生活条件</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发包人提供的交通条件</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发包人提供的网络、通信条件</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发包人提供的协助人员</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58" w:name="_Toc482188645"/>
      <w:r>
        <w:rPr>
          <w:rFonts w:hint="default" w:ascii="Times New Roman" w:hAnsi="Times New Roman" w:cs="Times New Roman"/>
          <w:color w:val="auto"/>
          <w:sz w:val="24"/>
          <w:highlight w:val="none"/>
        </w:rPr>
        <w:t>……</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59" w:name="_Toc492300521"/>
      <w:r>
        <w:rPr>
          <w:rFonts w:hint="default" w:ascii="Times New Roman" w:hAnsi="Times New Roman" w:eastAsia="黑体" w:cs="Times New Roman"/>
          <w:b/>
          <w:color w:val="auto"/>
          <w:sz w:val="24"/>
          <w:highlight w:val="none"/>
        </w:rPr>
        <w:t>六、设计人需要自备的工作条件</w:t>
      </w:r>
      <w:bookmarkEnd w:id="958"/>
      <w:bookmarkEnd w:id="959"/>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设计人自备的工作手册：如本项目必备的规范标准、图集等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设计人自备的办公设备：如计算机、软件、投影、打印机、复印机、照相机等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设计人自备的交通工具：如出行车辆等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设计人自备的现场办公设施：如办公桌椅、文件柜等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设计人自备的安全设施：如安全帽、安全鞋、手电筒等</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设计人自备的勘察检测仪器、设备、工具</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设计人应根据勘察设计实际需要：</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（1）自行搜集或购买全部地形图、地质图、规划图及所涉及的其他图纸或资料，自费进行工程测量、工程勘察、研究试验及有关协调（包括签订协议）、调查和资料搜集等工作；</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自行搜集或购买相关路网交通工程设施的配置资料（包括通信、监控、收费、供配电、照明等设施）；沿线供电资料；沿线管线资料；沿线气象、环境、人文景观的有关资料；相关路网的管理运营体制资料；相关路网服务设施设置情况的资料；与交通工程相关的规划资料。</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bookmarkStart w:id="960" w:name="_Toc482188646"/>
      <w:r>
        <w:rPr>
          <w:rFonts w:hint="default" w:ascii="Times New Roman" w:hAnsi="Times New Roman" w:cs="Times New Roman"/>
          <w:color w:val="auto"/>
          <w:sz w:val="24"/>
          <w:highlight w:val="none"/>
        </w:rPr>
        <w:t>……</w:t>
      </w:r>
    </w:p>
    <w:p>
      <w:pPr>
        <w:pageBreakBefore w:val="0"/>
        <w:kinsoku/>
        <w:wordWrap w:val="0"/>
        <w:overflowPunct/>
        <w:bidi w:val="0"/>
        <w:spacing w:beforeLines="50" w:afterLines="50" w:line="440" w:lineRule="exact"/>
        <w:rPr>
          <w:rFonts w:hint="default" w:ascii="Times New Roman" w:hAnsi="Times New Roman" w:eastAsia="黑体" w:cs="Times New Roman"/>
          <w:b/>
          <w:color w:val="auto"/>
          <w:sz w:val="24"/>
          <w:highlight w:val="none"/>
        </w:rPr>
      </w:pPr>
      <w:bookmarkStart w:id="961" w:name="_Toc492300522"/>
      <w:r>
        <w:rPr>
          <w:rFonts w:hint="default" w:ascii="Times New Roman" w:hAnsi="Times New Roman" w:eastAsia="黑体" w:cs="Times New Roman"/>
          <w:b/>
          <w:color w:val="auto"/>
          <w:sz w:val="24"/>
          <w:highlight w:val="none"/>
        </w:rPr>
        <w:t>七、发包人的其他要求</w:t>
      </w:r>
      <w:bookmarkEnd w:id="960"/>
      <w:bookmarkEnd w:id="961"/>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发包人的其他要求包括：</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bidi w:val="0"/>
        <w:spacing w:line="480" w:lineRule="atLeast"/>
        <w:jc w:val="center"/>
        <w:rPr>
          <w:rFonts w:hint="default" w:ascii="Times New Roman" w:hAnsi="Times New Roman" w:eastAsia="黑体" w:cs="Times New Roman"/>
          <w:color w:val="auto"/>
          <w:sz w:val="28"/>
          <w:highlight w:val="none"/>
        </w:rPr>
      </w:pPr>
    </w:p>
    <w:p>
      <w:pPr>
        <w:pStyle w:val="28"/>
        <w:pageBreakBefore w:val="0"/>
        <w:kinsoku/>
        <w:wordWrap w:val="0"/>
        <w:overflowPunct/>
        <w:bidi w:val="0"/>
        <w:spacing w:line="480" w:lineRule="atLeast"/>
        <w:ind w:firstLine="482"/>
        <w:rPr>
          <w:rFonts w:hint="default" w:ascii="Times New Roman" w:hAnsi="Times New Roman" w:cs="Times New Roman"/>
          <w:b/>
          <w:color w:val="auto"/>
          <w:sz w:val="24"/>
          <w:szCs w:val="24"/>
          <w:highlight w:val="none"/>
        </w:rPr>
      </w:pPr>
    </w:p>
    <w:p>
      <w:pPr>
        <w:pageBreakBefore w:val="0"/>
        <w:kinsoku/>
        <w:wordWrap w:val="0"/>
        <w:overflowPunct/>
        <w:bidi w:val="0"/>
        <w:spacing w:before="0" w:after="0" w:line="380" w:lineRule="atLeast"/>
        <w:outlineLvl w:val="9"/>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9"/>
          <w:szCs w:val="29"/>
          <w:highlight w:val="none"/>
        </w:rPr>
        <w:br w:type="page"/>
      </w: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962" w:name="_Toc7972"/>
      <w:bookmarkStart w:id="963" w:name="_Toc2304"/>
      <w:bookmarkStart w:id="964" w:name="_Toc20482"/>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962"/>
    <w:bookmarkEnd w:id="963"/>
    <w:bookmarkEnd w:id="964"/>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outlineLvl w:val="0"/>
        <w:rPr>
          <w:rStyle w:val="148"/>
          <w:rFonts w:hint="default" w:ascii="Times New Roman" w:hAnsi="Times New Roman" w:eastAsia="黑体" w:cs="Times New Roman"/>
          <w:color w:val="auto"/>
          <w:sz w:val="42"/>
          <w:szCs w:val="42"/>
          <w:highlight w:val="none"/>
        </w:rPr>
      </w:pPr>
      <w:bookmarkStart w:id="965" w:name="_Toc16024"/>
      <w:r>
        <w:rPr>
          <w:rFonts w:hint="default" w:ascii="Times New Roman" w:hAnsi="Times New Roman" w:eastAsia="黑体" w:cs="Times New Roman"/>
          <w:color w:val="auto"/>
          <w:sz w:val="56"/>
          <w:szCs w:val="56"/>
          <w:highlight w:val="none"/>
        </w:rPr>
        <w:t>第三卷</w:t>
      </w:r>
      <w:bookmarkEnd w:id="965"/>
    </w:p>
    <w:p>
      <w:pPr>
        <w:pageBreakBefore w:val="0"/>
        <w:widowControl/>
        <w:kinsoku/>
        <w:wordWrap w:val="0"/>
        <w:overflowPunct/>
        <w:bidi w:val="0"/>
        <w:jc w:val="left"/>
        <w:rPr>
          <w:rFonts w:hint="default" w:ascii="Times New Roman" w:hAnsi="Times New Roman" w:eastAsia="黑体" w:cs="Times New Roman"/>
          <w:color w:val="auto"/>
          <w:sz w:val="29"/>
          <w:szCs w:val="29"/>
          <w:highlight w:val="none"/>
        </w:rPr>
      </w:pPr>
      <w:r>
        <w:rPr>
          <w:rStyle w:val="148"/>
          <w:rFonts w:hint="default" w:ascii="Times New Roman" w:hAnsi="Times New Roman" w:eastAsia="黑体" w:cs="Times New Roman"/>
          <w:color w:val="auto"/>
          <w:sz w:val="42"/>
          <w:szCs w:val="42"/>
          <w:highlight w:val="none"/>
        </w:rPr>
        <w:br w:type="page"/>
      </w:r>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bookmarkStart w:id="966" w:name="_Toc16126"/>
      <w:bookmarkStart w:id="967" w:name="_Toc9494"/>
      <w:bookmarkStart w:id="968" w:name="_Toc5752"/>
      <w:bookmarkStart w:id="969" w:name="_Toc234833252"/>
    </w:p>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bookmarkEnd w:id="966"/>
    <w:bookmarkEnd w:id="967"/>
    <w:bookmarkEnd w:id="968"/>
    <w:p>
      <w:pPr>
        <w:pageBreakBefore w:val="0"/>
        <w:kinsoku/>
        <w:wordWrap w:val="0"/>
        <w:overflowPunct/>
        <w:bidi w:val="0"/>
        <w:spacing w:line="440" w:lineRule="exact"/>
        <w:jc w:val="center"/>
        <w:rPr>
          <w:rStyle w:val="148"/>
          <w:rFonts w:hint="default" w:ascii="Times New Roman" w:hAnsi="Times New Roman" w:eastAsia="黑体" w:cs="Times New Roman"/>
          <w:color w:val="auto"/>
          <w:sz w:val="42"/>
          <w:szCs w:val="42"/>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Style w:val="18"/>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ageBreakBefore w:val="0"/>
        <w:kinsoku/>
        <w:wordWrap w:val="0"/>
        <w:overflowPunct/>
        <w:bidi w:val="0"/>
        <w:jc w:val="center"/>
        <w:rPr>
          <w:rFonts w:hint="default" w:ascii="Times New Roman" w:hAnsi="Times New Roman" w:eastAsia="黑体" w:cs="Times New Roman"/>
          <w:color w:val="auto"/>
          <w:sz w:val="56"/>
          <w:szCs w:val="56"/>
          <w:highlight w:val="none"/>
        </w:rPr>
      </w:pPr>
    </w:p>
    <w:p>
      <w:pPr>
        <w:pStyle w:val="2"/>
        <w:pageBreakBefore w:val="0"/>
        <w:kinsoku/>
        <w:wordWrap w:val="0"/>
        <w:overflowPunct/>
        <w:bidi w:val="0"/>
        <w:spacing w:beforeLines="150" w:afterLines="100" w:line="380" w:lineRule="atLeast"/>
        <w:jc w:val="center"/>
        <w:rPr>
          <w:rFonts w:hint="default" w:ascii="Times New Roman" w:hAnsi="Times New Roman" w:eastAsia="黑体" w:cs="Times New Roman"/>
          <w:b w:val="0"/>
          <w:color w:val="auto"/>
          <w:sz w:val="56"/>
          <w:szCs w:val="56"/>
          <w:highlight w:val="none"/>
        </w:rPr>
      </w:pPr>
      <w:bookmarkStart w:id="970" w:name="_Toc8703"/>
      <w:bookmarkStart w:id="971" w:name="_Toc32611"/>
      <w:bookmarkStart w:id="972" w:name="_Toc464"/>
      <w:r>
        <w:rPr>
          <w:rFonts w:hint="default" w:ascii="Times New Roman" w:hAnsi="Times New Roman" w:eastAsia="黑体" w:cs="Times New Roman"/>
          <w:b w:val="0"/>
          <w:color w:val="auto"/>
          <w:sz w:val="56"/>
          <w:szCs w:val="56"/>
          <w:highlight w:val="none"/>
        </w:rPr>
        <w:t>第六章  投标文件格式</w:t>
      </w:r>
      <w:r>
        <w:rPr>
          <w:rStyle w:val="56"/>
          <w:rFonts w:hint="default" w:ascii="Times New Roman" w:hAnsi="Times New Roman" w:eastAsia="黑体" w:cs="Times New Roman"/>
          <w:color w:val="auto"/>
          <w:sz w:val="56"/>
          <w:szCs w:val="56"/>
          <w:highlight w:val="none"/>
        </w:rPr>
        <w:footnoteReference w:id="46"/>
      </w:r>
      <w:bookmarkEnd w:id="969"/>
      <w:bookmarkEnd w:id="970"/>
      <w:bookmarkEnd w:id="971"/>
      <w:bookmarkEnd w:id="972"/>
    </w:p>
    <w:p>
      <w:pPr>
        <w:pageBreakBefore w:val="0"/>
        <w:kinsoku/>
        <w:wordWrap w:val="0"/>
        <w:overflowPunct/>
        <w:bidi w:val="0"/>
        <w:spacing w:line="440" w:lineRule="exact"/>
        <w:jc w:val="center"/>
        <w:rPr>
          <w:rFonts w:hint="default" w:ascii="Times New Roman" w:hAnsi="Times New Roman" w:eastAsia="黑体" w:cs="Times New Roman"/>
          <w:color w:val="auto"/>
          <w:sz w:val="36"/>
          <w:szCs w:val="36"/>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17"/>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u w:val="single"/>
          <w:lang w:eastAsia="zh-CN"/>
        </w:rPr>
      </w:pPr>
      <w:bookmarkStart w:id="973" w:name="_Toc24566"/>
      <w:r>
        <w:rPr>
          <w:rFonts w:hint="eastAsia" w:ascii="Times New Roman" w:eastAsia="黑体" w:cs="Times New Roman"/>
          <w:color w:val="auto"/>
          <w:sz w:val="31"/>
          <w:szCs w:val="31"/>
          <w:highlight w:val="none"/>
          <w:u w:val="single"/>
          <w:lang w:eastAsia="zh-CN"/>
        </w:rPr>
        <w:t>辽宁省</w:t>
      </w:r>
      <w:bookmarkEnd w:id="973"/>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default" w:ascii="Times New Roman" w:hAnsi="Times New Roman" w:eastAsia="黑体" w:cs="Times New Roman"/>
          <w:b w:val="0"/>
          <w:bCs w:val="0"/>
          <w:color w:val="auto"/>
          <w:sz w:val="31"/>
          <w:szCs w:val="31"/>
          <w:highlight w:val="none"/>
          <w:lang w:val="en-US" w:eastAsia="zh-CN"/>
        </w:rPr>
        <w:t>勘察设计招标</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Style w:val="18"/>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Style w:val="18"/>
        <w:rPr>
          <w:rFonts w:hint="default" w:ascii="Times New Roman" w:hAnsi="Times New Roman" w:eastAsia="黑体" w:cs="Times New Roman"/>
          <w:color w:val="auto"/>
          <w:sz w:val="40"/>
          <w:szCs w:val="40"/>
          <w:highlight w:val="none"/>
        </w:rPr>
      </w:pPr>
    </w:p>
    <w:p>
      <w:pPr>
        <w:pStyle w:val="18"/>
        <w:rPr>
          <w:rFonts w:hint="default" w:ascii="Times New Roman" w:hAnsi="Times New Roman" w:eastAsia="黑体" w:cs="Times New Roman"/>
          <w:color w:val="auto"/>
          <w:sz w:val="40"/>
          <w:szCs w:val="40"/>
          <w:highlight w:val="none"/>
        </w:rPr>
      </w:pPr>
    </w:p>
    <w:p>
      <w:pPr>
        <w:keepNext/>
        <w:keepLines/>
        <w:pageBreakBefore w:val="0"/>
        <w:widowControl w:val="0"/>
        <w:kinsoku/>
        <w:wordWrap w:val="0"/>
        <w:overflowPunct/>
        <w:topLinePunct w:val="0"/>
        <w:autoSpaceDE/>
        <w:autoSpaceDN/>
        <w:bidi w:val="0"/>
        <w:adjustRightInd/>
        <w:snapToGrid/>
        <w:spacing w:before="0" w:afterLines="200" w:line="400" w:lineRule="atLeast"/>
        <w:jc w:val="center"/>
        <w:textAlignment w:val="auto"/>
        <w:outlineLvl w:val="9"/>
        <w:rPr>
          <w:rFonts w:hint="default" w:ascii="Times New Roman" w:hAnsi="Times New Roman" w:eastAsia="黑体" w:cs="Times New Roman"/>
          <w:b w:val="0"/>
          <w:color w:val="auto"/>
          <w:sz w:val="50"/>
          <w:szCs w:val="50"/>
          <w:highlight w:val="none"/>
        </w:rPr>
      </w:pPr>
      <w:bookmarkStart w:id="974" w:name="_Toc470761082"/>
      <w:bookmarkStart w:id="975" w:name="_Toc14993"/>
      <w:bookmarkStart w:id="976" w:name="_Toc15737"/>
      <w:bookmarkStart w:id="977" w:name="_Toc23680"/>
      <w:bookmarkStart w:id="978" w:name="_Toc21072"/>
      <w:r>
        <w:rPr>
          <w:rFonts w:hint="default" w:ascii="Times New Roman" w:hAnsi="Times New Roman" w:eastAsia="黑体" w:cs="Times New Roman"/>
          <w:b w:val="0"/>
          <w:color w:val="auto"/>
          <w:sz w:val="72"/>
          <w:szCs w:val="72"/>
          <w:highlight w:val="none"/>
        </w:rPr>
        <w:t>投  标  文  件</w:t>
      </w:r>
      <w:bookmarkEnd w:id="974"/>
      <w:bookmarkEnd w:id="975"/>
      <w:bookmarkEnd w:id="976"/>
      <w:bookmarkEnd w:id="977"/>
      <w:bookmarkEnd w:id="978"/>
    </w:p>
    <w:p>
      <w:pPr>
        <w:keepNext/>
        <w:keepLines/>
        <w:pageBreakBefore w:val="0"/>
        <w:widowControl w:val="0"/>
        <w:kinsoku/>
        <w:wordWrap w:val="0"/>
        <w:overflowPunct/>
        <w:topLinePunct w:val="0"/>
        <w:autoSpaceDE/>
        <w:autoSpaceDN/>
        <w:bidi w:val="0"/>
        <w:adjustRightInd/>
        <w:snapToGrid/>
        <w:spacing w:before="0" w:after="0" w:line="400" w:lineRule="atLeast"/>
        <w:jc w:val="center"/>
        <w:textAlignment w:val="auto"/>
        <w:outlineLvl w:val="9"/>
        <w:rPr>
          <w:rFonts w:hint="default" w:ascii="Times New Roman" w:hAnsi="Times New Roman" w:eastAsia="黑体" w:cs="Times New Roman"/>
          <w:b w:val="0"/>
          <w:color w:val="auto"/>
          <w:sz w:val="36"/>
          <w:szCs w:val="36"/>
          <w:highlight w:val="none"/>
        </w:rPr>
      </w:pPr>
      <w:bookmarkStart w:id="979" w:name="_Toc14772"/>
      <w:bookmarkStart w:id="980" w:name="_Toc10427"/>
      <w:bookmarkStart w:id="981" w:name="_Toc6771"/>
      <w:bookmarkStart w:id="982" w:name="_Toc27428"/>
      <w:r>
        <w:rPr>
          <w:rFonts w:hint="default" w:ascii="Times New Roman" w:hAnsi="Times New Roman" w:eastAsia="黑体" w:cs="Times New Roman"/>
          <w:b w:val="0"/>
          <w:color w:val="auto"/>
          <w:sz w:val="36"/>
          <w:szCs w:val="36"/>
          <w:highlight w:val="none"/>
        </w:rPr>
        <w:t>（</w:t>
      </w:r>
      <w:r>
        <w:rPr>
          <w:rFonts w:hint="default" w:ascii="Times New Roman" w:hAnsi="Times New Roman" w:eastAsia="黑体" w:cs="Times New Roman"/>
          <w:b w:val="0"/>
          <w:color w:val="auto"/>
          <w:sz w:val="32"/>
          <w:szCs w:val="32"/>
          <w:highlight w:val="none"/>
        </w:rPr>
        <w:t>第一个信封 商务及技术文件</w:t>
      </w:r>
      <w:r>
        <w:rPr>
          <w:rFonts w:hint="default" w:ascii="Times New Roman" w:hAnsi="Times New Roman" w:eastAsia="黑体" w:cs="Times New Roman"/>
          <w:b w:val="0"/>
          <w:color w:val="auto"/>
          <w:sz w:val="36"/>
          <w:szCs w:val="36"/>
          <w:highlight w:val="none"/>
        </w:rPr>
        <w:t>）</w:t>
      </w:r>
      <w:bookmarkEnd w:id="979"/>
      <w:bookmarkEnd w:id="980"/>
      <w:bookmarkEnd w:id="981"/>
      <w:bookmarkEnd w:id="982"/>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18"/>
        <w:rPr>
          <w:rFonts w:hint="default" w:ascii="Times New Roman" w:hAnsi="Times New Roman" w:eastAsia="黑体" w:cs="Times New Roman"/>
          <w:color w:val="auto"/>
          <w:sz w:val="20"/>
          <w:szCs w:val="20"/>
          <w:highlight w:val="none"/>
        </w:rPr>
      </w:pPr>
    </w:p>
    <w:p>
      <w:pPr>
        <w:pStyle w:val="18"/>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Style w:val="2"/>
        <w:pageBreakBefore w:val="0"/>
        <w:kinsoku/>
        <w:wordWrap w:val="0"/>
        <w:overflowPunct/>
        <w:bidi w:val="0"/>
        <w:spacing w:beforeLines="150" w:afterLines="100" w:line="380" w:lineRule="atLeast"/>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bookmarkStart w:id="983" w:name="_Toc23867"/>
      <w:bookmarkStart w:id="984" w:name="_Toc30864"/>
      <w:bookmarkStart w:id="985" w:name="_Toc6618"/>
      <w:bookmarkStart w:id="986" w:name="_Toc234833253"/>
      <w:bookmarkStart w:id="987" w:name="_Toc2734"/>
      <w:r>
        <w:rPr>
          <w:rFonts w:hint="default" w:ascii="Times New Roman" w:hAnsi="Times New Roman" w:eastAsia="黑体" w:cs="Times New Roman"/>
          <w:b w:val="0"/>
          <w:color w:val="auto"/>
          <w:sz w:val="30"/>
          <w:szCs w:val="30"/>
          <w:highlight w:val="none"/>
        </w:rPr>
        <w:t>目     录</w:t>
      </w:r>
      <w:bookmarkEnd w:id="983"/>
      <w:bookmarkEnd w:id="984"/>
      <w:bookmarkEnd w:id="985"/>
      <w:bookmarkEnd w:id="986"/>
      <w:bookmarkEnd w:id="987"/>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五、拟分包项目情况表</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六、资格审查资料</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七、投标人告知承诺函</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八、技术建议书</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九</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其他资料</w:t>
      </w:r>
    </w:p>
    <w:p>
      <w:pPr>
        <w:pageBreakBefore w:val="0"/>
        <w:kinsoku/>
        <w:wordWrap w:val="0"/>
        <w:overflowPunct/>
        <w:bidi w:val="0"/>
        <w:spacing w:line="440" w:lineRule="exact"/>
        <w:ind w:left="0" w:leftChars="0" w:firstLine="0"/>
        <w:rPr>
          <w:rFonts w:hint="eastAsia" w:ascii="Times New Roman" w:hAnsi="Times New Roman" w:eastAsia="宋体" w:cs="Times New Roman"/>
          <w:color w:val="auto"/>
          <w:sz w:val="24"/>
          <w:highlight w:val="none"/>
          <w:lang w:val="en-US" w:eastAsia="zh-CN"/>
        </w:rPr>
      </w:pP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p>
    <w:p>
      <w:pPr>
        <w:pageBreakBefore w:val="0"/>
        <w:tabs>
          <w:tab w:val="left" w:pos="420"/>
          <w:tab w:val="left" w:pos="840"/>
          <w:tab w:val="left" w:pos="1260"/>
          <w:tab w:val="left" w:pos="1680"/>
          <w:tab w:val="left" w:pos="2100"/>
          <w:tab w:val="left" w:pos="2520"/>
          <w:tab w:val="left" w:pos="2940"/>
          <w:tab w:val="left" w:pos="3360"/>
          <w:tab w:val="left" w:pos="3780"/>
          <w:tab w:val="left" w:pos="4200"/>
          <w:tab w:val="center" w:pos="4337"/>
          <w:tab w:val="left" w:pos="4620"/>
          <w:tab w:val="right" w:pos="8675"/>
        </w:tabs>
        <w:kinsoku/>
        <w:wordWrap w:val="0"/>
        <w:overflowPunct/>
        <w:bidi w:val="0"/>
        <w:spacing w:beforeLines="150" w:afterLines="100" w:line="380" w:lineRule="atLeast"/>
        <w:jc w:val="left"/>
        <w:outlineLvl w:val="9"/>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tab/>
      </w:r>
    </w:p>
    <w:p>
      <w:pPr>
        <w:pageBreakBefore w:val="0"/>
        <w:tabs>
          <w:tab w:val="center" w:pos="4337"/>
          <w:tab w:val="right" w:pos="8675"/>
        </w:tabs>
        <w:kinsoku/>
        <w:wordWrap w:val="0"/>
        <w:overflowPunct/>
        <w:bidi w:val="0"/>
        <w:spacing w:beforeLines="150" w:afterLines="100" w:line="380" w:lineRule="atLeast"/>
        <w:jc w:val="left"/>
        <w:outlineLvl w:val="9"/>
        <w:rPr>
          <w:rFonts w:hint="default" w:ascii="Times New Roman" w:hAnsi="Times New Roman" w:eastAsia="黑体" w:cs="Times New Roman"/>
          <w:b w:val="0"/>
          <w:color w:val="auto"/>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bookmarkStart w:id="988" w:name="_Toc234833254"/>
      <w:r>
        <w:rPr>
          <w:rFonts w:hint="default" w:ascii="Times New Roman" w:hAnsi="Times New Roman" w:eastAsia="黑体" w:cs="Times New Roman"/>
          <w:b w:val="0"/>
          <w:color w:val="auto"/>
          <w:sz w:val="30"/>
          <w:szCs w:val="30"/>
          <w:highlight w:val="none"/>
        </w:rPr>
        <w:tab/>
      </w:r>
    </w:p>
    <w:bookmarkEnd w:id="988"/>
    <w:p>
      <w:pPr>
        <w:pStyle w:val="2"/>
        <w:pageBreakBefore w:val="0"/>
        <w:kinsoku/>
        <w:wordWrap w:val="0"/>
        <w:overflowPunct/>
        <w:bidi w:val="0"/>
        <w:spacing w:before="0" w:after="0" w:line="400" w:lineRule="atLeast"/>
        <w:jc w:val="center"/>
        <w:rPr>
          <w:rFonts w:hint="default" w:ascii="Times New Roman" w:hAnsi="Times New Roman" w:eastAsia="黑体" w:cs="Times New Roman"/>
          <w:b w:val="0"/>
          <w:color w:val="auto"/>
          <w:sz w:val="30"/>
          <w:szCs w:val="30"/>
          <w:highlight w:val="none"/>
        </w:rPr>
      </w:pPr>
      <w:bookmarkStart w:id="989" w:name="_Toc234833255"/>
      <w:bookmarkStart w:id="990" w:name="_Toc30687"/>
      <w:bookmarkStart w:id="991" w:name="_Toc906"/>
      <w:bookmarkStart w:id="992" w:name="_Toc5168"/>
      <w:r>
        <w:rPr>
          <w:rFonts w:hint="default" w:ascii="Times New Roman" w:hAnsi="Times New Roman" w:eastAsia="黑体" w:cs="Times New Roman"/>
          <w:b w:val="0"/>
          <w:color w:val="auto"/>
          <w:sz w:val="30"/>
          <w:szCs w:val="30"/>
          <w:highlight w:val="none"/>
        </w:rPr>
        <w:t>一、投标函</w:t>
      </w:r>
      <w:bookmarkEnd w:id="989"/>
      <w:bookmarkEnd w:id="990"/>
      <w:bookmarkEnd w:id="991"/>
      <w:bookmarkEnd w:id="992"/>
    </w:p>
    <w:p>
      <w:pPr>
        <w:keepNext w:val="0"/>
        <w:keepLines w:val="0"/>
        <w:pageBreakBefore w:val="0"/>
        <w:widowControl w:val="0"/>
        <w:kinsoku/>
        <w:wordWrap w:val="0"/>
        <w:overflowPunct/>
        <w:topLinePunct w:val="0"/>
        <w:autoSpaceDE/>
        <w:autoSpaceDN/>
        <w:bidi w:val="0"/>
        <w:adjustRightInd/>
        <w:snapToGrid/>
        <w:spacing w:line="40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勘察设计招标文件的全部内容（含补遗书第___号至第___号），在考察工程现场后，愿意以第二个信封（报价文件）中的投标总报价（或根据招标文件规定修正核实后确定的另一金额），按合同约定完成勘察设计工作。</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3．项目负责人姓名：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质量要求：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，勘察设计服务期限：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如我方中标，我方承诺：</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993" w:name="_Toc352691658"/>
      <w:bookmarkStart w:id="994" w:name="_Toc369531694"/>
      <w:bookmarkStart w:id="995" w:name="_Toc1187"/>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993"/>
      <w:bookmarkEnd w:id="994"/>
      <w:bookmarkEnd w:id="995"/>
      <w:r>
        <w:rPr>
          <w:rFonts w:hint="default" w:ascii="Times New Roman" w:hAnsi="Times New Roman" w:cs="Times New Roman"/>
          <w:color w:val="auto"/>
          <w:sz w:val="24"/>
          <w:highlight w:val="none"/>
        </w:rPr>
        <w:t>同约定的期限内完成合同规定的全部义务；</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分项负责人，经你方审批后作为派驻本标段的勘察设计主要人员且不进行更换。如我方拟派驻的人员不满足合同附件要求，你方有权取消我方中标资格。</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7．在合同协议书正式签署生效之前，本投标函连同你方的中标通知书将构成我们双方之间共同遵守的文件，对双方具有约束力。</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beforeLines="100" w:afterLines="50" w:line="400" w:lineRule="atLeast"/>
        <w:jc w:val="center"/>
        <w:rPr>
          <w:rFonts w:hint="default" w:ascii="Times New Roman" w:hAnsi="Times New Roman" w:eastAsia="黑体" w:cs="Times New Roman"/>
          <w:bCs/>
          <w:color w:val="auto"/>
          <w:kern w:val="44"/>
          <w:sz w:val="30"/>
          <w:szCs w:val="30"/>
          <w:highlight w:val="none"/>
        </w:rPr>
      </w:pPr>
      <w:r>
        <w:rPr>
          <w:rFonts w:hint="default" w:ascii="Times New Roman" w:hAnsi="Times New Roman" w:eastAsia="黑体" w:cs="Times New Roman"/>
          <w:color w:val="auto"/>
          <w:sz w:val="23"/>
          <w:szCs w:val="23"/>
          <w:highlight w:val="none"/>
        </w:rPr>
        <w:br w:type="page"/>
      </w:r>
      <w:bookmarkStart w:id="996" w:name="_Toc234833260"/>
      <w:bookmarkStart w:id="997" w:name="_Toc234833258"/>
      <w:bookmarkStart w:id="998" w:name="_Toc462746991"/>
    </w:p>
    <w:bookmarkEnd w:id="996"/>
    <w:bookmarkEnd w:id="997"/>
    <w:bookmarkEnd w:id="998"/>
    <w:p>
      <w:pPr>
        <w:rPr>
          <w:rFonts w:hint="default" w:ascii="Times New Roman" w:hAnsi="Times New Roman" w:cs="Times New Roman"/>
          <w:color w:val="auto"/>
          <w:highlight w:val="none"/>
        </w:rPr>
      </w:pPr>
      <w:bookmarkStart w:id="999" w:name="_Toc234833261"/>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cs="Times New Roman"/>
          <w:color w:val="auto"/>
          <w:highlight w:val="none"/>
        </w:rPr>
      </w:pPr>
    </w:p>
    <w:p>
      <w:pPr>
        <w:pStyle w:val="2"/>
        <w:numPr>
          <w:ilvl w:val="0"/>
          <w:numId w:val="0"/>
        </w:numPr>
        <w:spacing w:before="0" w:after="0" w:line="400" w:lineRule="atLeast"/>
        <w:ind w:left="180" w:firstLine="280" w:firstLineChars="100"/>
        <w:jc w:val="center"/>
        <w:outlineLvl w:val="0"/>
        <w:rPr>
          <w:rFonts w:hint="default" w:ascii="Times New Roman" w:hAnsi="Times New Roman" w:cs="Times New Roman"/>
          <w:bCs w:val="0"/>
          <w:i w:val="0"/>
          <w:iCs w:val="0"/>
          <w:color w:val="auto"/>
          <w:kern w:val="0"/>
          <w:sz w:val="28"/>
          <w:highlight w:val="none"/>
        </w:rPr>
      </w:pPr>
      <w:bookmarkStart w:id="1000" w:name="_Toc500352763"/>
      <w:bookmarkStart w:id="1001" w:name="_Toc10848"/>
      <w:bookmarkStart w:id="1002" w:name="_Toc458576166"/>
      <w:bookmarkStart w:id="1003" w:name="_Toc26154"/>
      <w:bookmarkStart w:id="1004" w:name="_Toc593"/>
      <w:bookmarkStart w:id="1005" w:name="_Toc438571660"/>
      <w:bookmarkStart w:id="1006" w:name="_Toc137074942"/>
      <w:bookmarkStart w:id="1007" w:name="_Toc112032692"/>
      <w:bookmarkStart w:id="1008" w:name="_Toc194"/>
      <w:r>
        <w:rPr>
          <w:rFonts w:hint="default" w:ascii="Times New Roman" w:hAnsi="Times New Roman" w:cs="Times New Roman"/>
          <w:bCs w:val="0"/>
          <w:i w:val="0"/>
          <w:iCs w:val="0"/>
          <w:color w:val="auto"/>
          <w:kern w:val="0"/>
          <w:sz w:val="28"/>
          <w:highlight w:val="none"/>
        </w:rPr>
        <w:t>二、授权委托书或法定代表人身份证明</w:t>
      </w:r>
      <w:bookmarkEnd w:id="1000"/>
      <w:bookmarkEnd w:id="1001"/>
      <w:bookmarkEnd w:id="1002"/>
      <w:bookmarkEnd w:id="1003"/>
      <w:bookmarkEnd w:id="1004"/>
      <w:bookmarkEnd w:id="1005"/>
      <w:bookmarkEnd w:id="1006"/>
      <w:bookmarkEnd w:id="1007"/>
      <w:bookmarkEnd w:id="1008"/>
    </w:p>
    <w:p>
      <w:pPr>
        <w:rPr>
          <w:rFonts w:hint="default" w:ascii="Times New Roman" w:hAnsi="Times New Roman" w:eastAsia="黑体" w:cs="Times New Roman"/>
          <w:color w:val="auto"/>
          <w:szCs w:val="21"/>
          <w:highlight w:val="none"/>
        </w:rPr>
      </w:pPr>
    </w:p>
    <w:p>
      <w:pPr>
        <w:rPr>
          <w:rFonts w:hint="default" w:ascii="Times New Roman" w:hAnsi="Times New Roman" w:eastAsia="黑体" w:cs="Times New Roman"/>
          <w:color w:val="auto"/>
          <w:szCs w:val="21"/>
          <w:highlight w:val="none"/>
        </w:rPr>
      </w:pPr>
    </w:p>
    <w:p>
      <w:pPr>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spacing w:line="360" w:lineRule="auto"/>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rPr>
          <w:rFonts w:hint="default" w:ascii="Times New Roman" w:hAnsi="Times New Roman" w:eastAsia="黑体" w:cs="Times New Roman"/>
          <w:color w:val="auto"/>
          <w:sz w:val="24"/>
          <w:highlight w:val="none"/>
        </w:rPr>
      </w:pPr>
    </w:p>
    <w:p>
      <w:pPr>
        <w:keepNext/>
        <w:keepLines/>
        <w:pageBreakBefore w:val="0"/>
        <w:widowControl/>
        <w:tabs>
          <w:tab w:val="left" w:pos="1440"/>
        </w:tabs>
        <w:kinsoku/>
        <w:wordWrap w:val="0"/>
        <w:overflowPunct/>
        <w:topLinePunct/>
        <w:autoSpaceDE/>
        <w:autoSpaceDN/>
        <w:bidi w:val="0"/>
        <w:adjustRightInd/>
        <w:snapToGrid/>
        <w:spacing w:line="440" w:lineRule="exact"/>
        <w:jc w:val="center"/>
        <w:textAlignment w:val="auto"/>
        <w:outlineLvl w:val="1"/>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1009" w:name="_Toc12948"/>
      <w:bookmarkStart w:id="1010" w:name="_Toc500352764"/>
      <w:bookmarkStart w:id="1011" w:name="_Toc483640988"/>
      <w:bookmarkStart w:id="1012" w:name="_Toc495663699"/>
      <w:r>
        <w:rPr>
          <w:rFonts w:hint="default" w:ascii="Times New Roman" w:hAnsi="Times New Roman" w:eastAsia="黑体" w:cs="Times New Roman"/>
          <w:bCs/>
          <w:color w:val="auto"/>
          <w:kern w:val="0"/>
          <w:sz w:val="24"/>
          <w:highlight w:val="none"/>
        </w:rPr>
        <w:t>（一）授权委托书</w:t>
      </w:r>
      <w:bookmarkEnd w:id="1009"/>
    </w:p>
    <w:p>
      <w:pPr>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勘察设计</w:t>
      </w:r>
      <w:r>
        <w:rPr>
          <w:rFonts w:hint="default" w:ascii="Times New Roman" w:hAnsi="Times New Roman" w:cs="Times New Roman"/>
          <w:color w:val="auto"/>
          <w:sz w:val="24"/>
          <w:highlight w:val="none"/>
        </w:rPr>
        <w:t>投标文件、签订合同和处理有关事宜，其法律后果由我方承担。</w:t>
      </w:r>
    </w:p>
    <w:p>
      <w:pPr>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wordWrap w:val="0"/>
        <w:topLinePunct/>
        <w:spacing w:line="440" w:lineRule="exact"/>
        <w:ind w:firstLine="480" w:firstLineChars="200"/>
        <w:rPr>
          <w:rFonts w:hint="default" w:ascii="Times New Roman" w:hAnsi="Times New Roman" w:cs="Times New Roman"/>
          <w:color w:val="auto"/>
          <w:sz w:val="24"/>
          <w:highlight w:val="none"/>
        </w:rPr>
      </w:pPr>
    </w:p>
    <w:p>
      <w:pP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委托代理人身份证</w:t>
      </w:r>
      <w:r>
        <w:rPr>
          <w:rFonts w:hint="eastAsia" w:eastAsia="黑体" w:cs="Times New Roman"/>
          <w:color w:val="auto"/>
          <w:sz w:val="24"/>
          <w:highlight w:val="none"/>
          <w:lang w:val="en-US" w:eastAsia="zh-CN"/>
        </w:rPr>
        <w:t>原件扫描件</w:t>
      </w:r>
    </w:p>
    <w:tbl>
      <w:tblPr>
        <w:tblStyle w:val="4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c>
          <w:tcPr>
            <w:tcW w:w="4644" w:type="dxa"/>
            <w:vAlign w:val="center"/>
          </w:tcPr>
          <w:p>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wordWrap w:val="0"/>
        <w:topLinePunct/>
        <w:spacing w:line="440" w:lineRule="exact"/>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ind w:left="418" w:leftChars="199" w:firstLine="3720" w:firstLineChars="155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right"/>
        <w:rPr>
          <w:rFonts w:hint="default" w:ascii="Times New Roman" w:hAnsi="Times New Roman" w:eastAsia="仿宋_GB2312" w:cs="Times New Roman"/>
          <w:color w:val="auto"/>
          <w:sz w:val="32"/>
          <w:szCs w:val="32"/>
          <w:highlight w:val="none"/>
        </w:rPr>
      </w:pPr>
    </w:p>
    <w:p>
      <w:pPr>
        <w:keepNext/>
        <w:keepLines/>
        <w:pageBreakBefore w:val="0"/>
        <w:widowControl/>
        <w:tabs>
          <w:tab w:val="left" w:pos="1440"/>
        </w:tabs>
        <w:kinsoku/>
        <w:wordWrap w:val="0"/>
        <w:overflowPunct/>
        <w:topLinePunct/>
        <w:autoSpaceDE/>
        <w:autoSpaceDN/>
        <w:bidi w:val="0"/>
        <w:adjustRightInd/>
        <w:snapToGrid/>
        <w:spacing w:line="440" w:lineRule="exact"/>
        <w:jc w:val="center"/>
        <w:textAlignment w:val="auto"/>
        <w:outlineLvl w:val="1"/>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1013" w:name="_Toc1497"/>
      <w:r>
        <w:rPr>
          <w:rFonts w:hint="default" w:ascii="Times New Roman" w:hAnsi="Times New Roman" w:eastAsia="黑体" w:cs="Times New Roman"/>
          <w:bCs/>
          <w:color w:val="auto"/>
          <w:kern w:val="0"/>
          <w:sz w:val="24"/>
          <w:highlight w:val="none"/>
        </w:rPr>
        <w:t>（二）法定代表人身份证明</w:t>
      </w:r>
      <w:bookmarkEnd w:id="1010"/>
      <w:bookmarkEnd w:id="1011"/>
      <w:bookmarkEnd w:id="1012"/>
      <w:bookmarkEnd w:id="1013"/>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eastAsia"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wordWrap w:val="0"/>
        <w:topLinePunct/>
        <w:spacing w:line="440" w:lineRule="exact"/>
        <w:rPr>
          <w:rFonts w:hint="default" w:ascii="Times New Roman" w:hAnsi="Times New Roman" w:cs="Times New Roman"/>
          <w:color w:val="auto"/>
          <w:sz w:val="24"/>
          <w:highlight w:val="none"/>
        </w:rPr>
      </w:pPr>
    </w:p>
    <w:p>
      <w:pPr>
        <w:topLinePunct/>
        <w:spacing w:line="440" w:lineRule="exact"/>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p>
    <w:p>
      <w:pPr>
        <w:ind w:firstLine="420"/>
        <w:rPr>
          <w:rFonts w:hint="default" w:ascii="Times New Roman" w:hAnsi="Times New Roman" w:cs="Times New Roman"/>
          <w:color w:val="auto"/>
          <w:highlight w:val="none"/>
        </w:rPr>
      </w:pPr>
    </w:p>
    <w:tbl>
      <w:tblPr>
        <w:tblStyle w:val="4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Lines="150" w:afterLines="100" w:line="380" w:lineRule="atLeast"/>
        <w:ind w:firstLine="420" w:firstLineChars="200"/>
        <w:jc w:val="left"/>
        <w:textAlignment w:val="auto"/>
        <w:outlineLvl w:val="9"/>
        <w:rPr>
          <w:rFonts w:hint="default" w:ascii="Times New Roman" w:hAnsi="Times New Roman" w:eastAsia="黑体" w:cs="Times New Roman"/>
          <w:color w:val="auto"/>
          <w:sz w:val="22"/>
          <w:szCs w:val="22"/>
          <w:highlight w:val="none"/>
        </w:rPr>
        <w:sectPr>
          <w:headerReference r:id="rId28"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bookmarkStart w:id="1014" w:name="_Toc19329"/>
      <w:r>
        <w:rPr>
          <w:rFonts w:hint="default" w:ascii="Times New Roman" w:hAnsi="Times New Roman" w:cs="Times New Roman"/>
          <w:color w:val="auto"/>
          <w:kern w:val="44"/>
          <w:sz w:val="21"/>
          <w:szCs w:val="18"/>
          <w:highlight w:val="none"/>
        </w:rPr>
        <w:t>注：</w:t>
      </w:r>
      <w:r>
        <w:rPr>
          <w:rFonts w:hint="default" w:ascii="Times New Roman" w:hAnsi="Times New Roman" w:cs="Times New Roman"/>
          <w:color w:val="auto"/>
          <w:sz w:val="21"/>
          <w:szCs w:val="18"/>
          <w:highlight w:val="none"/>
        </w:rPr>
        <w:t>以联合体形式投标的，本法定代表人身份证明应由联合体牵头人的法定代表人按上述规定签署。</w:t>
      </w:r>
      <w:bookmarkEnd w:id="1014"/>
    </w:p>
    <w:p>
      <w:pPr>
        <w:pStyle w:val="2"/>
        <w:pageBreakBefore w:val="0"/>
        <w:kinsoku/>
        <w:wordWrap w:val="0"/>
        <w:overflowPunct/>
        <w:bidi w:val="0"/>
        <w:spacing w:beforeLines="150" w:afterLines="100" w:line="380" w:lineRule="atLeast"/>
        <w:jc w:val="center"/>
        <w:rPr>
          <w:rFonts w:hint="default" w:ascii="Times New Roman" w:hAnsi="Times New Roman" w:eastAsia="黑体" w:cs="Times New Roman"/>
          <w:color w:val="auto"/>
          <w:sz w:val="28"/>
          <w:szCs w:val="28"/>
          <w:highlight w:val="none"/>
        </w:rPr>
      </w:pPr>
      <w:bookmarkStart w:id="1015" w:name="_Toc9179"/>
      <w:bookmarkStart w:id="1016" w:name="_Toc17908"/>
      <w:bookmarkStart w:id="1017" w:name="_Toc3229"/>
      <w:r>
        <w:rPr>
          <w:rFonts w:hint="default" w:ascii="Times New Roman" w:hAnsi="Times New Roman" w:eastAsia="黑体" w:cs="Times New Roman"/>
          <w:color w:val="auto"/>
          <w:sz w:val="28"/>
          <w:szCs w:val="28"/>
          <w:highlight w:val="none"/>
        </w:rPr>
        <w:t>三、</w:t>
      </w:r>
      <w:r>
        <w:rPr>
          <w:rFonts w:hint="default" w:ascii="Times New Roman" w:hAnsi="Times New Roman" w:eastAsia="黑体" w:cs="Times New Roman"/>
          <w:b w:val="0"/>
          <w:color w:val="auto"/>
          <w:sz w:val="28"/>
          <w:szCs w:val="28"/>
          <w:highlight w:val="none"/>
        </w:rPr>
        <w:t>联合体协议书</w:t>
      </w:r>
      <w:r>
        <w:rPr>
          <w:rStyle w:val="56"/>
          <w:rFonts w:hint="default" w:ascii="Times New Roman" w:hAnsi="Times New Roman" w:eastAsia="黑体" w:cs="Times New Roman"/>
          <w:color w:val="auto"/>
          <w:sz w:val="28"/>
          <w:szCs w:val="28"/>
          <w:highlight w:val="none"/>
        </w:rPr>
        <w:footnoteReference w:id="47"/>
      </w:r>
      <w:bookmarkEnd w:id="999"/>
      <w:bookmarkEnd w:id="1015"/>
      <w:bookmarkEnd w:id="1016"/>
      <w:bookmarkEnd w:id="1017"/>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p>
    <w:p>
      <w:pPr>
        <w:pageBreakBefore w:val="0"/>
        <w:kinsoku/>
        <w:wordWrap w:val="0"/>
        <w:overflowPunct/>
        <w:bidi w:val="0"/>
        <w:spacing w:line="400" w:lineRule="atLeast"/>
        <w:ind w:firstLine="36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标段</w:t>
      </w:r>
      <w:r>
        <w:rPr>
          <w:rFonts w:hint="default" w:ascii="Times New Roman" w:hAnsi="Times New Roman" w:cs="Times New Roman"/>
          <w:color w:val="auto"/>
          <w:sz w:val="24"/>
          <w:highlight w:val="none"/>
        </w:rPr>
        <w:t>名称）勘察设计投标。现就联合体投标事宜订立如下协议。</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1018" w:name="_Toc247527830"/>
      <w:bookmarkStart w:id="1019" w:name="_Toc152042579"/>
      <w:bookmarkStart w:id="1020" w:name="_Toc144974859"/>
      <w:bookmarkStart w:id="1021" w:name="_Toc384308378"/>
      <w:bookmarkStart w:id="1022" w:name="_Toc152045790"/>
      <w:bookmarkStart w:id="1023" w:name="_Toc361508755"/>
      <w:bookmarkStart w:id="1024" w:name="_Toc247514249"/>
      <w:bookmarkStart w:id="1025" w:name="_Toc300835212"/>
      <w:r>
        <w:rPr>
          <w:rFonts w:hint="default" w:ascii="Times New Roman" w:hAnsi="Times New Roman" w:cs="Times New Roman"/>
          <w:color w:val="auto"/>
          <w:sz w:val="24"/>
          <w:highlight w:val="none"/>
        </w:rPr>
        <w:t>关的</w:t>
      </w:r>
      <w:bookmarkStart w:id="1026" w:name="_Toc7749"/>
      <w:bookmarkStart w:id="1027" w:name="_Toc352691664"/>
      <w:bookmarkStart w:id="1028" w:name="_Toc369531700"/>
      <w:r>
        <w:rPr>
          <w:rFonts w:hint="default" w:ascii="Times New Roman" w:hAnsi="Times New Roman" w:cs="Times New Roman"/>
          <w:color w:val="auto"/>
          <w:sz w:val="24"/>
          <w:highlight w:val="none"/>
        </w:rPr>
        <w:t>资料、信息及</w:t>
      </w:r>
      <w:bookmarkEnd w:id="1026"/>
      <w:bookmarkEnd w:id="1027"/>
      <w:bookmarkEnd w:id="1028"/>
      <w:r>
        <w:rPr>
          <w:rFonts w:hint="default" w:ascii="Times New Roman" w:hAnsi="Times New Roman" w:cs="Times New Roman"/>
          <w:color w:val="auto"/>
          <w:sz w:val="24"/>
          <w:highlight w:val="none"/>
        </w:rPr>
        <w:t>指</w:t>
      </w:r>
      <w:bookmarkEnd w:id="1018"/>
      <w:bookmarkEnd w:id="1019"/>
      <w:bookmarkEnd w:id="1020"/>
      <w:bookmarkEnd w:id="1021"/>
      <w:bookmarkEnd w:id="1022"/>
      <w:bookmarkEnd w:id="1023"/>
      <w:bookmarkEnd w:id="1024"/>
      <w:bookmarkEnd w:id="1025"/>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pPr>
        <w:pageBreakBefore w:val="0"/>
        <w:kinsoku/>
        <w:wordWrap w:val="0"/>
        <w:overflowPunct/>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pPr>
        <w:pageBreakBefore w:val="0"/>
        <w:kinsoku/>
        <w:wordWrap w:val="0"/>
        <w:overflowPunct/>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6.本协议书自所有成员单位法定代表人签字或盖单位章之日起生效，合同履行完毕后自动失效。</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topLinePunct/>
        <w:spacing w:line="400" w:lineRule="atLeast"/>
        <w:ind w:firstLine="411" w:firstLineChars="19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pPr>
        <w:pageBreakBefore w:val="0"/>
        <w:kinsoku/>
        <w:wordWrap w:val="0"/>
        <w:overflowPunct/>
        <w:bidi w:val="0"/>
        <w:spacing w:line="400" w:lineRule="atLeast"/>
        <w:ind w:firstLine="2700" w:firstLineChars="1125"/>
        <w:jc w:val="right"/>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bookmarkStart w:id="1029" w:name="_Toc234833262"/>
      <w:r>
        <w:rPr>
          <w:rFonts w:hint="default" w:ascii="Times New Roman" w:hAnsi="Times New Roman" w:eastAsia="黑体" w:cs="Times New Roman"/>
          <w:b w:val="0"/>
          <w:color w:val="auto"/>
          <w:sz w:val="28"/>
          <w:szCs w:val="28"/>
          <w:highlight w:val="none"/>
        </w:rPr>
        <w:br w:type="page"/>
      </w:r>
      <w:bookmarkStart w:id="1030" w:name="_Toc15550"/>
      <w:bookmarkStart w:id="1031" w:name="_Toc20928"/>
      <w:bookmarkStart w:id="1032" w:name="_Toc12309"/>
      <w:r>
        <w:rPr>
          <w:rFonts w:hint="default" w:ascii="Times New Roman" w:hAnsi="Times New Roman" w:eastAsia="黑体" w:cs="Times New Roman"/>
          <w:b w:val="0"/>
          <w:color w:val="auto"/>
          <w:sz w:val="28"/>
          <w:szCs w:val="28"/>
          <w:highlight w:val="none"/>
        </w:rPr>
        <w:t>四、投标保证金</w:t>
      </w:r>
      <w:bookmarkEnd w:id="1029"/>
      <w:bookmarkEnd w:id="1030"/>
      <w:bookmarkEnd w:id="1031"/>
      <w:bookmarkEnd w:id="1032"/>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spacing w:line="400" w:lineRule="atLeast"/>
        <w:ind w:firstLine="508" w:firstLineChars="21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spacing w:line="40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若采用电子保函，投标人应在此提供电子化保函验真渠道和从投标人基本账户支出的保函财务费用支付凭证</w:t>
      </w:r>
      <w:r>
        <w:rPr>
          <w:rFonts w:hint="default" w:ascii="Times New Roman" w:hAnsi="Times New Roman" w:cs="Times New Roman"/>
          <w:b w:val="0"/>
          <w:bCs w:val="0"/>
          <w:color w:val="auto"/>
          <w:sz w:val="24"/>
          <w:szCs w:val="24"/>
          <w:highlight w:val="none"/>
          <w:lang w:val="en-US" w:eastAsia="zh-CN"/>
        </w:rPr>
        <w:t>。</w:t>
      </w:r>
    </w:p>
    <w:p>
      <w:pPr>
        <w:spacing w:line="400" w:lineRule="exac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spacing w:line="400" w:lineRule="exact"/>
        <w:ind w:firstLine="480" w:firstLineChars="200"/>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rPr>
          <w:rFonts w:hint="default" w:ascii="Times New Roman" w:hAnsi="Times New Roman" w:cs="Times New Roman"/>
          <w:color w:val="auto"/>
          <w:sz w:val="24"/>
          <w:highlight w:val="none"/>
          <w:u w:val="singl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spacing w:line="400" w:lineRule="exact"/>
        <w:jc w:val="center"/>
        <w:rPr>
          <w:rFonts w:hint="default" w:ascii="Times New Roman" w:hAnsi="Times New Roman" w:cs="Times New Roman"/>
          <w:color w:val="auto"/>
          <w:sz w:val="24"/>
          <w:highlight w:val="none"/>
        </w:rPr>
      </w:pPr>
    </w:p>
    <w:p>
      <w:pPr>
        <w:wordWrap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勘察设计</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rPr>
          <w:rFonts w:hint="default" w:ascii="Times New Roman" w:hAnsi="Times New Roman" w:cs="Times New Roman"/>
          <w:color w:val="auto"/>
          <w:sz w:val="24"/>
          <w:highlight w:val="none"/>
        </w:rPr>
      </w:pPr>
    </w:p>
    <w:p>
      <w:pPr>
        <w:rPr>
          <w:rFonts w:hint="default" w:ascii="Times New Roman" w:hAnsi="Times New Roman" w:cs="Times New Roman"/>
          <w:color w:val="auto"/>
          <w:sz w:val="24"/>
          <w:highlight w:val="non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autoSpaceDE w:val="0"/>
        <w:autoSpaceDN w:val="0"/>
        <w:adjustRightInd w:val="0"/>
        <w:spacing w:line="400" w:lineRule="atLeast"/>
        <w:ind w:firstLine="2400" w:firstLineChars="10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40" w:lineRule="exact"/>
        <w:ind w:firstLine="5040" w:firstLineChars="2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40" w:lineRule="exact"/>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bookmarkStart w:id="1033" w:name="_Toc234833264"/>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8"/>
          <w:szCs w:val="28"/>
          <w:highlight w:val="none"/>
        </w:rPr>
        <w:br w:type="page"/>
      </w:r>
      <w:bookmarkStart w:id="1034" w:name="_Toc29557"/>
      <w:bookmarkStart w:id="1035" w:name="_Toc20078"/>
      <w:bookmarkStart w:id="1036" w:name="_Toc234833276"/>
      <w:bookmarkStart w:id="1037" w:name="_Toc3988"/>
      <w:r>
        <w:rPr>
          <w:rFonts w:hint="default" w:ascii="Times New Roman" w:hAnsi="Times New Roman" w:eastAsia="黑体" w:cs="Times New Roman"/>
          <w:b w:val="0"/>
          <w:color w:val="auto"/>
          <w:sz w:val="28"/>
          <w:szCs w:val="28"/>
          <w:highlight w:val="none"/>
        </w:rPr>
        <w:t>五、拟分包项目情况表</w:t>
      </w:r>
      <w:bookmarkEnd w:id="1034"/>
      <w:bookmarkEnd w:id="1035"/>
      <w:bookmarkEnd w:id="1036"/>
      <w:bookmarkEnd w:id="1037"/>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tbl>
      <w:tblPr>
        <w:tblStyle w:val="47"/>
        <w:tblW w:w="11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2010"/>
        <w:gridCol w:w="1790"/>
        <w:gridCol w:w="3180"/>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拟分包的工程项目</w:t>
            </w: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主要工程内容</w:t>
            </w:r>
          </w:p>
        </w:tc>
        <w:tc>
          <w:tcPr>
            <w:tcW w:w="179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勘察设计任务</w:t>
            </w: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分包工作量占总</w:t>
            </w:r>
          </w:p>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工作量的比例</w:t>
            </w:r>
            <w:r>
              <w:rPr>
                <w:rFonts w:hint="default" w:ascii="Times New Roman" w:hAnsi="Times New Roman" w:cs="Times New Roman"/>
                <w:color w:val="auto"/>
                <w:sz w:val="24"/>
                <w:highlight w:val="none"/>
              </w:rPr>
              <w:t>（%）</w:t>
            </w:r>
          </w:p>
        </w:tc>
        <w:tc>
          <w:tcPr>
            <w:tcW w:w="2161"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restart"/>
            <w:vAlign w:val="center"/>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color w:val="auto"/>
                <w:szCs w:val="21"/>
                <w:highlight w:val="none"/>
              </w:rPr>
              <w:t>注：若无分包计划，则投标人应在本表填写</w:t>
            </w:r>
            <w:r>
              <w:rPr>
                <w:rFonts w:hint="eastAsia" w:ascii="宋体" w:hAnsi="宋体" w:eastAsia="宋体" w:cs="宋体"/>
                <w:color w:val="auto"/>
                <w:szCs w:val="21"/>
                <w:highlight w:val="none"/>
              </w:rPr>
              <w:t>“</w:t>
            </w:r>
            <w:r>
              <w:rPr>
                <w:color w:val="auto"/>
                <w:szCs w:val="21"/>
                <w:highlight w:val="none"/>
              </w:rPr>
              <w:t>无</w:t>
            </w: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956"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01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790" w:type="dxa"/>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5756" w:type="dxa"/>
            <w:gridSpan w:val="3"/>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拟分包工作量合计比例</w:t>
            </w:r>
            <w:r>
              <w:rPr>
                <w:rFonts w:hint="default" w:ascii="Times New Roman" w:hAnsi="Times New Roman" w:cs="Times New Roman"/>
                <w:color w:val="auto"/>
                <w:sz w:val="24"/>
                <w:highlight w:val="none"/>
              </w:rPr>
              <w:t>（%）</w:t>
            </w:r>
          </w:p>
        </w:tc>
        <w:tc>
          <w:tcPr>
            <w:tcW w:w="3180" w:type="dxa"/>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2161"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bl>
    <w:p>
      <w:pPr>
        <w:pageBreakBefore w:val="0"/>
        <w:kinsoku/>
        <w:wordWrap w:val="0"/>
        <w:overflowPunct/>
        <w:bidi w:val="0"/>
        <w:spacing w:line="440" w:lineRule="exact"/>
        <w:ind w:firstLine="540" w:firstLineChars="20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7"/>
          <w:szCs w:val="27"/>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bookmarkStart w:id="1038" w:name="_Toc23301"/>
      <w:bookmarkStart w:id="1039" w:name="_Toc234833278"/>
      <w:bookmarkStart w:id="1040" w:name="_Toc16358"/>
      <w:bookmarkStart w:id="1041" w:name="_Toc32705"/>
      <w:r>
        <w:rPr>
          <w:rFonts w:hint="default" w:ascii="Times New Roman" w:hAnsi="Times New Roman" w:eastAsia="黑体" w:cs="Times New Roman"/>
          <w:b w:val="0"/>
          <w:color w:val="auto"/>
          <w:sz w:val="28"/>
          <w:szCs w:val="28"/>
          <w:highlight w:val="none"/>
        </w:rPr>
        <w:t>六、资格审查资料</w:t>
      </w:r>
      <w:bookmarkEnd w:id="1038"/>
      <w:bookmarkEnd w:id="1039"/>
      <w:bookmarkEnd w:id="1040"/>
      <w:bookmarkEnd w:id="1041"/>
    </w:p>
    <w:p>
      <w:pPr>
        <w:pageBreakBefore w:val="0"/>
        <w:kinsoku/>
        <w:wordWrap w:val="0"/>
        <w:overflowPunct/>
        <w:bidi w:val="0"/>
        <w:spacing w:before="0" w:after="0" w:line="380" w:lineRule="atLeast"/>
        <w:jc w:val="center"/>
        <w:outlineLvl w:val="9"/>
        <w:rPr>
          <w:rFonts w:hint="default" w:ascii="Times New Roman" w:hAnsi="Times New Roman" w:eastAsia="黑体" w:cs="Times New Roman"/>
          <w:b w:val="0"/>
          <w:color w:val="auto"/>
          <w:sz w:val="28"/>
          <w:szCs w:val="28"/>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42" w:name="_Toc2483"/>
      <w:bookmarkStart w:id="1043" w:name="_Toc4734"/>
      <w:bookmarkStart w:id="1044" w:name="_Toc14185"/>
      <w:bookmarkStart w:id="1045" w:name="_Toc234833279"/>
      <w:bookmarkStart w:id="1046" w:name="_Toc29102"/>
      <w:r>
        <w:rPr>
          <w:rFonts w:hint="default" w:ascii="Times New Roman" w:hAnsi="Times New Roman" w:eastAsia="黑体" w:cs="Times New Roman"/>
          <w:b w:val="0"/>
          <w:color w:val="auto"/>
          <w:sz w:val="24"/>
          <w:szCs w:val="24"/>
          <w:highlight w:val="none"/>
        </w:rPr>
        <w:t>（一）投标人基本情况表</w:t>
      </w:r>
      <w:bookmarkEnd w:id="1042"/>
      <w:bookmarkEnd w:id="1043"/>
      <w:bookmarkEnd w:id="1044"/>
      <w:bookmarkEnd w:id="1045"/>
      <w:bookmarkEnd w:id="1046"/>
    </w:p>
    <w:p>
      <w:pPr>
        <w:pageBreakBefore w:val="0"/>
        <w:kinsoku/>
        <w:wordWrap w:val="0"/>
        <w:overflowPunct/>
        <w:bidi w:val="0"/>
        <w:spacing w:line="440" w:lineRule="exact"/>
        <w:jc w:val="center"/>
        <w:rPr>
          <w:rFonts w:hint="default" w:ascii="Times New Roman" w:hAnsi="Times New Roman" w:eastAsia="黑体" w:cs="Times New Roman"/>
          <w:color w:val="auto"/>
          <w:sz w:val="23"/>
          <w:szCs w:val="23"/>
          <w:highlight w:val="none"/>
        </w:rPr>
      </w:pPr>
    </w:p>
    <w:tbl>
      <w:tblPr>
        <w:tblStyle w:val="47"/>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电子邮件</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企业勘察资质证书</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105" w:firstLine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企业</w:t>
            </w:r>
            <w:r>
              <w:rPr>
                <w:rFonts w:hint="default" w:ascii="Times New Roman" w:hAnsi="Times New Roman" w:cs="Times New Roman"/>
                <w:color w:val="auto"/>
                <w:szCs w:val="21"/>
                <w:highlight w:val="none"/>
              </w:rPr>
              <w:t>设计</w:t>
            </w:r>
            <w:r>
              <w:rPr>
                <w:rFonts w:hint="default" w:ascii="Times New Roman" w:hAnsi="Times New Roman" w:cs="Times New Roman"/>
                <w:color w:val="auto"/>
                <w:highlight w:val="none"/>
              </w:rPr>
              <w:t>资质证书</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105" w:firstLine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3629"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restart"/>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高级职称人员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中级职称人员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技术人员数量</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各类注册人员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210" w:firstLineChars="10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经营范围</w:t>
            </w:r>
          </w:p>
        </w:tc>
        <w:tc>
          <w:tcPr>
            <w:tcW w:w="6840" w:type="dxa"/>
            <w:gridSpan w:val="8"/>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投标人关联企业情况</w:t>
            </w:r>
          </w:p>
        </w:tc>
        <w:tc>
          <w:tcPr>
            <w:tcW w:w="6840" w:type="dxa"/>
            <w:gridSpan w:val="8"/>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w:t>
            </w:r>
            <w:r>
              <w:rPr>
                <w:rFonts w:hint="default" w:ascii="Times New Roman" w:hAnsi="Times New Roman" w:cs="Times New Roman"/>
                <w:color w:val="auto"/>
                <w:highlight w:val="none"/>
              </w:rPr>
              <w:t>单位负责人（即法定代表人）为同一人的其他单位名称</w:t>
            </w:r>
          </w:p>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bl>
    <w:p>
      <w:pPr>
        <w:pageBreakBefore w:val="0"/>
        <w:widowControl/>
        <w:kinsoku/>
        <w:wordWrap w:val="0"/>
        <w:overflowPunct/>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overflowPunct/>
        <w:bidi w:val="0"/>
        <w:spacing w:line="28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p>
      <w:pPr>
        <w:pageBreakBefore w:val="0"/>
        <w:widowControl/>
        <w:kinsoku/>
        <w:wordWrap w:val="0"/>
        <w:overflowPunct/>
        <w:bidi w:val="0"/>
        <w:jc w:val="left"/>
        <w:rPr>
          <w:rFonts w:hint="default" w:ascii="Times New Roman" w:hAnsi="Times New Roman" w:eastAsia="黑体" w:cs="Times New Roman"/>
          <w:bCs/>
          <w:color w:val="auto"/>
          <w:kern w:val="44"/>
          <w:sz w:val="24"/>
          <w:highlight w:val="none"/>
        </w:rPr>
      </w:pPr>
      <w:bookmarkStart w:id="1047" w:name="_Toc234833280"/>
      <w:r>
        <w:rPr>
          <w:rFonts w:hint="default" w:ascii="Times New Roman" w:hAnsi="Times New Roman" w:eastAsia="黑体" w:cs="Times New Roman"/>
          <w:b/>
          <w:color w:val="auto"/>
          <w:sz w:val="24"/>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48" w:name="_Toc14679"/>
      <w:bookmarkStart w:id="1049" w:name="_Toc18742"/>
      <w:bookmarkStart w:id="1050" w:name="_Toc19500"/>
      <w:bookmarkStart w:id="1051" w:name="_Toc18536"/>
      <w:r>
        <w:rPr>
          <w:rFonts w:hint="default" w:ascii="Times New Roman" w:hAnsi="Times New Roman" w:eastAsia="黑体" w:cs="Times New Roman"/>
          <w:b w:val="0"/>
          <w:color w:val="auto"/>
          <w:sz w:val="24"/>
          <w:szCs w:val="24"/>
          <w:highlight w:val="none"/>
        </w:rPr>
        <w:t>（二）投标人企业组织机构框图</w:t>
      </w:r>
      <w:bookmarkEnd w:id="1047"/>
      <w:bookmarkEnd w:id="1048"/>
      <w:bookmarkEnd w:id="1049"/>
      <w:bookmarkEnd w:id="1050"/>
      <w:bookmarkEnd w:id="1051"/>
    </w:p>
    <w:p>
      <w:pPr>
        <w:pageBreakBefore w:val="0"/>
        <w:widowControl/>
        <w:kinsoku/>
        <w:wordWrap w:val="0"/>
        <w:overflowPunct/>
        <w:autoSpaceDE w:val="0"/>
        <w:autoSpaceDN w:val="0"/>
        <w:bidi w:val="0"/>
        <w:spacing w:line="400" w:lineRule="atLeast"/>
        <w:ind w:left="180"/>
        <w:jc w:val="center"/>
        <w:textAlignment w:val="bottom"/>
        <w:rPr>
          <w:rFonts w:hint="default" w:ascii="Times New Roman" w:hAnsi="Times New Roman" w:cs="Times New Roman"/>
          <w:color w:val="auto"/>
          <w:sz w:val="20"/>
          <w:szCs w:val="20"/>
          <w:highlight w:val="none"/>
        </w:rPr>
      </w:pPr>
    </w:p>
    <w:p>
      <w:pPr>
        <w:pageBreakBefore w:val="0"/>
        <w:widowControl/>
        <w:kinsoku/>
        <w:wordWrap w:val="0"/>
        <w:overflowPunct/>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tbl>
      <w:tblPr>
        <w:tblStyle w:val="47"/>
        <w:tblW w:w="889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tc>
      </w:tr>
    </w:tbl>
    <w:p>
      <w:pPr>
        <w:pageBreakBefore w:val="0"/>
        <w:kinsoku/>
        <w:wordWrap w:val="0"/>
        <w:overflowPunct/>
        <w:topLinePunct/>
        <w:bidi w:val="0"/>
        <w:spacing w:line="34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 xml:space="preserve"> </w:t>
      </w:r>
    </w:p>
    <w:p>
      <w:pPr>
        <w:pageBreakBefore w:val="0"/>
        <w:widowControl/>
        <w:kinsoku/>
        <w:wordWrap w:val="0"/>
        <w:overflowPunct/>
        <w:bidi w:val="0"/>
        <w:jc w:val="left"/>
        <w:rPr>
          <w:rFonts w:hint="default" w:ascii="Times New Roman" w:hAnsi="Times New Roman" w:eastAsia="黑体" w:cs="Times New Roman"/>
          <w:bCs/>
          <w:color w:val="auto"/>
          <w:kern w:val="44"/>
          <w:sz w:val="24"/>
          <w:highlight w:val="none"/>
        </w:rPr>
      </w:pPr>
      <w:bookmarkStart w:id="1052" w:name="_Toc234833281"/>
      <w:r>
        <w:rPr>
          <w:rFonts w:hint="default" w:ascii="Times New Roman" w:hAnsi="Times New Roman" w:eastAsia="黑体" w:cs="Times New Roman"/>
          <w:b/>
          <w:color w:val="auto"/>
          <w:sz w:val="24"/>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53" w:name="_Toc28617"/>
      <w:bookmarkStart w:id="1054" w:name="_Toc25458"/>
      <w:bookmarkStart w:id="1055" w:name="_Toc727"/>
      <w:bookmarkStart w:id="1056" w:name="_Toc7327"/>
      <w:r>
        <w:rPr>
          <w:rFonts w:hint="default" w:ascii="Times New Roman" w:hAnsi="Times New Roman" w:eastAsia="黑体" w:cs="Times New Roman"/>
          <w:b w:val="0"/>
          <w:color w:val="auto"/>
          <w:sz w:val="24"/>
          <w:szCs w:val="24"/>
          <w:highlight w:val="none"/>
        </w:rPr>
        <w:t>（三）近年完成的类似项目情况表</w:t>
      </w:r>
      <w:bookmarkEnd w:id="1053"/>
      <w:bookmarkEnd w:id="1054"/>
      <w:bookmarkEnd w:id="1055"/>
      <w:bookmarkEnd w:id="1056"/>
    </w:p>
    <w:p>
      <w:pPr>
        <w:pageBreakBefore w:val="0"/>
        <w:kinsoku/>
        <w:wordWrap w:val="0"/>
        <w:overflowPunct/>
        <w:bidi w:val="0"/>
        <w:spacing w:line="320" w:lineRule="atLeast"/>
        <w:ind w:left="735" w:hanging="735" w:hangingChars="350"/>
        <w:rPr>
          <w:rFonts w:hint="default" w:ascii="Times New Roman" w:hAnsi="Times New Roman" w:cs="Times New Roman"/>
          <w:color w:val="auto"/>
          <w:szCs w:val="21"/>
          <w:highlight w:val="none"/>
        </w:rPr>
      </w:pPr>
    </w:p>
    <w:tbl>
      <w:tblPr>
        <w:tblStyle w:val="47"/>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    号</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项目所在地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发包人名称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发包人地址</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发包人电话</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项目等级</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项目总投资</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合同价格</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承担的勘察设计工作</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勘察设计服务期限</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项目完成情况</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项目描述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bl>
    <w:p>
      <w:pPr>
        <w:pageBreakBefore w:val="0"/>
        <w:kinsoku/>
        <w:wordWrap w:val="0"/>
        <w:overflowPunct/>
        <w:bidi w:val="0"/>
        <w:spacing w:line="280" w:lineRule="exac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项目完成情况：根据先后顺序分为</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初步设计已批复</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施工图设计已审批</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等不同阶段，投标人应根据项目实际完成情况进行填报。</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3. </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4.如近年来，投标人法人机构发生合法变更或重组或法人名称变更时，应提供相关部门的合法批件或其他相关证明材料来证明其所附业绩的继承性。</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3"/>
          <w:szCs w:val="23"/>
          <w:highlight w:val="none"/>
        </w:rPr>
        <w:br w:type="page"/>
      </w:r>
      <w:bookmarkStart w:id="1057" w:name="_Toc11923"/>
      <w:bookmarkStart w:id="1058" w:name="_Toc15044"/>
      <w:bookmarkStart w:id="1059" w:name="_Toc25086"/>
      <w:bookmarkStart w:id="1060" w:name="_Toc1699"/>
      <w:r>
        <w:rPr>
          <w:rFonts w:hint="default" w:ascii="Times New Roman" w:hAnsi="Times New Roman" w:eastAsia="黑体" w:cs="Times New Roman"/>
          <w:b w:val="0"/>
          <w:color w:val="auto"/>
          <w:sz w:val="24"/>
          <w:szCs w:val="24"/>
          <w:highlight w:val="none"/>
        </w:rPr>
        <w:t>（四）投标人的信誉情况表</w:t>
      </w:r>
      <w:bookmarkEnd w:id="1057"/>
      <w:bookmarkEnd w:id="1058"/>
      <w:bookmarkEnd w:id="1059"/>
      <w:bookmarkEnd w:id="1060"/>
    </w:p>
    <w:p>
      <w:pPr>
        <w:pageBreakBefore w:val="0"/>
        <w:kinsoku/>
        <w:wordWrap w:val="0"/>
        <w:overflowPunct/>
        <w:bidi w:val="0"/>
        <w:spacing w:before="0" w:after="0" w:line="380" w:lineRule="atLeast"/>
        <w:jc w:val="center"/>
        <w:outlineLvl w:val="9"/>
        <w:rPr>
          <w:rFonts w:hint="default" w:ascii="Times New Roman" w:hAnsi="Times New Roman" w:eastAsia="黑体" w:cs="Times New Roman"/>
          <w:color w:val="auto"/>
          <w:sz w:val="20"/>
          <w:szCs w:val="20"/>
          <w:highlight w:val="none"/>
        </w:rPr>
      </w:pPr>
    </w:p>
    <w:tbl>
      <w:tblPr>
        <w:tblStyle w:val="4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4261" w:type="dxa"/>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项 目</w:t>
            </w:r>
          </w:p>
        </w:tc>
        <w:tc>
          <w:tcPr>
            <w:tcW w:w="4261" w:type="dxa"/>
            <w:vAlign w:val="center"/>
          </w:tcPr>
          <w:p>
            <w:pPr>
              <w:pageBreakBefore w:val="0"/>
              <w:kinsoku/>
              <w:wordWrap w:val="0"/>
              <w:overflowPunct/>
              <w:topLinePunct/>
              <w:bidi w:val="0"/>
              <w:spacing w:line="440" w:lineRule="exact"/>
              <w:jc w:val="center"/>
              <w:rPr>
                <w:rFonts w:hint="default" w:ascii="Times New Roman" w:hAnsi="Times New Roman" w:cs="Times New Roman"/>
                <w:bCs/>
                <w:color w:val="auto"/>
                <w:sz w:val="20"/>
                <w:szCs w:val="20"/>
                <w:highlight w:val="none"/>
              </w:rPr>
            </w:pPr>
            <w:r>
              <w:rPr>
                <w:rFonts w:hint="default" w:ascii="Times New Roman" w:hAnsi="Times New Roman" w:cs="Times New Roman"/>
                <w:bCs/>
                <w:color w:val="auto"/>
                <w:sz w:val="20"/>
                <w:szCs w:val="20"/>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40" w:lineRule="exact"/>
              <w:rPr>
                <w:rFonts w:hint="default" w:ascii="Times New Roman" w:hAnsi="Times New Roman" w:cs="Times New Roman"/>
                <w:bCs/>
                <w:color w:val="auto"/>
                <w:sz w:val="20"/>
                <w:szCs w:val="20"/>
                <w:highlight w:val="none"/>
              </w:rPr>
            </w:pPr>
          </w:p>
        </w:tc>
      </w:tr>
    </w:tbl>
    <w:p>
      <w:pPr>
        <w:pageBreakBefore w:val="0"/>
        <w:kinsoku/>
        <w:wordWrap w:val="0"/>
        <w:overflowPunct/>
        <w:bidi w:val="0"/>
        <w:spacing w:line="400" w:lineRule="atLeast"/>
        <w:ind w:left="420" w:hanging="420" w:hanging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前附表附录3和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bookmarkStart w:id="1061"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bookmarkEnd w:id="1061"/>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p>
    <w:p>
      <w:pPr>
        <w:pageBreakBefore w:val="0"/>
        <w:kinsoku/>
        <w:wordWrap w:val="0"/>
        <w:overflowPunct/>
        <w:bidi w:val="0"/>
        <w:spacing w:line="400" w:lineRule="atLeast"/>
        <w:ind w:left="420" w:hanging="420" w:hangingChars="200"/>
        <w:rPr>
          <w:rFonts w:hint="default" w:ascii="Times New Roman" w:hAnsi="Times New Roman" w:cs="Times New Roman"/>
          <w:color w:val="auto"/>
          <w:szCs w:val="21"/>
          <w:highlight w:val="none"/>
        </w:rPr>
      </w:pPr>
    </w:p>
    <w:p>
      <w:pPr>
        <w:pageBreakBefore w:val="0"/>
        <w:widowControl/>
        <w:kinsoku/>
        <w:wordWrap w:val="0"/>
        <w:overflowPunct/>
        <w:bidi w:val="0"/>
        <w:jc w:val="left"/>
        <w:rPr>
          <w:rFonts w:hint="default" w:ascii="Times New Roman" w:hAnsi="Times New Roman" w:eastAsia="黑体" w:cs="Times New Roman"/>
          <w:b/>
          <w:color w:val="auto"/>
          <w:sz w:val="24"/>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r>
        <w:rPr>
          <w:rFonts w:hint="default" w:ascii="Times New Roman" w:hAnsi="Times New Roman" w:eastAsia="黑体" w:cs="Times New Roman"/>
          <w:b/>
          <w:color w:val="auto"/>
          <w:sz w:val="24"/>
          <w:highlight w:val="none"/>
        </w:rPr>
        <w:br w:type="page"/>
      </w:r>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r>
        <w:rPr>
          <w:rFonts w:hint="default" w:ascii="Times New Roman" w:hAnsi="Times New Roman" w:cs="Times New Roman"/>
          <w:color w:val="auto"/>
          <w:sz w:val="24"/>
          <w:szCs w:val="22"/>
          <w:highlight w:val="none"/>
        </w:rPr>
        <w:t>：</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、拟委任的项目负责人</w:t>
      </w:r>
      <w:r>
        <w:rPr>
          <w:rFonts w:hint="default" w:ascii="Times New Roman" w:hAnsi="Times New Roman" w:cs="Times New Roman"/>
          <w:color w:val="auto"/>
          <w:sz w:val="24"/>
          <w:szCs w:val="22"/>
          <w:highlight w:val="none"/>
          <w:u w:val="single"/>
        </w:rPr>
        <w:t xml:space="preserve">   （项目负责人姓名及身份证号码）   </w:t>
      </w:r>
      <w:r>
        <w:rPr>
          <w:rFonts w:hint="default" w:ascii="Times New Roman" w:hAnsi="Times New Roman" w:cs="Times New Roman"/>
          <w:color w:val="auto"/>
          <w:sz w:val="24"/>
          <w:szCs w:val="22"/>
          <w:highlight w:val="none"/>
        </w:rPr>
        <w:t>均无行贿犯罪行为。</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如经招标人或评标委员会核实我单位出具的该承诺存在弄虚作假，承诺不实的情形，评标</w:t>
      </w:r>
      <w:r>
        <w:rPr>
          <w:rFonts w:hint="eastAsia" w:cs="Times New Roman"/>
          <w:color w:val="auto"/>
          <w:sz w:val="24"/>
          <w:szCs w:val="22"/>
          <w:highlight w:val="none"/>
          <w:lang w:val="en-US" w:eastAsia="zh-CN"/>
        </w:rPr>
        <w:t>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p>
    <w:p>
      <w:pPr>
        <w:wordWrap w:val="0"/>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spacing w:line="360" w:lineRule="auto"/>
        <w:ind w:left="2520" w:leftChars="1200" w:firstLine="1920" w:firstLineChars="800"/>
        <w:rPr>
          <w:rFonts w:hint="default" w:ascii="Times New Roman" w:hAnsi="Times New Roman" w:cs="Times New Roman"/>
          <w:color w:val="auto"/>
          <w:sz w:val="24"/>
          <w:szCs w:val="24"/>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Style w:val="18"/>
        <w:rPr>
          <w:rFonts w:hint="default" w:ascii="Times New Roman" w:hAnsi="Times New Roman" w:cs="Times New Roman"/>
          <w:color w:val="auto"/>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62" w:name="_Toc17823"/>
      <w:bookmarkStart w:id="1063" w:name="_Toc18244"/>
      <w:bookmarkStart w:id="1064" w:name="_Toc25842"/>
      <w:bookmarkStart w:id="1065" w:name="_Toc15525"/>
      <w:r>
        <w:rPr>
          <w:rFonts w:hint="default" w:ascii="Times New Roman" w:hAnsi="Times New Roman" w:eastAsia="黑体" w:cs="Times New Roman"/>
          <w:b w:val="0"/>
          <w:color w:val="auto"/>
          <w:sz w:val="24"/>
          <w:szCs w:val="24"/>
          <w:highlight w:val="none"/>
        </w:rPr>
        <w:t>（五）拟委任的项目负责人资历表</w:t>
      </w:r>
      <w:bookmarkEnd w:id="1052"/>
      <w:bookmarkEnd w:id="1062"/>
      <w:bookmarkEnd w:id="1063"/>
      <w:bookmarkEnd w:id="1064"/>
      <w:bookmarkEnd w:id="1065"/>
    </w:p>
    <w:p>
      <w:pPr>
        <w:pageBreakBefore w:val="0"/>
        <w:kinsoku/>
        <w:wordWrap w:val="0"/>
        <w:overflowPunct/>
        <w:bidi w:val="0"/>
        <w:rPr>
          <w:rFonts w:hint="default" w:ascii="Times New Roman" w:hAnsi="Times New Roman" w:cs="Times New Roman"/>
          <w:color w:val="auto"/>
          <w:highlight w:val="none"/>
        </w:rPr>
      </w:pPr>
    </w:p>
    <w:tbl>
      <w:tblPr>
        <w:tblStyle w:val="47"/>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1486"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046"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1363" w:type="dxa"/>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执业或职业资格证书名称</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486"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046"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1363" w:type="dxa"/>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895"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从事勘察设计工作年限</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399" w:type="dxa"/>
            <w:gridSpan w:val="9"/>
            <w:vAlign w:val="center"/>
          </w:tcPr>
          <w:p>
            <w:pPr>
              <w:pageBreakBefore w:val="0"/>
              <w:widowControl/>
              <w:kinsoku/>
              <w:wordWrap w:val="0"/>
              <w:overflowPunct/>
              <w:autoSpaceDE w:val="0"/>
              <w:autoSpaceDN w:val="0"/>
              <w:bidi w:val="0"/>
              <w:spacing w:beforeLines="25"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617" w:type="dxa"/>
            <w:gridSpan w:val="10"/>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4178" w:type="dxa"/>
            <w:gridSpan w:val="5"/>
            <w:vAlign w:val="center"/>
          </w:tcPr>
          <w:p>
            <w:pPr>
              <w:pStyle w:val="58"/>
              <w:pageBreakBefore w:val="0"/>
              <w:widowControl/>
              <w:kinsoku/>
              <w:wordWrap w:val="0"/>
              <w:overflowPunct/>
              <w:bidi w:val="0"/>
              <w:adjustRightInd/>
              <w:snapToGrid/>
              <w:spacing w:beforeLines="25"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04" w:type="dxa"/>
            <w:gridSpan w:val="2"/>
            <w:vAlign w:val="center"/>
          </w:tcPr>
          <w:p>
            <w:pPr>
              <w:pStyle w:val="58"/>
              <w:pageBreakBefore w:val="0"/>
              <w:widowControl/>
              <w:kinsoku/>
              <w:wordWrap w:val="0"/>
              <w:overflowPunct/>
              <w:bidi w:val="0"/>
              <w:adjustRightInd/>
              <w:snapToGrid/>
              <w:spacing w:beforeLines="25"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67"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02"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6015" w:type="dxa"/>
            <w:gridSpan w:val="7"/>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02" w:type="dxa"/>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目前承担的任务</w:t>
            </w:r>
          </w:p>
        </w:tc>
        <w:tc>
          <w:tcPr>
            <w:tcW w:w="6015" w:type="dxa"/>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02" w:type="dxa"/>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6015" w:type="dxa"/>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9"/>
        <w:pageBreakBefore w:val="0"/>
        <w:kinsoku/>
        <w:wordWrap w:val="0"/>
        <w:overflowPunct/>
        <w:bidi w:val="0"/>
        <w:spacing w:after="0" w:line="400" w:lineRule="atLeast"/>
        <w:ind w:left="699" w:leftChars="0" w:hanging="699" w:hangingChars="333"/>
        <w:rPr>
          <w:rFonts w:hint="default" w:ascii="Times New Roman" w:hAnsi="Times New Roman" w:cs="Times New Roman"/>
          <w:color w:val="auto"/>
          <w:highlight w:val="none"/>
        </w:rPr>
      </w:pPr>
      <w:r>
        <w:rPr>
          <w:rFonts w:hint="default" w:ascii="Times New Roman" w:hAnsi="Times New Roman" w:cs="Times New Roman"/>
          <w:color w:val="auto"/>
          <w:highlight w:val="none"/>
        </w:rPr>
        <w:t>注：1.本表应填写项目负责人相关情况。</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第3.5.4项的要求在本表后附相关证明材料。</w:t>
      </w:r>
    </w:p>
    <w:p>
      <w:pPr>
        <w:pageBreakBefore w:val="0"/>
        <w:kinsoku/>
        <w:wordWrap w:val="0"/>
        <w:overflowPunct/>
        <w:bidi w:val="0"/>
        <w:spacing w:line="280" w:lineRule="exact"/>
        <w:ind w:firstLine="420" w:firstLineChars="200"/>
        <w:rPr>
          <w:rFonts w:hint="default" w:ascii="Times New Roman" w:hAnsi="Times New Roman" w:cs="Times New Roman"/>
          <w:color w:val="auto"/>
          <w:szCs w:val="21"/>
          <w:highlight w:val="none"/>
        </w:rPr>
      </w:pP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66" w:name="_Toc10633"/>
      <w:bookmarkStart w:id="1067" w:name="_Toc234833286"/>
      <w:bookmarkStart w:id="1068" w:name="_Toc17649"/>
      <w:bookmarkStart w:id="1069" w:name="_Toc1398"/>
      <w:bookmarkStart w:id="1070" w:name="_Toc17719"/>
      <w:bookmarkStart w:id="1071" w:name="_Toc234833283"/>
      <w:r>
        <w:rPr>
          <w:rFonts w:hint="default" w:ascii="Times New Roman" w:hAnsi="Times New Roman" w:eastAsia="黑体" w:cs="Times New Roman"/>
          <w:b w:val="0"/>
          <w:color w:val="auto"/>
          <w:sz w:val="24"/>
          <w:szCs w:val="24"/>
          <w:highlight w:val="none"/>
        </w:rPr>
        <w:t>（六）拟委任的分项负责人汇总表</w:t>
      </w:r>
      <w:r>
        <w:rPr>
          <w:rFonts w:hint="default" w:ascii="Times New Roman" w:hAnsi="Times New Roman" w:eastAsia="黑体" w:cs="Times New Roman"/>
          <w:b w:val="0"/>
          <w:color w:val="auto"/>
          <w:sz w:val="24"/>
          <w:szCs w:val="24"/>
          <w:highlight w:val="none"/>
          <w:vertAlign w:val="superscript"/>
        </w:rPr>
        <w:footnoteReference w:id="48"/>
      </w:r>
      <w:bookmarkEnd w:id="1066"/>
      <w:bookmarkEnd w:id="1067"/>
      <w:bookmarkEnd w:id="1068"/>
      <w:bookmarkEnd w:id="1069"/>
      <w:bookmarkEnd w:id="1070"/>
    </w:p>
    <w:p>
      <w:pPr>
        <w:pageBreakBefore w:val="0"/>
        <w:kinsoku/>
        <w:wordWrap w:val="0"/>
        <w:overflowPunct/>
        <w:bidi w:val="0"/>
        <w:spacing w:line="400" w:lineRule="atLeast"/>
        <w:rPr>
          <w:rFonts w:hint="default" w:ascii="Times New Roman" w:hAnsi="Times New Roman" w:cs="Times New Roman"/>
          <w:color w:val="auto"/>
          <w:sz w:val="24"/>
          <w:highlight w:val="none"/>
        </w:rPr>
      </w:pPr>
    </w:p>
    <w:tbl>
      <w:tblPr>
        <w:tblStyle w:val="47"/>
        <w:tblW w:w="8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01"/>
        <w:gridCol w:w="694"/>
        <w:gridCol w:w="488"/>
        <w:gridCol w:w="1134"/>
        <w:gridCol w:w="709"/>
        <w:gridCol w:w="87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275"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本标段任职</w:t>
            </w:r>
          </w:p>
        </w:tc>
        <w:tc>
          <w:tcPr>
            <w:tcW w:w="901"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694"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488"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专业</w:t>
            </w:r>
          </w:p>
        </w:tc>
        <w:tc>
          <w:tcPr>
            <w:tcW w:w="2714" w:type="dxa"/>
            <w:gridSpan w:val="3"/>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执业或职业资格证明</w:t>
            </w:r>
          </w:p>
        </w:tc>
        <w:tc>
          <w:tcPr>
            <w:tcW w:w="1134" w:type="dxa"/>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vAlign w:val="center"/>
          </w:tcPr>
          <w:p>
            <w:pPr>
              <w:pageBreakBefore w:val="0"/>
              <w:kinsoku/>
              <w:wordWrap w:val="0"/>
              <w:overflowPunct/>
              <w:bidi w:val="0"/>
              <w:rPr>
                <w:rFonts w:hint="default" w:ascii="Times New Roman" w:hAnsi="Times New Roman" w:cs="Times New Roman"/>
                <w:color w:val="auto"/>
                <w:highlight w:val="none"/>
              </w:rPr>
            </w:pPr>
          </w:p>
        </w:tc>
        <w:tc>
          <w:tcPr>
            <w:tcW w:w="1275" w:type="dxa"/>
            <w:vMerge w:val="continue"/>
          </w:tcPr>
          <w:p>
            <w:pPr>
              <w:pageBreakBefore w:val="0"/>
              <w:kinsoku/>
              <w:wordWrap w:val="0"/>
              <w:overflowPunct/>
              <w:bidi w:val="0"/>
              <w:rPr>
                <w:rFonts w:hint="default" w:ascii="Times New Roman" w:hAnsi="Times New Roman" w:cs="Times New Roman"/>
                <w:color w:val="auto"/>
                <w:highlight w:val="none"/>
              </w:rPr>
            </w:pPr>
          </w:p>
        </w:tc>
        <w:tc>
          <w:tcPr>
            <w:tcW w:w="901" w:type="dxa"/>
            <w:vMerge w:val="continue"/>
            <w:vAlign w:val="center"/>
          </w:tcPr>
          <w:p>
            <w:pPr>
              <w:pageBreakBefore w:val="0"/>
              <w:kinsoku/>
              <w:wordWrap w:val="0"/>
              <w:overflowPunct/>
              <w:bidi w:val="0"/>
              <w:rPr>
                <w:rFonts w:hint="default" w:ascii="Times New Roman" w:hAnsi="Times New Roman" w:cs="Times New Roman"/>
                <w:color w:val="auto"/>
                <w:highlight w:val="none"/>
              </w:rPr>
            </w:pPr>
          </w:p>
        </w:tc>
        <w:tc>
          <w:tcPr>
            <w:tcW w:w="694" w:type="dxa"/>
            <w:vMerge w:val="continue"/>
            <w:vAlign w:val="center"/>
          </w:tcPr>
          <w:p>
            <w:pPr>
              <w:pageBreakBefore w:val="0"/>
              <w:kinsoku/>
              <w:wordWrap w:val="0"/>
              <w:overflowPunct/>
              <w:bidi w:val="0"/>
              <w:rPr>
                <w:rFonts w:hint="default" w:ascii="Times New Roman" w:hAnsi="Times New Roman" w:cs="Times New Roman"/>
                <w:color w:val="auto"/>
                <w:highlight w:val="none"/>
              </w:rPr>
            </w:pPr>
          </w:p>
        </w:tc>
        <w:tc>
          <w:tcPr>
            <w:tcW w:w="488"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证书名称</w:t>
            </w:r>
          </w:p>
        </w:tc>
        <w:tc>
          <w:tcPr>
            <w:tcW w:w="709" w:type="dxa"/>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级别</w:t>
            </w:r>
          </w:p>
        </w:tc>
        <w:tc>
          <w:tcPr>
            <w:tcW w:w="871" w:type="dxa"/>
            <w:vAlign w:val="center"/>
          </w:tcPr>
          <w:p>
            <w:pPr>
              <w:pageBreakBefore w:val="0"/>
              <w:kinsoku/>
              <w:wordWrap w:val="0"/>
              <w:overflow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证号</w:t>
            </w:r>
          </w:p>
        </w:tc>
        <w:tc>
          <w:tcPr>
            <w:tcW w:w="1134" w:type="dxa"/>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275"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90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69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488"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709"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871"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1134" w:type="dxa"/>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bl>
    <w:p>
      <w:pPr>
        <w:pStyle w:val="19"/>
        <w:pageBreakBefore w:val="0"/>
        <w:kinsoku/>
        <w:wordWrap w:val="0"/>
        <w:overflowPunct/>
        <w:bidi w:val="0"/>
        <w:spacing w:after="0" w:line="400" w:lineRule="atLeast"/>
        <w:ind w:left="1050" w:leftChars="0" w:hanging="1050" w:hangingChars="500"/>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前附表附录5的要求。</w:t>
      </w: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cs="Times New Roman"/>
          <w:color w:val="auto"/>
          <w:sz w:val="24"/>
          <w:highlight w:val="none"/>
        </w:rPr>
      </w:pPr>
    </w:p>
    <w:p>
      <w:pPr>
        <w:pageBreakBefore w:val="0"/>
        <w:widowControl/>
        <w:kinsoku/>
        <w:wordWrap w:val="0"/>
        <w:overflowPunct/>
        <w:bidi w:val="0"/>
        <w:jc w:val="lef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br w:type="page"/>
      </w:r>
    </w:p>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4"/>
          <w:szCs w:val="24"/>
          <w:highlight w:val="none"/>
        </w:rPr>
      </w:pPr>
      <w:bookmarkStart w:id="1072" w:name="_Toc13296"/>
      <w:bookmarkStart w:id="1073" w:name="_Toc234833287"/>
      <w:bookmarkStart w:id="1074" w:name="_Toc24548"/>
      <w:bookmarkStart w:id="1075" w:name="_Toc22441"/>
      <w:bookmarkStart w:id="1076" w:name="_Toc8018"/>
      <w:r>
        <w:rPr>
          <w:rFonts w:hint="default" w:ascii="Times New Roman" w:hAnsi="Times New Roman" w:eastAsia="黑体" w:cs="Times New Roman"/>
          <w:b w:val="0"/>
          <w:color w:val="auto"/>
          <w:sz w:val="24"/>
          <w:szCs w:val="24"/>
          <w:highlight w:val="none"/>
        </w:rPr>
        <w:t>（七） 拟委任的分项负责人资历表</w:t>
      </w:r>
      <w:r>
        <w:rPr>
          <w:rFonts w:hint="default" w:ascii="Times New Roman" w:hAnsi="Times New Roman" w:eastAsia="黑体" w:cs="Times New Roman"/>
          <w:b w:val="0"/>
          <w:color w:val="auto"/>
          <w:sz w:val="24"/>
          <w:szCs w:val="24"/>
          <w:highlight w:val="none"/>
          <w:vertAlign w:val="superscript"/>
        </w:rPr>
        <w:footnoteReference w:id="49"/>
      </w:r>
      <w:bookmarkEnd w:id="1072"/>
      <w:bookmarkEnd w:id="1073"/>
      <w:bookmarkEnd w:id="1074"/>
      <w:bookmarkEnd w:id="1075"/>
      <w:bookmarkEnd w:id="1076"/>
    </w:p>
    <w:p>
      <w:pPr>
        <w:pageBreakBefore w:val="0"/>
        <w:kinsoku/>
        <w:wordWrap w:val="0"/>
        <w:overflowPunct/>
        <w:bidi w:val="0"/>
        <w:rPr>
          <w:rFonts w:hint="default" w:ascii="Times New Roman" w:hAnsi="Times New Roman" w:cs="Times New Roman"/>
          <w:color w:val="auto"/>
          <w:highlight w:val="none"/>
        </w:rPr>
      </w:pPr>
    </w:p>
    <w:tbl>
      <w:tblPr>
        <w:tblStyle w:val="47"/>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1486"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046"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1363" w:type="dxa"/>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执业或职业资格证书名称</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486"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046"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1363" w:type="dxa"/>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895"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856"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类似勘察设计工作年限</w:t>
            </w:r>
          </w:p>
        </w:tc>
        <w:tc>
          <w:tcPr>
            <w:tcW w:w="1648"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18"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399" w:type="dxa"/>
            <w:gridSpan w:val="9"/>
            <w:vAlign w:val="center"/>
          </w:tcPr>
          <w:p>
            <w:pPr>
              <w:pageBreakBefore w:val="0"/>
              <w:widowControl/>
              <w:kinsoku/>
              <w:wordWrap w:val="0"/>
              <w:overflowPunct/>
              <w:autoSpaceDE w:val="0"/>
              <w:autoSpaceDN w:val="0"/>
              <w:bidi w:val="0"/>
              <w:spacing w:beforeLines="25"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617" w:type="dxa"/>
            <w:gridSpan w:val="10"/>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4178" w:type="dxa"/>
            <w:gridSpan w:val="5"/>
            <w:vAlign w:val="center"/>
          </w:tcPr>
          <w:p>
            <w:pPr>
              <w:pStyle w:val="58"/>
              <w:pageBreakBefore w:val="0"/>
              <w:widowControl/>
              <w:kinsoku/>
              <w:wordWrap w:val="0"/>
              <w:overflowPunct/>
              <w:bidi w:val="0"/>
              <w:adjustRightInd/>
              <w:snapToGrid/>
              <w:spacing w:beforeLines="25"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04" w:type="dxa"/>
            <w:gridSpan w:val="2"/>
            <w:vAlign w:val="center"/>
          </w:tcPr>
          <w:p>
            <w:pPr>
              <w:pStyle w:val="58"/>
              <w:pageBreakBefore w:val="0"/>
              <w:widowControl/>
              <w:kinsoku/>
              <w:wordWrap w:val="0"/>
              <w:overflowPunct/>
              <w:bidi w:val="0"/>
              <w:adjustRightInd/>
              <w:snapToGrid/>
              <w:spacing w:beforeLines="25"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67" w:type="dxa"/>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68" w:type="dxa"/>
            <w:gridSpan w:val="2"/>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4178" w:type="dxa"/>
            <w:gridSpan w:val="5"/>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p>
        </w:tc>
        <w:tc>
          <w:tcPr>
            <w:tcW w:w="1904" w:type="dxa"/>
            <w:gridSpan w:val="2"/>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c>
          <w:tcPr>
            <w:tcW w:w="1267" w:type="dxa"/>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02" w:type="dxa"/>
            <w:gridSpan w:val="3"/>
            <w:vAlign w:val="center"/>
          </w:tcPr>
          <w:p>
            <w:pPr>
              <w:pageBreakBefore w:val="0"/>
              <w:widowControl/>
              <w:kinsoku/>
              <w:wordWrap w:val="0"/>
              <w:overflowPunct/>
              <w:autoSpaceDE w:val="0"/>
              <w:autoSpaceDN w:val="0"/>
              <w:bidi w:val="0"/>
              <w:spacing w:beforeLines="25"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6015" w:type="dxa"/>
            <w:gridSpan w:val="7"/>
          </w:tcPr>
          <w:p>
            <w:pPr>
              <w:pageBreakBefore w:val="0"/>
              <w:widowControl/>
              <w:kinsoku/>
              <w:wordWrap w:val="0"/>
              <w:overflowPunct/>
              <w:autoSpaceDE w:val="0"/>
              <w:autoSpaceDN w:val="0"/>
              <w:bidi w:val="0"/>
              <w:spacing w:beforeLines="25"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02" w:type="dxa"/>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目前承担的任务</w:t>
            </w:r>
          </w:p>
        </w:tc>
        <w:tc>
          <w:tcPr>
            <w:tcW w:w="6015" w:type="dxa"/>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02" w:type="dxa"/>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6015" w:type="dxa"/>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9"/>
        <w:pageBreakBefore w:val="0"/>
        <w:kinsoku/>
        <w:wordWrap w:val="0"/>
        <w:overflowPunct/>
        <w:bidi w:val="0"/>
        <w:spacing w:after="0" w:line="400" w:lineRule="atLeast"/>
        <w:ind w:left="588" w:leftChars="0" w:right="-61" w:rightChars="-29" w:hanging="588" w:hangingChars="2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注：1.本表人员应与表（六）中所列人员相一致。</w:t>
      </w:r>
    </w:p>
    <w:p>
      <w:pPr>
        <w:pStyle w:val="19"/>
        <w:pageBreakBefore w:val="0"/>
        <w:kinsoku/>
        <w:wordWrap w:val="0"/>
        <w:overflowPunct/>
        <w:bidi w:val="0"/>
        <w:spacing w:after="0" w:line="300" w:lineRule="atLeast"/>
        <w:ind w:left="630" w:hanging="210" w:hangingChars="100"/>
        <w:rPr>
          <w:rFonts w:hint="default" w:ascii="Times New Roman" w:hAnsi="Times New Roman" w:cs="Times New Roman"/>
          <w:color w:val="auto"/>
          <w:highlight w:val="none"/>
        </w:rPr>
      </w:pPr>
      <w:r>
        <w:rPr>
          <w:rFonts w:hint="default" w:ascii="Times New Roman" w:hAnsi="Times New Roman" w:cs="Times New Roman"/>
          <w:bCs/>
          <w:color w:val="auto"/>
          <w:kern w:val="0"/>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第3.5.5项的要求在本表后附相关证明材料。</w:t>
      </w:r>
    </w:p>
    <w:bookmarkEnd w:id="1071"/>
    <w:p>
      <w:pPr>
        <w:pStyle w:val="2"/>
        <w:pageBreakBefore w:val="0"/>
        <w:kinsoku/>
        <w:wordWrap w:val="0"/>
        <w:overflowPunct/>
        <w:bidi w:val="0"/>
        <w:spacing w:before="0" w:after="0" w:line="380" w:lineRule="atLeast"/>
        <w:jc w:val="center"/>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bookmarkStart w:id="1077" w:name="_Toc234833291"/>
    </w:p>
    <w:p>
      <w:pPr>
        <w:keepNext/>
        <w:topLinePunct/>
        <w:adjustRightInd w:val="0"/>
        <w:spacing w:line="440" w:lineRule="exact"/>
        <w:jc w:val="center"/>
        <w:textAlignment w:val="baseline"/>
        <w:outlineLvl w:val="0"/>
        <w:rPr>
          <w:rFonts w:hint="default" w:ascii="Times New Roman" w:hAnsi="Times New Roman" w:eastAsia="黑体" w:cs="Times New Roman"/>
          <w:color w:val="auto"/>
          <w:kern w:val="0"/>
          <w:sz w:val="28"/>
          <w:szCs w:val="20"/>
          <w:highlight w:val="none"/>
        </w:rPr>
      </w:pPr>
      <w:bookmarkStart w:id="1078" w:name="_Toc19021"/>
      <w:bookmarkStart w:id="1079" w:name="_Toc6716"/>
      <w:bookmarkStart w:id="1080" w:name="_Toc10161"/>
      <w:r>
        <w:rPr>
          <w:rFonts w:hint="default" w:ascii="Times New Roman" w:hAnsi="Times New Roman" w:eastAsia="黑体" w:cs="Times New Roman"/>
          <w:b w:val="0"/>
          <w:color w:val="auto"/>
          <w:sz w:val="28"/>
          <w:szCs w:val="28"/>
          <w:highlight w:val="none"/>
          <w:lang w:val="en-US" w:eastAsia="zh-CN"/>
        </w:rPr>
        <w:t>七</w:t>
      </w:r>
      <w:r>
        <w:rPr>
          <w:rFonts w:hint="default" w:ascii="Times New Roman" w:hAnsi="Times New Roman" w:eastAsia="黑体" w:cs="Times New Roman"/>
          <w:b w:val="0"/>
          <w:color w:val="auto"/>
          <w:sz w:val="28"/>
          <w:szCs w:val="28"/>
          <w:highlight w:val="none"/>
        </w:rPr>
        <w:t>、</w:t>
      </w:r>
      <w:r>
        <w:rPr>
          <w:rFonts w:hint="default" w:ascii="Times New Roman" w:hAnsi="Times New Roman" w:eastAsia="黑体" w:cs="Times New Roman"/>
          <w:color w:val="auto"/>
          <w:kern w:val="0"/>
          <w:sz w:val="28"/>
          <w:szCs w:val="20"/>
          <w:highlight w:val="none"/>
        </w:rPr>
        <w:t>投标人告知承诺函</w:t>
      </w:r>
      <w:bookmarkEnd w:id="1078"/>
      <w:bookmarkEnd w:id="1079"/>
      <w:bookmarkEnd w:id="1080"/>
      <w:r>
        <w:rPr>
          <w:rFonts w:hint="default" w:ascii="Times New Roman" w:hAnsi="Times New Roman" w:eastAsia="宋体" w:cs="Times New Roman"/>
          <w:color w:val="auto"/>
          <w:kern w:val="0"/>
          <w:sz w:val="24"/>
          <w:highlight w:val="none"/>
          <w:u w:val="single"/>
          <w:vertAlign w:val="superscript"/>
          <w:lang w:val="zh-CN" w:bidi="zh-CN"/>
        </w:rPr>
        <w:footnoteReference w:id="50"/>
      </w:r>
    </w:p>
    <w:p>
      <w:pPr>
        <w:spacing w:line="380" w:lineRule="exact"/>
        <w:rPr>
          <w:rFonts w:hint="default" w:ascii="Times New Roman" w:hAnsi="Times New Roman" w:cs="Times New Roman"/>
          <w:color w:val="auto"/>
          <w:sz w:val="24"/>
          <w:highlight w:val="none"/>
          <w:u w:val="single"/>
        </w:rPr>
      </w:pP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single"/>
          <w:lang w:val="en-US" w:eastAsia="zh-CN"/>
        </w:rPr>
        <w:t>勘察设计</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eastAsia"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pPr>
        <w:spacing w:line="380" w:lineRule="exact"/>
        <w:ind w:firstLine="480" w:firstLineChars="200"/>
        <w:rPr>
          <w:rFonts w:hint="default" w:ascii="Times New Roman" w:hAnsi="Times New Roman" w:cs="Times New Roman"/>
          <w:color w:val="auto"/>
          <w:sz w:val="24"/>
          <w:highlight w:val="none"/>
        </w:rPr>
      </w:pPr>
    </w:p>
    <w:p>
      <w:pPr>
        <w:widowControl/>
        <w:spacing w:line="380" w:lineRule="exact"/>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widowControl/>
        <w:wordWrap w:val="0"/>
        <w:spacing w:line="380" w:lineRule="exact"/>
        <w:jc w:val="right"/>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pPr>
        <w:widowControl/>
        <w:wordWrap w:val="0"/>
        <w:spacing w:line="380" w:lineRule="exact"/>
        <w:jc w:val="righ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pStyle w:val="2"/>
        <w:pageBreakBefore w:val="0"/>
        <w:kinsoku/>
        <w:wordWrap w:val="0"/>
        <w:overflowPunct/>
        <w:bidi w:val="0"/>
        <w:spacing w:before="0" w:after="0" w:line="380" w:lineRule="atLeast"/>
        <w:jc w:val="center"/>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bookmarkEnd w:id="1077"/>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0"/>
        <w:rPr>
          <w:rFonts w:hint="default" w:ascii="Times New Roman" w:hAnsi="Times New Roman" w:eastAsia="黑体" w:cs="Times New Roman"/>
          <w:color w:val="auto"/>
          <w:sz w:val="28"/>
          <w:szCs w:val="28"/>
          <w:highlight w:val="none"/>
        </w:rPr>
      </w:pPr>
      <w:bookmarkStart w:id="1081" w:name="_Toc13139"/>
      <w:bookmarkStart w:id="1082" w:name="_Toc463706202"/>
      <w:bookmarkStart w:id="1083" w:name="_Toc7631"/>
      <w:bookmarkStart w:id="1084" w:name="_Toc14008"/>
      <w:r>
        <w:rPr>
          <w:rFonts w:hint="eastAsia" w:ascii="Times New Roman" w:hAnsi="Times New Roman" w:eastAsia="黑体" w:cs="Times New Roman"/>
          <w:b w:val="0"/>
          <w:bCs/>
          <w:color w:val="auto"/>
          <w:kern w:val="44"/>
          <w:sz w:val="28"/>
          <w:szCs w:val="28"/>
          <w:highlight w:val="none"/>
          <w:lang w:val="en-US" w:eastAsia="zh-CN" w:bidi="ar-SA"/>
        </w:rPr>
        <w:t>八</w:t>
      </w:r>
      <w:r>
        <w:rPr>
          <w:rFonts w:hint="default" w:ascii="Times New Roman" w:hAnsi="Times New Roman" w:eastAsia="黑体" w:cs="Times New Roman"/>
          <w:b w:val="0"/>
          <w:bCs/>
          <w:color w:val="auto"/>
          <w:kern w:val="44"/>
          <w:sz w:val="28"/>
          <w:szCs w:val="28"/>
          <w:highlight w:val="none"/>
          <w:lang w:val="en-US" w:eastAsia="zh-CN" w:bidi="ar-SA"/>
        </w:rPr>
        <w:t>、 技术建议</w:t>
      </w:r>
      <w:r>
        <w:rPr>
          <w:rFonts w:hint="default" w:ascii="Times New Roman" w:hAnsi="Times New Roman" w:eastAsia="黑体" w:cs="Times New Roman"/>
          <w:b w:val="0"/>
          <w:color w:val="auto"/>
          <w:sz w:val="28"/>
          <w:szCs w:val="28"/>
          <w:highlight w:val="none"/>
        </w:rPr>
        <w:t>书</w:t>
      </w:r>
      <w:r>
        <w:rPr>
          <w:rFonts w:hint="default" w:ascii="Times New Roman" w:hAnsi="Times New Roman" w:eastAsia="黑体" w:cs="Times New Roman"/>
          <w:color w:val="auto"/>
          <w:sz w:val="28"/>
          <w:szCs w:val="28"/>
          <w:highlight w:val="none"/>
          <w:vertAlign w:val="superscript"/>
        </w:rPr>
        <w:footnoteReference w:id="51"/>
      </w:r>
      <w:bookmarkEnd w:id="1081"/>
      <w:bookmarkEnd w:id="1082"/>
      <w:bookmarkEnd w:id="1083"/>
      <w:bookmarkEnd w:id="1084"/>
    </w:p>
    <w:p>
      <w:pPr>
        <w:pageBreakBefore w:val="0"/>
        <w:kinsoku/>
        <w:wordWrap w:val="0"/>
        <w:overflowPunct/>
        <w:bidi w:val="0"/>
        <w:spacing w:before="240"/>
        <w:jc w:val="center"/>
        <w:rPr>
          <w:rFonts w:hint="default" w:ascii="Times New Roman" w:hAnsi="Times New Roman" w:cs="Times New Roman"/>
          <w:color w:val="auto"/>
          <w:highlight w:val="none"/>
        </w:rPr>
      </w:pPr>
    </w:p>
    <w:p>
      <w:pPr>
        <w:pageBreakBefore w:val="0"/>
        <w:kinsoku/>
        <w:wordWrap w:val="0"/>
        <w:overflowPunct/>
        <w:bidi w:val="0"/>
        <w:spacing w:line="70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440" w:lineRule="atLeast"/>
        <w:rPr>
          <w:rFonts w:hint="default" w:ascii="Times New Roman" w:hAnsi="Times New Roman" w:cs="Times New Roman"/>
          <w:color w:val="auto"/>
          <w:sz w:val="24"/>
          <w:highlight w:val="none"/>
        </w:rPr>
      </w:pP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主要内容包括：</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1.对招标项目的理解和总体设计思路</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2.对招标项目勘察设计的特点、关键性技术问题的认识及其对策措施</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3.对前一阶段工作技术结论及技术方案的不同看法及建议</w:t>
      </w:r>
      <w:r>
        <w:rPr>
          <w:rStyle w:val="56"/>
          <w:rFonts w:hint="default" w:ascii="Times New Roman" w:hAnsi="Times New Roman" w:cs="Times New Roman"/>
          <w:color w:val="auto"/>
          <w:sz w:val="24"/>
          <w:highlight w:val="none"/>
        </w:rPr>
        <w:footnoteReference w:id="52"/>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4.勘察设计工作量及计划安排</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5.勘察设计的质量保证措施、进度保证措施、安全保证措施</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6.后续服务的安排及保证措施</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7.其他建议</w:t>
      </w:r>
    </w:p>
    <w:p>
      <w:pPr>
        <w:pageBreakBefore w:val="0"/>
        <w:kinsoku/>
        <w:wordWrap w:val="0"/>
        <w:overflowPunct/>
        <w:bidi w:val="0"/>
        <w:spacing w:line="4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（附必要的图纸）</w:t>
      </w:r>
    </w:p>
    <w:p>
      <w:pPr>
        <w:pageBreakBefore w:val="0"/>
        <w:kinsoku/>
        <w:wordWrap w:val="0"/>
        <w:overflowPunct/>
        <w:bidi w:val="0"/>
        <w:spacing w:line="560" w:lineRule="atLeast"/>
        <w:ind w:right="1652"/>
        <w:rPr>
          <w:rFonts w:hint="default" w:ascii="Times New Roman" w:hAnsi="Times New Roman" w:eastAsia="黑体" w:cs="Times New Roman"/>
          <w:color w:val="auto"/>
          <w:sz w:val="28"/>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bookmarkEnd w:id="1033"/>
    <w:p>
      <w:pPr>
        <w:pStyle w:val="2"/>
        <w:pageBreakBefore w:val="0"/>
        <w:kinsoku/>
        <w:wordWrap w:val="0"/>
        <w:overflowPunct/>
        <w:bidi w:val="0"/>
        <w:spacing w:before="0" w:after="0" w:line="380" w:lineRule="atLeast"/>
        <w:jc w:val="center"/>
        <w:rPr>
          <w:rFonts w:hint="default" w:ascii="Times New Roman" w:hAnsi="Times New Roman" w:eastAsia="黑体" w:cs="Times New Roman"/>
          <w:b w:val="0"/>
          <w:color w:val="auto"/>
          <w:sz w:val="28"/>
          <w:szCs w:val="28"/>
          <w:highlight w:val="none"/>
        </w:rPr>
      </w:pPr>
      <w:bookmarkStart w:id="1085" w:name="_Toc28269"/>
      <w:r>
        <w:rPr>
          <w:rFonts w:hint="eastAsia" w:cs="Times New Roman"/>
          <w:b w:val="0"/>
          <w:color w:val="auto"/>
          <w:sz w:val="28"/>
          <w:szCs w:val="28"/>
          <w:highlight w:val="none"/>
          <w:lang w:val="en-US" w:eastAsia="zh-CN"/>
        </w:rPr>
        <w:t>九</w:t>
      </w:r>
      <w:r>
        <w:rPr>
          <w:rFonts w:hint="default" w:ascii="Times New Roman" w:hAnsi="Times New Roman" w:eastAsia="黑体" w:cs="Times New Roman"/>
          <w:b w:val="0"/>
          <w:color w:val="auto"/>
          <w:sz w:val="28"/>
          <w:szCs w:val="28"/>
          <w:highlight w:val="none"/>
        </w:rPr>
        <w:t>、其他资料</w:t>
      </w:r>
      <w:bookmarkEnd w:id="1085"/>
    </w:p>
    <w:p>
      <w:pPr>
        <w:keepNext w:val="0"/>
        <w:keepLines w:val="0"/>
        <w:pageBreakBefore w:val="0"/>
        <w:widowControl w:val="0"/>
        <w:kinsoku/>
        <w:wordWrap/>
        <w:overflowPunct/>
        <w:topLinePunct w:val="0"/>
        <w:autoSpaceDE/>
        <w:autoSpaceDN/>
        <w:bidi w:val="0"/>
        <w:adjustRightInd/>
        <w:snapToGrid/>
        <w:ind w:firstLineChars="0"/>
        <w:jc w:val="center"/>
        <w:textAlignment w:val="auto"/>
        <w:outlineLvl w:val="9"/>
        <w:rPr>
          <w:rFonts w:hint="eastAsia" w:ascii="Times New Roman" w:eastAsia="黑体" w:cs="Times New Roman"/>
          <w:color w:val="auto"/>
          <w:sz w:val="31"/>
          <w:szCs w:val="31"/>
          <w:highlight w:val="none"/>
          <w:u w:val="single"/>
          <w:lang w:eastAsia="zh-CN"/>
        </w:rPr>
      </w:pPr>
    </w:p>
    <w:p>
      <w:pPr>
        <w:keepNext w:val="0"/>
        <w:keepLines w:val="0"/>
        <w:pageBreakBefore w:val="0"/>
        <w:widowControl w:val="0"/>
        <w:kinsoku/>
        <w:wordWrap/>
        <w:overflowPunct/>
        <w:topLinePunct w:val="0"/>
        <w:autoSpaceDE/>
        <w:autoSpaceDN/>
        <w:bidi w:val="0"/>
        <w:adjustRightInd/>
        <w:snapToGrid/>
        <w:ind w:firstLineChars="0"/>
        <w:jc w:val="center"/>
        <w:textAlignment w:val="auto"/>
        <w:outlineLvl w:val="9"/>
        <w:rPr>
          <w:rFonts w:hint="eastAsia" w:ascii="Times New Roman" w:eastAsia="黑体" w:cs="Times New Roman"/>
          <w:color w:val="auto"/>
          <w:sz w:val="31"/>
          <w:szCs w:val="31"/>
          <w:highlight w:val="none"/>
          <w:u w:val="single"/>
          <w:lang w:eastAsia="zh-CN"/>
        </w:rPr>
      </w:pPr>
      <w:r>
        <w:rPr>
          <w:rFonts w:hint="eastAsia" w:ascii="Times New Roman" w:eastAsia="黑体" w:cs="Times New Roman"/>
          <w:color w:val="auto"/>
          <w:sz w:val="31"/>
          <w:szCs w:val="31"/>
          <w:highlight w:val="none"/>
          <w:u w:val="single"/>
          <w:lang w:eastAsia="zh-CN"/>
        </w:rPr>
        <w:br w:type="page"/>
      </w:r>
    </w:p>
    <w:p>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r>
        <w:rPr>
          <w:rFonts w:hint="eastAsia" w:ascii="Times New Roman" w:eastAsia="黑体" w:cs="Times New Roman"/>
          <w:color w:val="auto"/>
          <w:sz w:val="31"/>
          <w:szCs w:val="31"/>
          <w:highlight w:val="none"/>
          <w:u w:val="single"/>
          <w:lang w:eastAsia="zh-CN"/>
        </w:rPr>
        <w:t>辽宁省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eastAsia" w:eastAsia="黑体" w:cs="Times New Roman"/>
          <w:b w:val="0"/>
          <w:bCs w:val="0"/>
          <w:color w:val="auto"/>
          <w:sz w:val="31"/>
          <w:szCs w:val="31"/>
          <w:highlight w:val="none"/>
          <w:lang w:val="en-US" w:eastAsia="zh-CN"/>
        </w:rPr>
        <w:t>勘察设计</w:t>
      </w:r>
      <w:r>
        <w:rPr>
          <w:rFonts w:hint="default" w:ascii="Times New Roman" w:hAnsi="Times New Roman" w:eastAsia="黑体" w:cs="Times New Roman"/>
          <w:b w:val="0"/>
          <w:bCs w:val="0"/>
          <w:color w:val="auto"/>
          <w:sz w:val="31"/>
          <w:szCs w:val="31"/>
          <w:highlight w:val="none"/>
          <w:lang w:val="en-US" w:eastAsia="zh-CN"/>
        </w:rPr>
        <w:t>招标</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before="240" w:afterLines="100" w:line="360" w:lineRule="auto"/>
        <w:jc w:val="center"/>
        <w:outlineLvl w:val="9"/>
        <w:rPr>
          <w:rFonts w:hint="default" w:ascii="Times New Roman" w:hAnsi="Times New Roman" w:eastAsia="黑体" w:cs="Times New Roman"/>
          <w:b w:val="0"/>
          <w:color w:val="auto"/>
          <w:sz w:val="50"/>
          <w:szCs w:val="50"/>
          <w:highlight w:val="none"/>
        </w:rPr>
      </w:pPr>
      <w:bookmarkStart w:id="1086" w:name="_Toc470761103"/>
      <w:r>
        <w:rPr>
          <w:rFonts w:hint="default" w:ascii="Times New Roman" w:hAnsi="Times New Roman" w:eastAsia="黑体" w:cs="Times New Roman"/>
          <w:b w:val="0"/>
          <w:color w:val="auto"/>
          <w:sz w:val="50"/>
          <w:szCs w:val="50"/>
          <w:highlight w:val="none"/>
        </w:rPr>
        <w:t>投  标  文  件</w:t>
      </w:r>
      <w:bookmarkEnd w:id="1086"/>
    </w:p>
    <w:p>
      <w:pPr>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黑体" w:cs="Times New Roman"/>
          <w:b w:val="0"/>
          <w:color w:val="auto"/>
          <w:sz w:val="30"/>
          <w:szCs w:val="30"/>
          <w:highlight w:val="none"/>
        </w:rPr>
      </w:pPr>
      <w:bookmarkStart w:id="1087" w:name="_Toc5781"/>
      <w:bookmarkStart w:id="1088" w:name="_Toc16866"/>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第二个信封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报价文件）</w:t>
      </w:r>
      <w:bookmarkEnd w:id="1087"/>
      <w:bookmarkEnd w:id="1088"/>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br w:type="page"/>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Style w:val="2"/>
        <w:pageBreakBefore w:val="0"/>
        <w:kinsoku/>
        <w:wordWrap w:val="0"/>
        <w:overflowPunct/>
        <w:bidi w:val="0"/>
        <w:jc w:val="center"/>
        <w:rPr>
          <w:rFonts w:hint="default" w:ascii="Times New Roman" w:hAnsi="Times New Roman" w:eastAsia="黑体" w:cs="Times New Roman"/>
          <w:color w:val="auto"/>
          <w:sz w:val="24"/>
          <w:highlight w:val="none"/>
        </w:rPr>
      </w:pPr>
      <w:bookmarkStart w:id="1089" w:name="_Toc11022"/>
      <w:bookmarkStart w:id="1090" w:name="_Toc14827"/>
      <w:bookmarkStart w:id="1091" w:name="_Toc7365"/>
      <w:bookmarkStart w:id="1092" w:name="_Toc10562"/>
      <w:r>
        <w:rPr>
          <w:rFonts w:hint="default" w:ascii="Times New Roman" w:hAnsi="Times New Roman" w:eastAsia="黑体" w:cs="Times New Roman"/>
          <w:b w:val="0"/>
          <w:color w:val="auto"/>
          <w:sz w:val="30"/>
          <w:szCs w:val="30"/>
          <w:highlight w:val="none"/>
        </w:rPr>
        <w:t>目  录</w:t>
      </w:r>
      <w:bookmarkEnd w:id="1089"/>
      <w:bookmarkEnd w:id="1090"/>
      <w:bookmarkEnd w:id="1091"/>
      <w:bookmarkEnd w:id="1092"/>
    </w:p>
    <w:p>
      <w:pPr>
        <w:pageBreakBefore w:val="0"/>
        <w:kinsoku/>
        <w:wordWrap w:val="0"/>
        <w:overflowPunct/>
        <w:bidi w:val="0"/>
        <w:spacing w:line="700" w:lineRule="atLeast"/>
        <w:ind w:left="1613" w:leftChars="607" w:hanging="338" w:hangingChars="121"/>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一、投标函</w:t>
      </w:r>
    </w:p>
    <w:p>
      <w:pPr>
        <w:pageBreakBefore w:val="0"/>
        <w:kinsoku/>
        <w:wordWrap w:val="0"/>
        <w:overflowPunct/>
        <w:bidi w:val="0"/>
        <w:spacing w:line="700" w:lineRule="atLeast"/>
        <w:ind w:left="1613" w:leftChars="607" w:hanging="338" w:hangingChars="121"/>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二、勘察设计费用清单</w:t>
      </w:r>
    </w:p>
    <w:p>
      <w:pPr>
        <w:pageBreakBefore w:val="0"/>
        <w:kinsoku/>
        <w:wordWrap w:val="0"/>
        <w:overflowPunct/>
        <w:bidi w:val="0"/>
        <w:spacing w:line="700" w:lineRule="atLeast"/>
        <w:ind w:left="1613" w:leftChars="607" w:hanging="338" w:hangingChars="121"/>
        <w:rPr>
          <w:rFonts w:hint="default" w:ascii="Times New Roman" w:hAnsi="Times New Roman" w:eastAsia="黑体" w:cs="Times New Roman"/>
          <w:color w:val="auto"/>
          <w:sz w:val="28"/>
          <w:szCs w:val="28"/>
          <w:highlight w:val="none"/>
        </w:rPr>
      </w:pPr>
    </w:p>
    <w:p>
      <w:pPr>
        <w:pageBreakBefore w:val="0"/>
        <w:kinsoku/>
        <w:wordWrap w:val="0"/>
        <w:overflowPunct/>
        <w:bidi w:val="0"/>
        <w:spacing w:line="700" w:lineRule="atLeast"/>
        <w:ind w:left="1617" w:leftChars="473" w:hanging="624" w:hangingChars="223"/>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Style w:val="2"/>
        <w:pageBreakBefore w:val="0"/>
        <w:kinsoku/>
        <w:wordWrap w:val="0"/>
        <w:overflowPunct/>
        <w:bidi w:val="0"/>
        <w:jc w:val="center"/>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1093" w:name="_Toc17732"/>
      <w:bookmarkStart w:id="1094" w:name="_Toc13190"/>
      <w:bookmarkStart w:id="1095" w:name="_Toc21398"/>
      <w:r>
        <w:rPr>
          <w:rFonts w:hint="default" w:ascii="Times New Roman" w:hAnsi="Times New Roman" w:eastAsia="黑体" w:cs="Times New Roman"/>
          <w:b w:val="0"/>
          <w:color w:val="auto"/>
          <w:sz w:val="30"/>
          <w:szCs w:val="30"/>
          <w:highlight w:val="none"/>
        </w:rPr>
        <w:t>一、投标函</w:t>
      </w:r>
      <w:bookmarkEnd w:id="1093"/>
      <w:bookmarkEnd w:id="1094"/>
      <w:bookmarkEnd w:id="1095"/>
    </w:p>
    <w:p>
      <w:pPr>
        <w:pageBreakBefore w:val="0"/>
        <w:kinsoku/>
        <w:wordWrap w:val="0"/>
        <w:overflowPunct/>
        <w:bidi w:val="0"/>
        <w:spacing w:beforeLines="100" w:afterLines="50"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标段名称</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勘察设计招标文件的全部内容（含补遗书第___号至第___号），在考察工程现场后，愿意以人民币（大写）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），按合同约定完成勘察设计工作。</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line="360" w:lineRule="auto"/>
        <w:jc w:val="center"/>
        <w:rPr>
          <w:rFonts w:hint="default" w:ascii="Times New Roman" w:hAnsi="Times New Roman" w:eastAsia="黑体" w:cs="Times New Roman"/>
          <w:b w:val="0"/>
          <w:color w:val="auto"/>
          <w:sz w:val="30"/>
          <w:szCs w:val="30"/>
          <w:highlight w:val="none"/>
        </w:rPr>
      </w:pPr>
      <w:r>
        <w:rPr>
          <w:rFonts w:hint="default" w:ascii="Times New Roman" w:hAnsi="Times New Roman" w:cs="Times New Roman"/>
          <w:color w:val="auto"/>
          <w:sz w:val="24"/>
          <w:highlight w:val="none"/>
        </w:rPr>
        <w:br w:type="page"/>
      </w:r>
      <w:bookmarkStart w:id="1096" w:name="_Toc1580"/>
      <w:bookmarkStart w:id="1097" w:name="_Toc22482"/>
      <w:bookmarkStart w:id="1098" w:name="_Toc26819"/>
      <w:r>
        <w:rPr>
          <w:rFonts w:hint="default" w:ascii="Times New Roman" w:hAnsi="Times New Roman" w:eastAsia="黑体" w:cs="Times New Roman"/>
          <w:b w:val="0"/>
          <w:color w:val="auto"/>
          <w:sz w:val="30"/>
          <w:szCs w:val="30"/>
          <w:highlight w:val="none"/>
        </w:rPr>
        <w:t>二、勘察设计费用清单</w:t>
      </w:r>
      <w:bookmarkEnd w:id="1096"/>
      <w:bookmarkEnd w:id="1097"/>
      <w:bookmarkEnd w:id="1098"/>
    </w:p>
    <w:p>
      <w:pPr>
        <w:pStyle w:val="2"/>
        <w:pageBreakBefore w:val="0"/>
        <w:kinsoku/>
        <w:wordWrap w:val="0"/>
        <w:overflowPunct/>
        <w:bidi w:val="0"/>
        <w:spacing w:after="120" w:line="360" w:lineRule="auto"/>
        <w:jc w:val="center"/>
        <w:rPr>
          <w:rFonts w:hint="default" w:ascii="Times New Roman" w:hAnsi="Times New Roman" w:eastAsia="黑体" w:cs="Times New Roman"/>
          <w:b w:val="0"/>
          <w:bCs w:val="0"/>
          <w:color w:val="auto"/>
          <w:kern w:val="2"/>
          <w:sz w:val="28"/>
          <w:szCs w:val="28"/>
          <w:highlight w:val="none"/>
        </w:rPr>
      </w:pPr>
      <w:bookmarkStart w:id="1099" w:name="_Toc24704"/>
      <w:bookmarkStart w:id="1100" w:name="_Toc21388"/>
      <w:bookmarkStart w:id="1101" w:name="_Toc1752"/>
      <w:bookmarkStart w:id="1102" w:name="_Toc30002"/>
      <w:r>
        <w:rPr>
          <w:rFonts w:hint="default" w:ascii="Times New Roman" w:hAnsi="Times New Roman" w:eastAsia="黑体" w:cs="Times New Roman"/>
          <w:b w:val="0"/>
          <w:bCs w:val="0"/>
          <w:color w:val="auto"/>
          <w:kern w:val="2"/>
          <w:sz w:val="28"/>
          <w:szCs w:val="28"/>
          <w:highlight w:val="none"/>
        </w:rPr>
        <w:t>（一）报价清单说明</w:t>
      </w:r>
      <w:bookmarkEnd w:id="1099"/>
      <w:bookmarkEnd w:id="1100"/>
      <w:bookmarkEnd w:id="1101"/>
      <w:bookmarkEnd w:id="1102"/>
    </w:p>
    <w:p>
      <w:pPr>
        <w:pageBreakBefore w:val="0"/>
        <w:kinsoku/>
        <w:wordWrap w:val="0"/>
        <w:overflowPunct/>
        <w:bidi w:val="0"/>
        <w:spacing w:line="44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 xml:space="preserve">1. </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应与</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投标人须知</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通用合同条款</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专用合同条款</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和</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发包人要求</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一起使用。投标人应根据本招标项目前一阶段（工可阶段或初步设计阶段）批复意见和强制性要求，按照本招标文件规定的勘察设计工作内容和计划工作量，认真阅读分析本招标项目勘察设计原始资料，在编制完成技术建议书的前提下，慎重提出</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，并以此做为本招标项目勘察设计费的基础。</w:t>
      </w:r>
    </w:p>
    <w:p>
      <w:pPr>
        <w:pageBreakBefore w:val="0"/>
        <w:kinsoku/>
        <w:wordWrap w:val="0"/>
        <w:overflowPunct/>
        <w:bidi w:val="0"/>
        <w:spacing w:line="44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2. 设计人应按照国家有关工程建设标准强制性条文和交通运输部有关标准、规范、规程、定额、办法、示例等要求的内容和深度，开展本招标项目的勘察设计工作，并将勘察设计费计入相应的报价项目中。</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所列的报价，应包括测量、勘察、测试、设计、专题研究等为完成本招标项目勘察设计全过程的一切费用，包括按合同规定应完成的勘察设计费和后续服务费（招标配合与施工配合）、与勘察设计文件审查有关的各种会议的会务费以及设计人自行委托咨询的咨询费、利润、税金等与此有关的一切费用。</w:t>
      </w:r>
    </w:p>
    <w:p>
      <w:pPr>
        <w:pageBreakBefore w:val="0"/>
        <w:kinsoku/>
        <w:wordWrap w:val="0"/>
        <w:overflowPunct/>
        <w:bidi w:val="0"/>
        <w:spacing w:line="44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 xml:space="preserve">3. </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为通用表格，投标人应根据本招标项目工作内容，按照表格格式详细填写，以免遗漏或有误。投标人没有报价的项目，发包人将认为有关费用已包含在其他项目之中，不另行支付。凡清单项目中未包含的但在勘察设计中又必须完成的工作内容，均被认为已包含在清单各项目报价中，发包人不另行支付。</w:t>
      </w:r>
    </w:p>
    <w:p>
      <w:pPr>
        <w:pageBreakBefore w:val="0"/>
        <w:kinsoku/>
        <w:wordWrap w:val="0"/>
        <w:overflowPunct/>
        <w:bidi w:val="0"/>
        <w:spacing w:line="44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4. 投标人在</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中报价应以人民币为单位。</w:t>
      </w:r>
    </w:p>
    <w:p>
      <w:pPr>
        <w:pageBreakBefore w:val="0"/>
        <w:kinsoku/>
        <w:wordWrap w:val="0"/>
        <w:overflowPunct/>
        <w:bidi w:val="0"/>
        <w:spacing w:line="440" w:lineRule="exact"/>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5. 投标人应在</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报价清单</w:t>
      </w:r>
      <w:r>
        <w:rPr>
          <w:rFonts w:hint="eastAsia" w:ascii="宋体" w:hAnsi="宋体" w:eastAsia="宋体" w:cs="宋体"/>
          <w:bCs/>
          <w:snapToGrid w:val="0"/>
          <w:color w:val="auto"/>
          <w:sz w:val="24"/>
          <w:highlight w:val="none"/>
        </w:rPr>
        <w:t>”</w:t>
      </w:r>
      <w:r>
        <w:rPr>
          <w:rFonts w:hint="default" w:ascii="Times New Roman" w:hAnsi="Times New Roman" w:cs="Times New Roman"/>
          <w:bCs/>
          <w:snapToGrid w:val="0"/>
          <w:color w:val="auto"/>
          <w:sz w:val="24"/>
          <w:highlight w:val="none"/>
        </w:rPr>
        <w:t>后附详细的计算说明，包括计算方法、取费依据等，以便招标人对投标人勘察设计报价的合理性作出判断。</w:t>
      </w:r>
    </w:p>
    <w:p>
      <w:pPr>
        <w:pStyle w:val="17"/>
        <w:pageBreakBefore w:val="0"/>
        <w:kinsoku/>
        <w:wordWrap w:val="0"/>
        <w:overflowPunct/>
        <w:bidi w:val="0"/>
        <w:spacing w:line="420" w:lineRule="exact"/>
        <w:ind w:firstLine="481" w:firstLineChars="200"/>
        <w:rPr>
          <w:rFonts w:hint="default" w:ascii="Times New Roman" w:hAnsi="Times New Roman" w:cs="Times New Roman"/>
          <w:b/>
          <w:color w:val="auto"/>
          <w:szCs w:val="24"/>
          <w:highlight w:val="none"/>
        </w:rPr>
      </w:pPr>
    </w:p>
    <w:p>
      <w:pPr>
        <w:pStyle w:val="2"/>
        <w:pageBreakBefore w:val="0"/>
        <w:kinsoku/>
        <w:wordWrap w:val="0"/>
        <w:overflowPunct/>
        <w:bidi w:val="0"/>
        <w:spacing w:after="0" w:line="360" w:lineRule="auto"/>
        <w:jc w:val="center"/>
        <w:rPr>
          <w:rFonts w:hint="default" w:ascii="Times New Roman" w:hAnsi="Times New Roman" w:cs="Times New Roman"/>
          <w:color w:val="auto"/>
          <w:sz w:val="30"/>
          <w:szCs w:val="30"/>
          <w:highlight w:val="none"/>
        </w:rPr>
      </w:pPr>
      <w:r>
        <w:rPr>
          <w:rFonts w:hint="default" w:ascii="Times New Roman" w:hAnsi="Times New Roman" w:cs="Times New Roman"/>
          <w:color w:val="auto"/>
          <w:szCs w:val="24"/>
          <w:highlight w:val="none"/>
        </w:rPr>
        <w:br w:type="page"/>
      </w:r>
      <w:bookmarkStart w:id="1103" w:name="_Toc13946"/>
      <w:bookmarkStart w:id="1104" w:name="_Toc26379"/>
      <w:bookmarkStart w:id="1105" w:name="_Toc16112"/>
      <w:bookmarkStart w:id="1106" w:name="_Toc24136"/>
      <w:r>
        <w:rPr>
          <w:rFonts w:hint="default" w:ascii="Times New Roman" w:hAnsi="Times New Roman" w:eastAsia="黑体" w:cs="Times New Roman"/>
          <w:b w:val="0"/>
          <w:bCs w:val="0"/>
          <w:color w:val="auto"/>
          <w:kern w:val="2"/>
          <w:sz w:val="28"/>
          <w:szCs w:val="28"/>
          <w:highlight w:val="none"/>
        </w:rPr>
        <w:t>（二）公路工程勘察工作报价清单表</w:t>
      </w:r>
      <w:r>
        <w:rPr>
          <w:rFonts w:hint="default" w:ascii="Times New Roman" w:hAnsi="Times New Roman" w:cs="Times New Roman"/>
          <w:color w:val="auto"/>
          <w:sz w:val="30"/>
          <w:szCs w:val="30"/>
          <w:highlight w:val="none"/>
          <w:vertAlign w:val="superscript"/>
        </w:rPr>
        <w:footnoteReference w:id="53"/>
      </w:r>
      <w:bookmarkEnd w:id="1103"/>
      <w:bookmarkEnd w:id="1104"/>
      <w:bookmarkEnd w:id="1105"/>
      <w:bookmarkEnd w:id="1106"/>
    </w:p>
    <w:p>
      <w:pPr>
        <w:pageBreakBefore w:val="0"/>
        <w:kinsoku/>
        <w:wordWrap w:val="0"/>
        <w:overflowPunct/>
        <w:bidi w:val="0"/>
        <w:spacing w:line="320" w:lineRule="atLeast"/>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第</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标段</w:t>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单位：人民币元</w:t>
      </w:r>
    </w:p>
    <w:tbl>
      <w:tblPr>
        <w:tblStyle w:val="47"/>
        <w:tblW w:w="8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463"/>
        <w:gridCol w:w="1463"/>
        <w:gridCol w:w="1463"/>
        <w:gridCol w:w="1463"/>
        <w:gridCol w:w="1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序号</w:t>
            </w:r>
          </w:p>
        </w:tc>
        <w:tc>
          <w:tcPr>
            <w:tcW w:w="1463"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项目名称</w:t>
            </w:r>
          </w:p>
        </w:tc>
        <w:tc>
          <w:tcPr>
            <w:tcW w:w="1463"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计量单位</w:t>
            </w:r>
          </w:p>
        </w:tc>
        <w:tc>
          <w:tcPr>
            <w:tcW w:w="1463"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实物工作量</w:t>
            </w:r>
          </w:p>
        </w:tc>
        <w:tc>
          <w:tcPr>
            <w:tcW w:w="1463"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单价金额</w:t>
            </w:r>
          </w:p>
        </w:tc>
        <w:tc>
          <w:tcPr>
            <w:tcW w:w="1463" w:type="dxa"/>
          </w:tcPr>
          <w:p>
            <w:pPr>
              <w:pageBreakBefore w:val="0"/>
              <w:kinsoku/>
              <w:wordWrap w:val="0"/>
              <w:overflowPunct/>
              <w:bidi w:val="0"/>
              <w:spacing w:line="44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合价金额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控制测量</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一级</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二级</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二等</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三等</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四等</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地形图测绘（陆地）</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1：500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1：5000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1：10000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水下地形图测绘</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1：500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4</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航空测绘</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1：500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1：2000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r>
              <w:rPr>
                <w:rFonts w:hint="default" w:ascii="Times New Roman" w:hAnsi="Times New Roman" w:cs="Times New Roman"/>
                <w:color w:val="auto"/>
                <w:sz w:val="20"/>
                <w:szCs w:val="20"/>
                <w:highlight w:val="none"/>
                <w:vertAlign w:val="superscript"/>
              </w:rPr>
              <w:t xml:space="preserve"> 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5</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勘探</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钻孔</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井探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槽探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洞探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标准贯入试验</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动力触探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静力触探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vAlign w:val="center"/>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highlight w:val="none"/>
              </w:rPr>
              <w:t>-8</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地质雷达</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点</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vAlign w:val="center"/>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highlight w:val="none"/>
              </w:rPr>
              <w:t>-9</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地质雷达</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物探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highlight w:val="none"/>
              </w:rPr>
              <w:t>-a</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电法</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点</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highlight w:val="none"/>
              </w:rPr>
              <w:t>-b</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地震法</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点</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-c</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地震法</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-d</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声波</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-e</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测井</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点</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-f</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测井</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6</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初测</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7</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定测</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8</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一次定测（如有）</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 xml:space="preserve">km </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c>
          <w:tcPr>
            <w:tcW w:w="1463" w:type="dxa"/>
          </w:tcPr>
          <w:p>
            <w:pPr>
              <w:pageBreakBefore w:val="0"/>
              <w:kinsoku/>
              <w:wordWrap w:val="0"/>
              <w:overflowPunct/>
              <w:bidi w:val="0"/>
              <w:spacing w:line="42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4" w:type="dxa"/>
            <w:gridSpan w:val="5"/>
          </w:tcPr>
          <w:p>
            <w:pPr>
              <w:pageBreakBefore w:val="0"/>
              <w:kinsoku/>
              <w:wordWrap w:val="0"/>
              <w:overflowPunct/>
              <w:bidi w:val="0"/>
              <w:spacing w:line="420" w:lineRule="exact"/>
              <w:jc w:val="center"/>
              <w:rPr>
                <w:rFonts w:hint="default" w:ascii="Times New Roman" w:hAnsi="Times New Roman" w:cs="Times New Roman"/>
                <w:b/>
                <w:color w:val="auto"/>
                <w:sz w:val="20"/>
                <w:szCs w:val="20"/>
                <w:highlight w:val="none"/>
              </w:rPr>
            </w:pPr>
            <w:r>
              <w:rPr>
                <w:rFonts w:hint="default" w:ascii="Times New Roman" w:hAnsi="Times New Roman" w:cs="Times New Roman"/>
                <w:b/>
                <w:color w:val="auto"/>
                <w:sz w:val="20"/>
                <w:szCs w:val="20"/>
                <w:highlight w:val="none"/>
              </w:rPr>
              <w:t>合计</w:t>
            </w:r>
          </w:p>
        </w:tc>
        <w:tc>
          <w:tcPr>
            <w:tcW w:w="1463" w:type="dxa"/>
          </w:tcPr>
          <w:p>
            <w:pPr>
              <w:pageBreakBefore w:val="0"/>
              <w:kinsoku/>
              <w:wordWrap w:val="0"/>
              <w:overflowPunct/>
              <w:bidi w:val="0"/>
              <w:spacing w:line="420" w:lineRule="exact"/>
              <w:rPr>
                <w:rFonts w:hint="default" w:ascii="Times New Roman" w:hAnsi="Times New Roman" w:cs="Times New Roman"/>
                <w:b/>
                <w:color w:val="auto"/>
                <w:sz w:val="20"/>
                <w:szCs w:val="20"/>
                <w:highlight w:val="none"/>
              </w:rPr>
            </w:pPr>
          </w:p>
        </w:tc>
      </w:tr>
    </w:tbl>
    <w:p>
      <w:pPr>
        <w:pageBreakBefore w:val="0"/>
        <w:kinsoku/>
        <w:wordWrap w:val="0"/>
        <w:overflowPunct/>
        <w:autoSpaceDE w:val="0"/>
        <w:autoSpaceDN w:val="0"/>
        <w:bidi w:val="0"/>
        <w:adjustRightInd w:val="0"/>
        <w:ind w:left="630" w:leftChars="100" w:hanging="420" w:hangingChars="2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注：</w:t>
      </w:r>
      <w:r>
        <w:rPr>
          <w:rFonts w:hint="default" w:ascii="Times New Roman" w:hAnsi="Times New Roman" w:cs="Times New Roman"/>
          <w:color w:val="auto"/>
          <w:kern w:val="0"/>
          <w:szCs w:val="21"/>
          <w:highlight w:val="none"/>
        </w:rPr>
        <w:t>本清单格式仅为示例，投标人应根据本招标项目工程特点、按照《公路工程地质勘察规范》《公路勘测规范》《公路勘测细则》及合同条款的相关规定，核实勘察工作内容及工作量，分别列出并填写本表各勘察项目的分项及子项。同时，投标人应将详细的计算说明（包括每一分项、子项的计算依据及计算过程等）附在报价清单后面。</w:t>
      </w:r>
    </w:p>
    <w:p>
      <w:pPr>
        <w:pStyle w:val="2"/>
        <w:pageBreakBefore w:val="0"/>
        <w:kinsoku/>
        <w:wordWrap w:val="0"/>
        <w:overflowPunct/>
        <w:bidi w:val="0"/>
        <w:spacing w:after="120" w:line="360" w:lineRule="auto"/>
        <w:jc w:val="center"/>
        <w:rPr>
          <w:rFonts w:hint="default" w:ascii="Times New Roman" w:hAnsi="Times New Roman" w:cs="Times New Roman"/>
          <w:b w:val="0"/>
          <w:color w:val="auto"/>
          <w:szCs w:val="24"/>
          <w:highlight w:val="none"/>
        </w:rPr>
      </w:pPr>
      <w:r>
        <w:rPr>
          <w:rFonts w:hint="default" w:ascii="Times New Roman" w:hAnsi="Times New Roman" w:cs="Times New Roman"/>
          <w:color w:val="auto"/>
          <w:sz w:val="20"/>
          <w:highlight w:val="none"/>
        </w:rPr>
        <w:br w:type="page"/>
      </w:r>
      <w:bookmarkStart w:id="1107" w:name="_Toc14697"/>
      <w:bookmarkStart w:id="1108" w:name="_Toc31655"/>
      <w:bookmarkStart w:id="1109" w:name="_Toc39"/>
      <w:bookmarkStart w:id="1110" w:name="_Toc3288"/>
      <w:r>
        <w:rPr>
          <w:rFonts w:hint="default" w:ascii="Times New Roman" w:hAnsi="Times New Roman" w:eastAsia="黑体" w:cs="Times New Roman"/>
          <w:b w:val="0"/>
          <w:bCs w:val="0"/>
          <w:color w:val="auto"/>
          <w:kern w:val="2"/>
          <w:sz w:val="28"/>
          <w:szCs w:val="28"/>
          <w:highlight w:val="none"/>
        </w:rPr>
        <w:t>（三）公路工程设计工作报价清单表</w:t>
      </w:r>
      <w:r>
        <w:rPr>
          <w:rFonts w:hint="default" w:ascii="Times New Roman" w:hAnsi="Times New Roman" w:eastAsia="黑体" w:cs="Times New Roman"/>
          <w:color w:val="auto"/>
          <w:sz w:val="28"/>
          <w:szCs w:val="28"/>
          <w:highlight w:val="none"/>
          <w:vertAlign w:val="superscript"/>
        </w:rPr>
        <w:footnoteReference w:id="54"/>
      </w:r>
      <w:bookmarkEnd w:id="1107"/>
      <w:bookmarkEnd w:id="1108"/>
      <w:bookmarkEnd w:id="1109"/>
      <w:bookmarkEnd w:id="1110"/>
    </w:p>
    <w:p>
      <w:pPr>
        <w:pageBreakBefore w:val="0"/>
        <w:kinsoku/>
        <w:wordWrap w:val="0"/>
        <w:overflowPunct/>
        <w:bidi w:val="0"/>
        <w:spacing w:line="320" w:lineRule="atLeast"/>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第</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标段</w:t>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单位：人民币元</w:t>
      </w:r>
    </w:p>
    <w:tbl>
      <w:tblPr>
        <w:tblStyle w:val="47"/>
        <w:tblW w:w="88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40"/>
        <w:gridCol w:w="1132"/>
        <w:gridCol w:w="1287"/>
        <w:gridCol w:w="1106"/>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blHeader/>
        </w:trPr>
        <w:tc>
          <w:tcPr>
            <w:tcW w:w="753" w:type="dxa"/>
            <w:tcBorders>
              <w:top w:val="single" w:color="auto" w:sz="4" w:space="0"/>
            </w:tcBorders>
            <w:vAlign w:val="center"/>
          </w:tcPr>
          <w:p>
            <w:pPr>
              <w:pStyle w:val="70"/>
              <w:pageBreakBefore w:val="0"/>
              <w:kinsoku/>
              <w:wordWrap w:val="0"/>
              <w:overflowPunct/>
              <w:bidi w:val="0"/>
              <w:adjustRightInd/>
              <w:spacing w:line="320" w:lineRule="atLeast"/>
              <w:textAlignment w:val="auto"/>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序号</w:t>
            </w:r>
          </w:p>
        </w:tc>
        <w:tc>
          <w:tcPr>
            <w:tcW w:w="3440" w:type="dxa"/>
            <w:tcBorders>
              <w:top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      目</w:t>
            </w:r>
          </w:p>
        </w:tc>
        <w:tc>
          <w:tcPr>
            <w:tcW w:w="1132" w:type="dxa"/>
            <w:tcBorders>
              <w:top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计量单位</w:t>
            </w:r>
          </w:p>
        </w:tc>
        <w:tc>
          <w:tcPr>
            <w:tcW w:w="1287" w:type="dxa"/>
            <w:tcBorders>
              <w:top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实物工作量</w:t>
            </w:r>
          </w:p>
        </w:tc>
        <w:tc>
          <w:tcPr>
            <w:tcW w:w="1106" w:type="dxa"/>
            <w:tcBorders>
              <w:top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单价金额</w:t>
            </w:r>
          </w:p>
        </w:tc>
        <w:tc>
          <w:tcPr>
            <w:tcW w:w="1125" w:type="dxa"/>
            <w:tcBorders>
              <w:top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合价金额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Style w:val="70"/>
              <w:pageBreakBefore w:val="0"/>
              <w:kinsoku/>
              <w:wordWrap w:val="0"/>
              <w:overflowPunct/>
              <w:bidi w:val="0"/>
              <w:adjustRightInd/>
              <w:textAlignment w:val="auto"/>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一</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初步设计</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公路</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桥梁</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-a</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河槽内桥梁</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-b</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河滩内桥梁</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隧道</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4</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立体交叉</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Style w:val="70"/>
              <w:pageBreakBefore w:val="0"/>
              <w:kinsoku/>
              <w:wordWrap w:val="0"/>
              <w:overflowPunct/>
              <w:bidi w:val="0"/>
              <w:adjustRightInd/>
              <w:textAlignment w:val="auto"/>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5</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交通工程及沿线设施</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 xml:space="preserve"> </w:t>
            </w: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Style w:val="70"/>
              <w:pageBreakBefore w:val="0"/>
              <w:kinsoku/>
              <w:wordWrap w:val="0"/>
              <w:overflowPunct/>
              <w:bidi w:val="0"/>
              <w:adjustRightInd/>
              <w:textAlignment w:val="auto"/>
              <w:rPr>
                <w:rFonts w:hint="default" w:ascii="Times New Roman" w:hAnsi="Times New Roman" w:cs="Times New Roman"/>
                <w:color w:val="auto"/>
                <w:kern w:val="2"/>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6</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环保、水保及绿化景观设计</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7</w:t>
            </w:r>
          </w:p>
        </w:tc>
        <w:tc>
          <w:tcPr>
            <w:tcW w:w="3440" w:type="dxa"/>
          </w:tcPr>
          <w:p>
            <w:pPr>
              <w:pageBreakBefore w:val="0"/>
              <w:kinsoku/>
              <w:wordWrap w:val="0"/>
              <w:overflowPunct/>
              <w:bidi w:val="0"/>
              <w:spacing w:line="360" w:lineRule="atLeast"/>
              <w:ind w:firstLine="215"/>
              <w:rPr>
                <w:rFonts w:hint="default" w:ascii="Times New Roman" w:hAnsi="Times New Roman" w:cs="Times New Roman"/>
                <w:b/>
                <w:color w:val="auto"/>
                <w:highlight w:val="none"/>
              </w:rPr>
            </w:pPr>
            <w:r>
              <w:rPr>
                <w:rFonts w:hint="default" w:ascii="Times New Roman" w:hAnsi="Times New Roman" w:cs="Times New Roman"/>
                <w:b/>
                <w:color w:val="auto"/>
                <w:highlight w:val="none"/>
              </w:rPr>
              <w:t>专题研究</w:t>
            </w:r>
          </w:p>
        </w:tc>
        <w:tc>
          <w:tcPr>
            <w:tcW w:w="1132" w:type="dxa"/>
          </w:tcPr>
          <w:p>
            <w:pPr>
              <w:pageBreakBefore w:val="0"/>
              <w:kinsoku/>
              <w:wordWrap w:val="0"/>
              <w:overflowPunct/>
              <w:bidi w:val="0"/>
              <w:spacing w:line="360" w:lineRule="atLeast"/>
              <w:jc w:val="center"/>
              <w:rPr>
                <w:rFonts w:hint="default" w:ascii="Times New Roman" w:hAnsi="Times New Roman" w:cs="Times New Roman"/>
                <w:b/>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二</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施工图设计</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公路</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桥梁</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-a</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河槽内桥梁</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-b</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河滩内桥梁</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隧道</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4</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立体交叉</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-1</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Ⅰ级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-2</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Ⅱ级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color w:val="auto"/>
                <w:sz w:val="20"/>
                <w:szCs w:val="20"/>
                <w:highlight w:val="none"/>
              </w:rPr>
              <w:t>-3</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Ⅲ级</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Style w:val="70"/>
              <w:pageBreakBefore w:val="0"/>
              <w:kinsoku/>
              <w:wordWrap w:val="0"/>
              <w:overflowPunct/>
              <w:bidi w:val="0"/>
              <w:adjustRightInd/>
              <w:textAlignment w:val="auto"/>
              <w:rPr>
                <w:rFonts w:hint="default" w:ascii="Times New Roman" w:hAnsi="Times New Roman" w:cs="Times New Roman"/>
                <w:color w:val="auto"/>
                <w:kern w:val="2"/>
                <w:highlight w:val="none"/>
              </w:rPr>
            </w:pPr>
            <w:r>
              <w:rPr>
                <w:rFonts w:hint="default" w:ascii="Times New Roman" w:hAnsi="Times New Roman" w:cs="Times New Roman"/>
                <w:b/>
                <w:color w:val="auto"/>
                <w:kern w:val="2"/>
                <w:highlight w:val="none"/>
              </w:rPr>
              <w:t>5</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交通工程及沿线设施</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 xml:space="preserve"> </w:t>
            </w: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Style w:val="70"/>
              <w:pageBreakBefore w:val="0"/>
              <w:kinsoku/>
              <w:wordWrap w:val="0"/>
              <w:overflowPunct/>
              <w:bidi w:val="0"/>
              <w:adjustRightInd/>
              <w:textAlignment w:val="auto"/>
              <w:rPr>
                <w:rFonts w:hint="default" w:ascii="Times New Roman" w:hAnsi="Times New Roman" w:cs="Times New Roman"/>
                <w:color w:val="auto"/>
                <w:kern w:val="2"/>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6</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环保、水保及绿化景观设计</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7</w:t>
            </w: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b/>
                <w:color w:val="auto"/>
                <w:highlight w:val="none"/>
              </w:rPr>
              <w:t>专题研究</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三</w:t>
            </w:r>
          </w:p>
        </w:tc>
        <w:tc>
          <w:tcPr>
            <w:tcW w:w="3440" w:type="dxa"/>
          </w:tcPr>
          <w:p>
            <w:pPr>
              <w:pageBreakBefore w:val="0"/>
              <w:kinsoku/>
              <w:wordWrap w:val="0"/>
              <w:overflowPunct/>
              <w:bidi w:val="0"/>
              <w:spacing w:line="360" w:lineRule="atLeast"/>
              <w:ind w:firstLine="215"/>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其他</w:t>
            </w:r>
          </w:p>
        </w:tc>
        <w:tc>
          <w:tcPr>
            <w:tcW w:w="1132" w:type="dxa"/>
          </w:tcPr>
          <w:p>
            <w:pPr>
              <w:pageBreakBefore w:val="0"/>
              <w:kinsoku/>
              <w:wordWrap w:val="0"/>
              <w:overflowPunct/>
              <w:bidi w:val="0"/>
              <w:spacing w:line="360" w:lineRule="atLeast"/>
              <w:jc w:val="center"/>
              <w:rPr>
                <w:rFonts w:hint="default" w:ascii="Times New Roman" w:hAnsi="Times New Roman" w:eastAsia="黑体" w:cs="Times New Roman"/>
                <w:b/>
                <w:color w:val="auto"/>
                <w:highlight w:val="none"/>
              </w:rPr>
            </w:pPr>
          </w:p>
        </w:tc>
        <w:tc>
          <w:tcPr>
            <w:tcW w:w="1287" w:type="dxa"/>
          </w:tcPr>
          <w:p>
            <w:pPr>
              <w:pageBreakBefore w:val="0"/>
              <w:kinsoku/>
              <w:wordWrap w:val="0"/>
              <w:overflowPunct/>
              <w:bidi w:val="0"/>
              <w:spacing w:line="360" w:lineRule="atLeast"/>
              <w:jc w:val="center"/>
              <w:rPr>
                <w:rFonts w:hint="default" w:ascii="Times New Roman" w:hAnsi="Times New Roman" w:eastAsia="黑体" w:cs="Times New Roman"/>
                <w:b/>
                <w:color w:val="auto"/>
                <w:highlight w:val="none"/>
              </w:rPr>
            </w:pPr>
          </w:p>
        </w:tc>
        <w:tc>
          <w:tcPr>
            <w:tcW w:w="1106" w:type="dxa"/>
          </w:tcPr>
          <w:p>
            <w:pPr>
              <w:pageBreakBefore w:val="0"/>
              <w:kinsoku/>
              <w:wordWrap w:val="0"/>
              <w:overflowPunct/>
              <w:bidi w:val="0"/>
              <w:spacing w:line="360" w:lineRule="atLeast"/>
              <w:jc w:val="center"/>
              <w:rPr>
                <w:rFonts w:hint="default" w:ascii="Times New Roman" w:hAnsi="Times New Roman" w:eastAsia="黑体" w:cs="Times New Roman"/>
                <w:b/>
                <w:color w:val="auto"/>
                <w:highlight w:val="none"/>
              </w:rPr>
            </w:pPr>
          </w:p>
        </w:tc>
        <w:tc>
          <w:tcPr>
            <w:tcW w:w="1125" w:type="dxa"/>
          </w:tcPr>
          <w:p>
            <w:pPr>
              <w:pageBreakBefore w:val="0"/>
              <w:kinsoku/>
              <w:wordWrap w:val="0"/>
              <w:overflowPunct/>
              <w:bidi w:val="0"/>
              <w:spacing w:line="360" w:lineRule="atLeast"/>
              <w:jc w:val="center"/>
              <w:rPr>
                <w:rFonts w:hint="default" w:ascii="Times New Roman" w:hAnsi="Times New Roman" w:eastAsia="黑体" w:cs="Times New Roman"/>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center"/>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3440" w:type="dxa"/>
          </w:tcPr>
          <w:p>
            <w:pPr>
              <w:pageBreakBefore w:val="0"/>
              <w:kinsoku/>
              <w:wordWrap w:val="0"/>
              <w:overflowPunct/>
              <w:bidi w:val="0"/>
              <w:spacing w:line="360" w:lineRule="atLeast"/>
              <w:ind w:firstLine="215"/>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132" w:type="dxa"/>
          </w:tcPr>
          <w:p>
            <w:pPr>
              <w:pageBreakBefore w:val="0"/>
              <w:kinsoku/>
              <w:wordWrap w:val="0"/>
              <w:overflowPunct/>
              <w:bidi w:val="0"/>
              <w:spacing w:line="360" w:lineRule="atLeast"/>
              <w:jc w:val="center"/>
              <w:rPr>
                <w:rFonts w:hint="default" w:ascii="Times New Roman" w:hAnsi="Times New Roman" w:cs="Times New Roman"/>
                <w:color w:val="auto"/>
                <w:highlight w:val="none"/>
              </w:rPr>
            </w:pPr>
          </w:p>
        </w:tc>
        <w:tc>
          <w:tcPr>
            <w:tcW w:w="1287"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06" w:type="dxa"/>
          </w:tcPr>
          <w:p>
            <w:pPr>
              <w:pageBreakBefore w:val="0"/>
              <w:kinsoku/>
              <w:wordWrap w:val="0"/>
              <w:overflowPunct/>
              <w:bidi w:val="0"/>
              <w:spacing w:line="360" w:lineRule="atLeast"/>
              <w:rPr>
                <w:rFonts w:hint="default" w:ascii="Times New Roman" w:hAnsi="Times New Roman" w:cs="Times New Roman"/>
                <w:color w:val="auto"/>
                <w:highlight w:val="none"/>
              </w:rPr>
            </w:pPr>
          </w:p>
        </w:tc>
        <w:tc>
          <w:tcPr>
            <w:tcW w:w="1125" w:type="dxa"/>
          </w:tcPr>
          <w:p>
            <w:pPr>
              <w:pageBreakBefore w:val="0"/>
              <w:kinsoku/>
              <w:wordWrap w:val="0"/>
              <w:overflowPunct/>
              <w:bidi w:val="0"/>
              <w:spacing w:line="360" w:lineRule="atLeast"/>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8" w:type="dxa"/>
            <w:gridSpan w:val="5"/>
            <w:vAlign w:val="center"/>
          </w:tcPr>
          <w:p>
            <w:pPr>
              <w:pageBreakBefore w:val="0"/>
              <w:kinsoku/>
              <w:wordWrap w:val="0"/>
              <w:overflowPunct/>
              <w:bidi w:val="0"/>
              <w:spacing w:line="360" w:lineRule="atLeast"/>
              <w:ind w:firstLine="215"/>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合计：</w:t>
            </w:r>
          </w:p>
        </w:tc>
        <w:tc>
          <w:tcPr>
            <w:tcW w:w="1125" w:type="dxa"/>
          </w:tcPr>
          <w:p>
            <w:pPr>
              <w:pageBreakBefore w:val="0"/>
              <w:kinsoku/>
              <w:wordWrap w:val="0"/>
              <w:overflowPunct/>
              <w:bidi w:val="0"/>
              <w:spacing w:line="360" w:lineRule="atLeast"/>
              <w:ind w:firstLine="215"/>
              <w:rPr>
                <w:rFonts w:hint="default" w:ascii="Times New Roman" w:hAnsi="Times New Roman" w:eastAsia="黑体" w:cs="Times New Roman"/>
                <w:b/>
                <w:color w:val="auto"/>
                <w:highlight w:val="none"/>
              </w:rPr>
            </w:pPr>
          </w:p>
        </w:tc>
      </w:tr>
    </w:tbl>
    <w:p>
      <w:pPr>
        <w:pageBreakBefore w:val="0"/>
        <w:kinsoku/>
        <w:wordWrap w:val="0"/>
        <w:overflowPunct/>
        <w:autoSpaceDE w:val="0"/>
        <w:autoSpaceDN w:val="0"/>
        <w:bidi w:val="0"/>
        <w:adjustRightInd w:val="0"/>
        <w:spacing w:line="260" w:lineRule="exact"/>
        <w:ind w:left="630" w:leftChars="100" w:hanging="420" w:hangingChars="2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 xml:space="preserve">注：1. </w:t>
      </w:r>
      <w:r>
        <w:rPr>
          <w:rFonts w:hint="default" w:ascii="Times New Roman" w:hAnsi="Times New Roman" w:cs="Times New Roman"/>
          <w:color w:val="auto"/>
          <w:kern w:val="0"/>
          <w:szCs w:val="21"/>
          <w:highlight w:val="none"/>
        </w:rPr>
        <w:t>本清单格式仅为示例，投标人应根据本招标项目工程特点和设计工作内容，分别列出并填写本表各设计项目的分项及子项。</w:t>
      </w:r>
    </w:p>
    <w:p>
      <w:pPr>
        <w:pageBreakBefore w:val="0"/>
        <w:kinsoku/>
        <w:wordWrap w:val="0"/>
        <w:overflowPunct/>
        <w:autoSpaceDE w:val="0"/>
        <w:autoSpaceDN w:val="0"/>
        <w:bidi w:val="0"/>
        <w:adjustRightInd w:val="0"/>
        <w:spacing w:line="260" w:lineRule="exact"/>
        <w:ind w:left="630" w:leftChars="3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 本清单表中</w:t>
      </w:r>
      <w:r>
        <w:rPr>
          <w:rFonts w:hint="eastAsia" w:ascii="宋体" w:hAnsi="宋体" w:eastAsia="宋体" w:cs="宋体"/>
          <w:color w:val="auto"/>
          <w:kern w:val="0"/>
          <w:szCs w:val="21"/>
          <w:highlight w:val="none"/>
        </w:rPr>
        <w:t>“</w:t>
      </w:r>
      <w:r>
        <w:rPr>
          <w:rFonts w:hint="default" w:ascii="Times New Roman" w:hAnsi="Times New Roman" w:cs="Times New Roman"/>
          <w:color w:val="auto"/>
          <w:kern w:val="0"/>
          <w:szCs w:val="21"/>
          <w:highlight w:val="none"/>
        </w:rPr>
        <w:t>其他</w:t>
      </w:r>
      <w:r>
        <w:rPr>
          <w:rFonts w:hint="eastAsia" w:ascii="宋体" w:hAnsi="宋体" w:eastAsia="宋体" w:cs="宋体"/>
          <w:color w:val="auto"/>
          <w:kern w:val="0"/>
          <w:szCs w:val="21"/>
          <w:highlight w:val="none"/>
        </w:rPr>
        <w:t>”</w:t>
      </w:r>
      <w:r>
        <w:rPr>
          <w:rFonts w:hint="default" w:ascii="Times New Roman" w:hAnsi="Times New Roman" w:cs="Times New Roman"/>
          <w:color w:val="auto"/>
          <w:kern w:val="0"/>
          <w:szCs w:val="21"/>
          <w:highlight w:val="none"/>
        </w:rPr>
        <w:t>是指工程设计实际需要或提供相关服务收取的费用。包括总体设计费、主体设计协调费、采用标准设计和复用设计费、非标准设备设计文件编制费、施工图预算编制费、竣工图编制费等。</w:t>
      </w:r>
    </w:p>
    <w:p>
      <w:pPr>
        <w:pageBreakBefore w:val="0"/>
        <w:kinsoku/>
        <w:wordWrap w:val="0"/>
        <w:overflowPunct/>
        <w:autoSpaceDE w:val="0"/>
        <w:autoSpaceDN w:val="0"/>
        <w:bidi w:val="0"/>
        <w:adjustRightInd w:val="0"/>
        <w:spacing w:line="260" w:lineRule="exact"/>
        <w:ind w:left="630" w:leftChars="3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3.投标人应将详细的计算说明（包括每一分项、子项的计算依据及计算过程等）附在报价清单后面。</w:t>
      </w:r>
    </w:p>
    <w:tbl>
      <w:tblPr>
        <w:tblStyle w:val="47"/>
        <w:tblW w:w="8830" w:type="dxa"/>
        <w:tblInd w:w="0" w:type="dxa"/>
        <w:tblLayout w:type="fixed"/>
        <w:tblCellMar>
          <w:top w:w="0" w:type="dxa"/>
          <w:left w:w="108" w:type="dxa"/>
          <w:bottom w:w="0" w:type="dxa"/>
          <w:right w:w="108" w:type="dxa"/>
        </w:tblCellMar>
      </w:tblPr>
      <w:tblGrid>
        <w:gridCol w:w="8830"/>
      </w:tblGrid>
      <w:tr>
        <w:tblPrEx>
          <w:tblCellMar>
            <w:top w:w="0" w:type="dxa"/>
            <w:left w:w="108" w:type="dxa"/>
            <w:bottom w:w="0" w:type="dxa"/>
            <w:right w:w="108" w:type="dxa"/>
          </w:tblCellMar>
        </w:tblPrEx>
        <w:trPr>
          <w:cantSplit/>
          <w:trHeight w:val="999" w:hRule="atLeast"/>
        </w:trPr>
        <w:tc>
          <w:tcPr>
            <w:tcW w:w="8830" w:type="dxa"/>
          </w:tcPr>
          <w:p>
            <w:pPr>
              <w:pStyle w:val="2"/>
              <w:pageBreakBefore w:val="0"/>
              <w:kinsoku/>
              <w:wordWrap w:val="0"/>
              <w:overflowPunct/>
              <w:bidi w:val="0"/>
              <w:jc w:val="center"/>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highlight w:val="none"/>
              </w:rPr>
              <w:br w:type="page"/>
            </w:r>
            <w:bookmarkStart w:id="1111" w:name="_Toc10008"/>
            <w:bookmarkStart w:id="1112" w:name="_Toc32663"/>
            <w:bookmarkStart w:id="1113" w:name="_Toc11907"/>
            <w:bookmarkStart w:id="1114" w:name="_Toc11602"/>
            <w:r>
              <w:rPr>
                <w:rFonts w:hint="default" w:ascii="Times New Roman" w:hAnsi="Times New Roman" w:eastAsia="黑体" w:cs="Times New Roman"/>
                <w:b w:val="0"/>
                <w:color w:val="auto"/>
                <w:sz w:val="28"/>
                <w:szCs w:val="28"/>
                <w:highlight w:val="none"/>
              </w:rPr>
              <w:t>（四）报价清单汇总表</w:t>
            </w:r>
            <w:bookmarkEnd w:id="1111"/>
            <w:bookmarkEnd w:id="1112"/>
            <w:bookmarkEnd w:id="1113"/>
            <w:bookmarkEnd w:id="1114"/>
          </w:p>
        </w:tc>
      </w:tr>
    </w:tbl>
    <w:p>
      <w:pPr>
        <w:pageBreakBefore w:val="0"/>
        <w:kinsoku/>
        <w:wordWrap w:val="0"/>
        <w:overflowPunct/>
        <w:bidi w:val="0"/>
        <w:spacing w:line="320" w:lineRule="atLeast"/>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第</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标段</w:t>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单位：人民币元</w:t>
      </w:r>
    </w:p>
    <w:tbl>
      <w:tblPr>
        <w:tblStyle w:val="4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922"/>
        <w:gridCol w:w="2087"/>
        <w:gridCol w:w="2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snapToGrid w:val="0"/>
                <w:color w:val="auto"/>
                <w:sz w:val="24"/>
                <w:highlight w:val="none"/>
              </w:rPr>
            </w:pPr>
            <w:r>
              <w:rPr>
                <w:rFonts w:hint="default" w:ascii="Times New Roman" w:hAnsi="Times New Roman" w:cs="Times New Roman"/>
                <w:b/>
                <w:snapToGrid w:val="0"/>
                <w:color w:val="auto"/>
                <w:sz w:val="24"/>
                <w:highlight w:val="none"/>
              </w:rPr>
              <w:t>序号</w:t>
            </w:r>
          </w:p>
        </w:tc>
        <w:tc>
          <w:tcPr>
            <w:tcW w:w="2922" w:type="dxa"/>
            <w:vAlign w:val="center"/>
          </w:tcPr>
          <w:p>
            <w:pPr>
              <w:pageBreakBefore w:val="0"/>
              <w:kinsoku/>
              <w:wordWrap w:val="0"/>
              <w:overflowPunct/>
              <w:bidi w:val="0"/>
              <w:spacing w:line="400" w:lineRule="exact"/>
              <w:ind w:firstLine="481" w:firstLineChars="200"/>
              <w:jc w:val="center"/>
              <w:rPr>
                <w:rFonts w:hint="default" w:ascii="Times New Roman" w:hAnsi="Times New Roman" w:cs="Times New Roman"/>
                <w:b/>
                <w:snapToGrid w:val="0"/>
                <w:color w:val="auto"/>
                <w:sz w:val="24"/>
                <w:highlight w:val="none"/>
              </w:rPr>
            </w:pPr>
            <w:r>
              <w:rPr>
                <w:rFonts w:hint="default" w:ascii="Times New Roman" w:hAnsi="Times New Roman" w:cs="Times New Roman"/>
                <w:b/>
                <w:snapToGrid w:val="0"/>
                <w:color w:val="auto"/>
                <w:sz w:val="24"/>
                <w:highlight w:val="none"/>
              </w:rPr>
              <w:t>项目</w:t>
            </w:r>
          </w:p>
        </w:tc>
        <w:tc>
          <w:tcPr>
            <w:tcW w:w="2087" w:type="dxa"/>
            <w:vAlign w:val="center"/>
          </w:tcPr>
          <w:p>
            <w:pPr>
              <w:pageBreakBefore w:val="0"/>
              <w:kinsoku/>
              <w:wordWrap w:val="0"/>
              <w:overflowPunct/>
              <w:bidi w:val="0"/>
              <w:spacing w:line="400" w:lineRule="exact"/>
              <w:jc w:val="center"/>
              <w:rPr>
                <w:rFonts w:hint="default" w:ascii="Times New Roman" w:hAnsi="Times New Roman" w:cs="Times New Roman"/>
                <w:b/>
                <w:snapToGrid w:val="0"/>
                <w:color w:val="auto"/>
                <w:sz w:val="24"/>
                <w:highlight w:val="none"/>
              </w:rPr>
            </w:pPr>
            <w:r>
              <w:rPr>
                <w:rFonts w:hint="default" w:ascii="Times New Roman" w:hAnsi="Times New Roman" w:cs="Times New Roman"/>
                <w:b/>
                <w:snapToGrid w:val="0"/>
                <w:color w:val="auto"/>
                <w:sz w:val="24"/>
                <w:highlight w:val="none"/>
              </w:rPr>
              <w:t>费用合计</w:t>
            </w:r>
          </w:p>
        </w:tc>
        <w:tc>
          <w:tcPr>
            <w:tcW w:w="2856" w:type="dxa"/>
            <w:vAlign w:val="center"/>
          </w:tcPr>
          <w:p>
            <w:pPr>
              <w:pageBreakBefore w:val="0"/>
              <w:kinsoku/>
              <w:wordWrap w:val="0"/>
              <w:overflowPunct/>
              <w:bidi w:val="0"/>
              <w:spacing w:line="400" w:lineRule="exact"/>
              <w:jc w:val="center"/>
              <w:rPr>
                <w:rFonts w:hint="default" w:ascii="Times New Roman" w:hAnsi="Times New Roman" w:cs="Times New Roman"/>
                <w:b/>
                <w:snapToGrid w:val="0"/>
                <w:color w:val="auto"/>
                <w:sz w:val="24"/>
                <w:highlight w:val="none"/>
              </w:rPr>
            </w:pPr>
            <w:r>
              <w:rPr>
                <w:rFonts w:hint="default" w:ascii="Times New Roman" w:hAnsi="Times New Roman" w:cs="Times New Roman"/>
                <w:b/>
                <w:snapToGrid w:val="0"/>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（1）</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color w:val="auto"/>
                <w:sz w:val="24"/>
                <w:highlight w:val="none"/>
              </w:rPr>
              <w:t>公路工程勘察</w:t>
            </w:r>
          </w:p>
        </w:tc>
        <w:tc>
          <w:tcPr>
            <w:tcW w:w="2087"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（2）</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color w:val="auto"/>
                <w:sz w:val="24"/>
                <w:highlight w:val="none"/>
              </w:rPr>
              <w:t>公路工程设计</w:t>
            </w:r>
          </w:p>
        </w:tc>
        <w:tc>
          <w:tcPr>
            <w:tcW w:w="2087"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（3）</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勘察设计费用合计</w:t>
            </w:r>
          </w:p>
        </w:tc>
        <w:tc>
          <w:tcPr>
            <w:tcW w:w="2087"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Cs/>
                <w:snapToGrid w:val="0"/>
                <w:color w:val="auto"/>
                <w:sz w:val="24"/>
                <w:highlight w:val="none"/>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（4）</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利润</w:t>
            </w:r>
          </w:p>
        </w:tc>
        <w:tc>
          <w:tcPr>
            <w:tcW w:w="2087"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按（3）的百分比报价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（5）</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暂列金额</w:t>
            </w:r>
          </w:p>
        </w:tc>
        <w:tc>
          <w:tcPr>
            <w:tcW w:w="2087"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（5）=[（3）+（4）]×</w:t>
            </w:r>
            <w:r>
              <w:rPr>
                <w:rFonts w:hint="default" w:ascii="Times New Roman" w:hAnsi="Times New Roman" w:cs="Times New Roman"/>
                <w:bCs/>
                <w:snapToGrid w:val="0"/>
                <w:color w:val="auto"/>
                <w:sz w:val="24"/>
                <w:highlight w:val="none"/>
                <w:u w:val="single"/>
              </w:rPr>
              <w:t xml:space="preserve">   </w:t>
            </w:r>
            <w:r>
              <w:rPr>
                <w:rFonts w:hint="default" w:ascii="Times New Roman" w:hAnsi="Times New Roman" w:cs="Times New Roman"/>
                <w:bCs/>
                <w:snapToGrid w:val="0"/>
                <w:color w:val="auto"/>
                <w:sz w:val="24"/>
                <w:highlight w:val="none"/>
              </w:rPr>
              <w:t>%</w:t>
            </w:r>
            <w:r>
              <w:rPr>
                <w:rStyle w:val="56"/>
                <w:rFonts w:hint="default" w:ascii="Times New Roman" w:hAnsi="Times New Roman" w:cs="Times New Roman"/>
                <w:color w:val="auto"/>
                <w:sz w:val="24"/>
                <w:highlight w:val="none"/>
              </w:rPr>
              <w:footnoteReference w:id="5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pageBreakBefore w:val="0"/>
              <w:kinsoku/>
              <w:wordWrap w:val="0"/>
              <w:overflowPunct/>
              <w:bidi w:val="0"/>
              <w:spacing w:line="400" w:lineRule="exact"/>
              <w:jc w:val="center"/>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（6）</w:t>
            </w:r>
          </w:p>
        </w:tc>
        <w:tc>
          <w:tcPr>
            <w:tcW w:w="2922" w:type="dxa"/>
            <w:vAlign w:val="center"/>
          </w:tcPr>
          <w:p>
            <w:pPr>
              <w:pageBreakBefore w:val="0"/>
              <w:kinsoku/>
              <w:wordWrap w:val="0"/>
              <w:overflowPunct/>
              <w:bidi w:val="0"/>
              <w:spacing w:line="400" w:lineRule="exact"/>
              <w:rPr>
                <w:rFonts w:hint="default" w:ascii="Times New Roman" w:hAnsi="Times New Roman" w:cs="Times New Roman"/>
                <w:b/>
                <w:bCs/>
                <w:snapToGrid w:val="0"/>
                <w:color w:val="auto"/>
                <w:sz w:val="24"/>
                <w:highlight w:val="none"/>
              </w:rPr>
            </w:pPr>
            <w:r>
              <w:rPr>
                <w:rFonts w:hint="default" w:ascii="Times New Roman" w:hAnsi="Times New Roman" w:cs="Times New Roman"/>
                <w:b/>
                <w:bCs/>
                <w:snapToGrid w:val="0"/>
                <w:color w:val="auto"/>
                <w:sz w:val="24"/>
                <w:highlight w:val="none"/>
              </w:rPr>
              <w:t>投标报价总计</w:t>
            </w:r>
          </w:p>
        </w:tc>
        <w:tc>
          <w:tcPr>
            <w:tcW w:w="2087"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p>
        </w:tc>
        <w:tc>
          <w:tcPr>
            <w:tcW w:w="2856" w:type="dxa"/>
            <w:vAlign w:val="center"/>
          </w:tcPr>
          <w:p>
            <w:pPr>
              <w:pageBreakBefore w:val="0"/>
              <w:kinsoku/>
              <w:wordWrap w:val="0"/>
              <w:overflowPunct/>
              <w:bidi w:val="0"/>
              <w:spacing w:line="400" w:lineRule="exact"/>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（6）=（3）+（4）+（5）</w:t>
            </w:r>
          </w:p>
        </w:tc>
      </w:tr>
    </w:tbl>
    <w:p>
      <w:pPr>
        <w:pageBreakBefore w:val="0"/>
        <w:kinsoku/>
        <w:wordWrap w:val="0"/>
        <w:overflowPunct/>
        <w:bidi w:val="0"/>
        <w:spacing w:line="400" w:lineRule="atLeast"/>
        <w:rPr>
          <w:rFonts w:hint="default" w:ascii="Times New Roman" w:hAnsi="Times New Roman" w:cs="Times New Roman"/>
          <w:color w:val="auto"/>
          <w:sz w:val="24"/>
          <w:highlight w:val="none"/>
        </w:rPr>
      </w:pPr>
    </w:p>
    <w:sectPr>
      <w:footerReference r:id="rId29"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Plotter">
    <w:altName w:val="Times New Roman"/>
    <w:panose1 w:val="00000000000000000000"/>
    <w:charset w:val="00"/>
    <w:family w:val="roman"/>
    <w:pitch w:val="default"/>
    <w:sig w:usb0="00000000" w:usb1="00000000" w:usb2="00000000" w:usb3="00000000" w:csb0="00000001" w:csb1="00000000"/>
  </w:font>
  <w:font w:name="Garamond">
    <w:altName w:val="FreeSerif"/>
    <w:panose1 w:val="02020404030301010803"/>
    <w:charset w:val="00"/>
    <w:family w:val="roman"/>
    <w:pitch w:val="default"/>
    <w:sig w:usb0="00000000" w:usb1="00000000" w:usb2="00000000" w:usb3="00000000" w:csb0="0000009F" w:csb1="DFD70000"/>
  </w:font>
  <w:font w:name="方正姚体">
    <w:altName w:val="方正姚体_GBK"/>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MS Gothic">
    <w:altName w:val="宋体"/>
    <w:panose1 w:val="020B0609070205080204"/>
    <w:charset w:val="80"/>
    <w:family w:val="modern"/>
    <w:pitch w:val="default"/>
    <w:sig w:usb0="00000000" w:usb1="00000000" w:usb2="08000012" w:usb3="00000000" w:csb0="4002009F" w:csb1="DFD70000"/>
  </w:font>
  <w:font w:name="隶书">
    <w:altName w:val="宋体"/>
    <w:panose1 w:val="02010509060101010101"/>
    <w:charset w:val="86"/>
    <w:family w:val="modern"/>
    <w:pitch w:val="default"/>
    <w:sig w:usb0="00000000" w:usb1="0000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pacing w:line="240" w:lineRule="exact"/>
      <w:ind w:right="360" w:firstLine="360"/>
      <w:jc w:val="center"/>
      <w:rPr>
        <w:rFonts w:eastAsia="黑体"/>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pacing w:line="240" w:lineRule="exact"/>
      <w:ind w:right="360" w:firstLine="360"/>
      <w:rPr>
        <w:rFonts w:hint="eastAsia" w:eastAsia="黑体"/>
        <w:sz w:val="17"/>
        <w:szCs w:val="17"/>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fldChar w:fldCharType="begin"/>
    </w:r>
    <w:r>
      <w:instrText xml:space="preserve">PAGE   \* MERGEFORMAT</w:instrText>
    </w:r>
    <w:r>
      <w:fldChar w:fldCharType="separate"/>
    </w:r>
    <w:r>
      <w:rPr>
        <w:lang w:val="zh-CN"/>
      </w:rPr>
      <w:t>VI</w:t>
    </w:r>
    <w:r>
      <w:rPr>
        <w:lang w:val="zh-CN"/>
      </w:rPr>
      <w:fldChar w:fldCharType="end"/>
    </w:r>
  </w:p>
  <w:p>
    <w:pPr>
      <w:pStyle w:val="31"/>
      <w:spacing w:line="240" w:lineRule="exact"/>
      <w:ind w:right="360" w:firstLine="360"/>
      <w:jc w:val="center"/>
      <w:rPr>
        <w:rFonts w:eastAsia="黑体"/>
        <w:sz w:val="17"/>
        <w:szCs w:val="17"/>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1"/>
                </w:pPr>
                <w:r>
                  <w:fldChar w:fldCharType="begin"/>
                </w:r>
                <w:r>
                  <w:instrText xml:space="preserve"> PAGE  \* MERGEFORMAT </w:instrText>
                </w:r>
                <w:r>
                  <w:fldChar w:fldCharType="separate"/>
                </w:r>
                <w:r>
                  <w:t>13</w:t>
                </w:r>
                <w:r>
                  <w:fldChar w:fldCharType="end"/>
                </w:r>
              </w:p>
            </w:txbxContent>
          </v:textbox>
        </v:shape>
      </w:pict>
    </w:r>
  </w:p>
  <w:p>
    <w:pPr>
      <w:pStyle w:val="31"/>
      <w:spacing w:line="240" w:lineRule="exact"/>
      <w:ind w:right="360" w:firstLine="360"/>
      <w:jc w:val="center"/>
      <w:rPr>
        <w:rFonts w:eastAsia="黑体"/>
        <w:sz w:val="17"/>
        <w:szCs w:val="17"/>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firstLine="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sz w:val="18"/>
      </w:rP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1"/>
                </w:pPr>
                <w:r>
                  <w:fldChar w:fldCharType="begin"/>
                </w:r>
                <w:r>
                  <w:instrText xml:space="preserve"> PAGE  \* MERGEFORMAT </w:instrText>
                </w:r>
                <w:r>
                  <w:fldChar w:fldCharType="separate"/>
                </w:r>
                <w:r>
                  <w:t>13</w:t>
                </w:r>
                <w:r>
                  <w:fldChar w:fldCharType="end"/>
                </w:r>
              </w:p>
            </w:txbxContent>
          </v:textbox>
        </v:shape>
      </w:pict>
    </w:r>
  </w:p>
  <w:p>
    <w:pPr>
      <w:pStyle w:val="31"/>
      <w:spacing w:line="240" w:lineRule="exact"/>
      <w:ind w:right="360" w:firstLine="360"/>
      <w:jc w:val="center"/>
      <w:rPr>
        <w:rFonts w:eastAsia="黑体"/>
        <w:sz w:val="17"/>
        <w:szCs w:val="17"/>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firstLine="360"/>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sz w:val="18"/>
      </w:rPr>
      <w:pict>
        <v:shape id="_x0000_s4102" o:spid="_x0000_s410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31"/>
                </w:pPr>
                <w:r>
                  <w:fldChar w:fldCharType="begin"/>
                </w:r>
                <w:r>
                  <w:instrText xml:space="preserve"> PAGE  \* MERGEFORMAT </w:instrText>
                </w:r>
                <w:r>
                  <w:fldChar w:fldCharType="separate"/>
                </w:r>
                <w:r>
                  <w:t>54</w:t>
                </w:r>
                <w:r>
                  <w:fldChar w:fldCharType="end"/>
                </w:r>
              </w:p>
            </w:txbxContent>
          </v:textbox>
        </v:shape>
      </w:pict>
    </w:r>
  </w:p>
  <w:p>
    <w:pPr>
      <w:pStyle w:val="31"/>
      <w:spacing w:line="240" w:lineRule="exact"/>
      <w:ind w:right="360" w:firstLine="360"/>
      <w:jc w:val="center"/>
      <w:rPr>
        <w:rFonts w:eastAsia="黑体"/>
        <w:sz w:val="17"/>
        <w:szCs w:val="17"/>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firstLine="360"/>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sz w:val="18"/>
      </w:rPr>
      <w:pict>
        <v:shape id="_x0000_s4103" o:spid="_x0000_s4103"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31"/>
                </w:pPr>
                <w:r>
                  <w:fldChar w:fldCharType="begin"/>
                </w:r>
                <w:r>
                  <w:instrText xml:space="preserve"> PAGE  \* MERGEFORMAT </w:instrText>
                </w:r>
                <w:r>
                  <w:fldChar w:fldCharType="separate"/>
                </w:r>
                <w:r>
                  <w:t>67</w:t>
                </w:r>
                <w:r>
                  <w:fldChar w:fldCharType="end"/>
                </w:r>
              </w:p>
            </w:txbxContent>
          </v:textbox>
        </v:shape>
      </w:pict>
    </w:r>
  </w:p>
  <w:p>
    <w:pPr>
      <w:pStyle w:val="31"/>
      <w:spacing w:line="240" w:lineRule="exact"/>
      <w:ind w:right="360" w:firstLine="360"/>
      <w:jc w:val="center"/>
      <w:rPr>
        <w:rFonts w:eastAsia="黑体"/>
        <w:sz w:val="17"/>
        <w:szCs w:val="17"/>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firstLine="360"/>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rPr>
        <w:sz w:val="18"/>
      </w:rPr>
      <w:pict>
        <v:shape id="_x0000_s4105" o:spid="_x0000_s4105"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31"/>
                </w:pPr>
                <w:r>
                  <w:fldChar w:fldCharType="begin"/>
                </w:r>
                <w:r>
                  <w:instrText xml:space="preserve"> PAGE  \* MERGEFORMAT </w:instrText>
                </w:r>
                <w:r>
                  <w:fldChar w:fldCharType="separate"/>
                </w:r>
                <w:r>
                  <w:t>146</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12">
    <w:p>
      <w:r>
        <w:separator/>
      </w:r>
    </w:p>
  </w:footnote>
  <w:footnote w:type="continuationSeparator" w:id="113">
    <w:p>
      <w:r>
        <w:continuationSeparator/>
      </w:r>
    </w:p>
  </w:footnote>
  <w:footnote w:id="0">
    <w:p>
      <w:pPr>
        <w:pStyle w:val="36"/>
        <w:spacing w:line="320" w:lineRule="atLeast"/>
        <w:ind w:left="180" w:hanging="180" w:hangingChars="100"/>
        <w:jc w:val="both"/>
        <w:rPr>
          <w:szCs w:val="18"/>
        </w:rPr>
      </w:pPr>
      <w:r>
        <w:rPr>
          <w:rStyle w:val="56"/>
          <w:szCs w:val="18"/>
        </w:rPr>
        <w:footnoteRef/>
      </w:r>
      <w:r>
        <w:rPr>
          <w:rFonts w:hint="eastAsia"/>
          <w:szCs w:val="18"/>
        </w:rPr>
        <w:t xml:space="preserve"> 招标人可根据项目具体特点和实际需要对本章内容进行补充、细化，但应遵守有关法律法规、部门规章和行政规范性文件的规定。</w:t>
      </w:r>
    </w:p>
  </w:footnote>
  <w:footnote w:id="1">
    <w:p>
      <w:pPr>
        <w:pStyle w:val="36"/>
        <w:spacing w:line="320" w:lineRule="atLeast"/>
        <w:ind w:left="180" w:hanging="180" w:hangingChars="100"/>
        <w:jc w:val="both"/>
        <w:rPr>
          <w:szCs w:val="18"/>
        </w:rPr>
      </w:pPr>
      <w:r>
        <w:rPr>
          <w:rStyle w:val="56"/>
        </w:rPr>
        <w:footnoteRef/>
      </w:r>
      <w:r>
        <w:t xml:space="preserve"> </w:t>
      </w:r>
      <w:r>
        <w:rPr>
          <w:rFonts w:hint="eastAsia"/>
          <w:szCs w:val="18"/>
        </w:rPr>
        <w:t>招标人应自招标文件开始发售之日起，将招标文件的关键内容上传至</w:t>
      </w:r>
      <w:r>
        <w:rPr>
          <w:rFonts w:hint="eastAsia"/>
          <w:szCs w:val="18"/>
          <w:lang w:val="en-US" w:eastAsia="zh-CN"/>
        </w:rPr>
        <w:t>电子交易平台和</w:t>
      </w:r>
      <w:r>
        <w:rPr>
          <w:rFonts w:hint="eastAsia"/>
          <w:szCs w:val="18"/>
        </w:rPr>
        <w:t>具有招标监督职责的交通运输主管部门政府网站或其指定的其他网站上进行公开，公开内容包括项目概况、对投标人的全部资格条件要求、评标办法全文、招标人联系方式等。招标人可将招标文件的关键内容全部载明在招标公告正文中，或作为招标公告的附件进行公开，或作为独立文件在网站上进行公开。</w:t>
      </w:r>
    </w:p>
  </w:footnote>
  <w:footnote w:id="2">
    <w:p>
      <w:pPr>
        <w:pStyle w:val="36"/>
        <w:snapToGrid/>
        <w:spacing w:line="300" w:lineRule="atLeast"/>
        <w:ind w:left="180" w:hanging="180" w:hangingChars="100"/>
        <w:jc w:val="both"/>
        <w:rPr>
          <w:rFonts w:hint="eastAsia"/>
          <w:szCs w:val="18"/>
        </w:rPr>
      </w:pPr>
      <w:r>
        <w:rPr>
          <w:rStyle w:val="56"/>
          <w:rFonts w:hint="eastAsia"/>
        </w:rPr>
        <w:footnoteRef/>
      </w:r>
      <w:r>
        <w:rPr>
          <w:rStyle w:val="56"/>
          <w:rFonts w:hint="eastAsia"/>
        </w:rPr>
        <w:t xml:space="preserve"> </w:t>
      </w:r>
      <w:r>
        <w:rPr>
          <w:rFonts w:hint="eastAsia"/>
          <w:szCs w:val="18"/>
        </w:rPr>
        <w:t>招标人不得在招投标过程中设置各类不合理限制和壁垒，不得存在</w:t>
      </w:r>
      <w:r>
        <w:rPr>
          <w:rFonts w:hint="eastAsia"/>
          <w:szCs w:val="18"/>
          <w:lang w:val="en-US" w:eastAsia="zh-CN"/>
        </w:rPr>
        <w:t>限制或变相限制符合准入条件的企业参与招投标采购活动</w:t>
      </w:r>
      <w:r>
        <w:rPr>
          <w:rFonts w:hint="eastAsia"/>
          <w:szCs w:val="18"/>
        </w:rPr>
        <w:t>。</w:t>
      </w:r>
    </w:p>
  </w:footnote>
  <w:footnote w:id="3">
    <w:p>
      <w:pPr>
        <w:pStyle w:val="36"/>
        <w:spacing w:line="300" w:lineRule="atLeast"/>
        <w:ind w:left="180" w:right="-229" w:rightChars="-109" w:hanging="180" w:hangingChars="100"/>
        <w:rPr>
          <w:szCs w:val="18"/>
        </w:rPr>
      </w:pPr>
      <w:r>
        <w:rPr>
          <w:rStyle w:val="56"/>
          <w:szCs w:val="18"/>
        </w:rPr>
        <w:footnoteRef/>
      </w:r>
      <w:r>
        <w:rPr>
          <w:rFonts w:hint="eastAsia"/>
          <w:szCs w:val="18"/>
          <w:lang w:val="en-US" w:eastAsia="zh-CN"/>
        </w:rPr>
        <w:t xml:space="preserve"> </w:t>
      </w:r>
      <w:r>
        <w:rPr>
          <w:rFonts w:hint="eastAsia"/>
        </w:rPr>
        <w:t>本项规定仅适用于根据《关于发布公路工程从业企业资质名录的通知》(厅公路字(2011)114号)要求，招标人应通过名录对投标人资质条件进行审核的公路</w:t>
      </w:r>
      <w:r>
        <w:rPr>
          <w:rFonts w:hint="eastAsia"/>
          <w:lang w:val="en-US" w:eastAsia="zh-CN"/>
        </w:rPr>
        <w:t>工程设计</w:t>
      </w:r>
      <w:r>
        <w:rPr>
          <w:rFonts w:hint="eastAsia"/>
        </w:rPr>
        <w:t>企业</w:t>
      </w:r>
      <w:r>
        <w:rPr>
          <w:rFonts w:hint="eastAsia"/>
          <w:lang w:eastAsia="zh-CN"/>
        </w:rPr>
        <w:t>；</w:t>
      </w:r>
      <w:r>
        <w:rPr>
          <w:rFonts w:hint="eastAsia"/>
        </w:rPr>
        <w:t>如前款文件中规定的资质已由省级相关部门负责审核、审批，则不做要求。</w:t>
      </w:r>
    </w:p>
  </w:footnote>
  <w:footnote w:id="4">
    <w:p>
      <w:pPr>
        <w:pStyle w:val="36"/>
        <w:spacing w:line="300" w:lineRule="atLeast"/>
        <w:ind w:left="180" w:right="-229" w:rightChars="-109" w:hanging="180" w:hangingChars="100"/>
        <w:rPr>
          <w:szCs w:val="18"/>
        </w:rPr>
      </w:pPr>
      <w:r>
        <w:rPr>
          <w:rStyle w:val="56"/>
          <w:szCs w:val="18"/>
        </w:rPr>
        <w:footnoteRef/>
      </w:r>
      <w:r>
        <w:rPr>
          <w:rFonts w:hint="eastAsia"/>
        </w:rPr>
        <w:t xml:space="preserve"> 招标人可根据</w:t>
      </w:r>
      <w:r>
        <w:rPr>
          <w:rFonts w:hint="eastAsia"/>
          <w:lang w:val="en-US" w:eastAsia="zh-CN"/>
        </w:rPr>
        <w:t>辽宁省交通运输厅</w:t>
      </w:r>
      <w:r>
        <w:rPr>
          <w:rFonts w:hint="eastAsia"/>
        </w:rPr>
        <w:t>的有关规定，对信用等级高的投标人，给予</w:t>
      </w:r>
      <w:r>
        <w:t>增加参与投标标段数量</w:t>
      </w:r>
      <w:r>
        <w:rPr>
          <w:rFonts w:hint="eastAsia"/>
        </w:rPr>
        <w:t>的优惠。</w:t>
      </w:r>
    </w:p>
  </w:footnote>
  <w:footnote w:id="5">
    <w:p>
      <w:pPr>
        <w:pStyle w:val="36"/>
        <w:spacing w:line="300" w:lineRule="atLeast"/>
        <w:ind w:left="180" w:hanging="180" w:hangingChars="100"/>
        <w:jc w:val="both"/>
        <w:rPr>
          <w:szCs w:val="18"/>
        </w:rPr>
      </w:pPr>
      <w:r>
        <w:rPr>
          <w:rStyle w:val="56"/>
          <w:szCs w:val="18"/>
        </w:rPr>
        <w:footnoteRef/>
      </w:r>
      <w:r>
        <w:rPr>
          <w:rFonts w:hint="eastAsia"/>
          <w:szCs w:val="18"/>
        </w:rPr>
        <w:t xml:space="preserve"> 本</w:t>
      </w:r>
      <w:r>
        <w:rPr>
          <w:szCs w:val="18"/>
        </w:rPr>
        <w:t>条款一般适用于方案设计招标</w:t>
      </w:r>
      <w:r>
        <w:rPr>
          <w:rFonts w:hint="eastAsia"/>
          <w:szCs w:val="18"/>
        </w:rPr>
        <w:t>。</w:t>
      </w:r>
    </w:p>
  </w:footnote>
  <w:footnote w:id="6">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a. “投标人须知前附表”用于进一步明确正文中的未尽事宜，由招标人根据招标项目具体特点和实际需要编制和填写，且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pPr>
        <w:pStyle w:val="36"/>
        <w:spacing w:line="320" w:lineRule="atLeast"/>
        <w:ind w:firstLine="270" w:firstLineChars="150"/>
        <w:rPr>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7">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招标人应根据招标项目具体特点和实际需要，对工程勘察设计服务质量提出目标要求。</w:t>
      </w:r>
    </w:p>
  </w:footnote>
  <w:footnote w:id="8">
    <w:p>
      <w:pPr>
        <w:pStyle w:val="36"/>
        <w:spacing w:line="32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招标人应根据招标项目具体特点和实际需要，对工程勘察设计过程中的人员安全提出目标要求。</w:t>
      </w:r>
    </w:p>
  </w:footnote>
  <w:footnote w:id="9">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对于特别复杂的特大桥梁和特长隧道项目主体工程以及其他有特殊要求的工程，招标人还可增加附录</w:t>
      </w:r>
      <w:r>
        <w:rPr>
          <w:szCs w:val="18"/>
        </w:rPr>
        <w:t>5</w:t>
      </w:r>
      <w:r>
        <w:rPr>
          <w:rFonts w:hint="eastAsia"/>
          <w:szCs w:val="18"/>
        </w:rPr>
        <w:t>对投标人的各专业分项负责人提出要求。</w:t>
      </w:r>
    </w:p>
  </w:footnote>
  <w:footnote w:id="10">
    <w:p>
      <w:pPr>
        <w:pStyle w:val="36"/>
        <w:spacing w:line="320" w:lineRule="atLeast"/>
        <w:ind w:left="180" w:hanging="180" w:hangingChars="100"/>
        <w:rPr>
          <w:szCs w:val="18"/>
        </w:rPr>
      </w:pPr>
      <w:r>
        <w:rPr>
          <w:rStyle w:val="56"/>
          <w:szCs w:val="18"/>
        </w:rPr>
        <w:footnoteRef/>
      </w:r>
      <w:r>
        <w:rPr>
          <w:rFonts w:hint="eastAsia"/>
        </w:rPr>
        <w:t xml:space="preserve"> 招标人应当按照国家有关规定，在招标文件中明确</w:t>
      </w:r>
      <w:r>
        <w:rPr>
          <w:rFonts w:hint="eastAsia"/>
          <w:lang w:val="en-US" w:eastAsia="zh-CN"/>
        </w:rPr>
        <w:t>投标</w:t>
      </w:r>
      <w:r>
        <w:rPr>
          <w:rFonts w:hint="eastAsia"/>
        </w:rPr>
        <w:t>保证金收取比例，对于</w:t>
      </w:r>
      <w:r>
        <w:rPr>
          <w:rFonts w:hint="eastAsia"/>
          <w:lang w:eastAsia="zh-CN"/>
        </w:rPr>
        <w:t>最近年度</w:t>
      </w:r>
      <w:r>
        <w:rPr>
          <w:rFonts w:hint="eastAsia"/>
        </w:rPr>
        <w:t>信用等级AA的投标人，可给予减免投标保证金。</w:t>
      </w:r>
    </w:p>
  </w:footnote>
  <w:footnote w:id="11">
    <w:p>
      <w:pPr>
        <w:pStyle w:val="36"/>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12">
    <w:p>
      <w:pPr>
        <w:pStyle w:val="36"/>
        <w:snapToGrid w:val="0"/>
        <w:spacing w:line="320" w:lineRule="exact"/>
        <w:ind w:firstLine="0"/>
        <w:rPr>
          <w:rFonts w:hint="eastAsia" w:eastAsia="宋体"/>
          <w:lang w:eastAsia="zh-CN"/>
        </w:rPr>
      </w:pPr>
      <w:r>
        <w:rPr>
          <w:rStyle w:val="56"/>
        </w:rPr>
        <w:footnoteRef/>
      </w:r>
      <w:r>
        <w:t xml:space="preserve"> </w:t>
      </w:r>
      <w:r>
        <w:rPr>
          <w:rFonts w:hint="eastAsia"/>
        </w:rPr>
        <w:t>评标委员会应由招标人代表和有关方面的专家组成，人数为5人以上单数，其中技术、经济专家人数应不少于成员总数的三分之二</w:t>
      </w:r>
      <w:r>
        <w:rPr>
          <w:rFonts w:hint="eastAsia"/>
          <w:lang w:eastAsia="zh-CN"/>
        </w:rPr>
        <w:t>。</w:t>
      </w:r>
    </w:p>
  </w:footnote>
  <w:footnote w:id="13">
    <w:p>
      <w:pPr>
        <w:pStyle w:val="36"/>
        <w:snapToGrid w:val="0"/>
        <w:spacing w:line="320" w:lineRule="exact"/>
        <w:ind w:firstLine="0"/>
        <w:rPr>
          <w:rFonts w:hint="eastAsia" w:eastAsia="宋体"/>
          <w:lang w:eastAsia="zh-CN"/>
        </w:rPr>
      </w:pPr>
      <w:r>
        <w:rPr>
          <w:rStyle w:val="56"/>
        </w:rPr>
        <w:footnoteRef/>
      </w:r>
      <w:r>
        <w:t xml:space="preserve"> </w:t>
      </w:r>
      <w:r>
        <w:rPr>
          <w:rFonts w:hint="eastAsia"/>
        </w:rPr>
        <w:t>根据《国务院办公厅关于创新完善体制机制推动招标投标市场规范健康发展的意见》（国办发〔2024〕21号）规定，招标人应结合项目特点和需求，明确定标规则</w:t>
      </w:r>
    </w:p>
  </w:footnote>
  <w:footnote w:id="14">
    <w:p>
      <w:pPr>
        <w:pStyle w:val="36"/>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15">
    <w:p>
      <w:pPr>
        <w:pStyle w:val="36"/>
        <w:spacing w:line="320" w:lineRule="atLeast"/>
        <w:ind w:left="180" w:hanging="180" w:hangingChars="100"/>
        <w:rPr>
          <w:szCs w:val="18"/>
        </w:rPr>
      </w:pPr>
      <w:r>
        <w:rPr>
          <w:rStyle w:val="56"/>
          <w:szCs w:val="18"/>
        </w:rPr>
        <w:footnoteRef/>
      </w:r>
      <w:r>
        <w:rPr>
          <w:rFonts w:hint="eastAsia"/>
        </w:rPr>
        <w:t xml:space="preserve"> </w:t>
      </w:r>
      <w:r>
        <w:rPr>
          <w:rFonts w:hint="eastAsia"/>
          <w:lang w:val="en-US" w:eastAsia="zh-CN"/>
        </w:rPr>
        <w:t>招标人应当按照国家有关规定，在招标文件中明确履约保证金收取比例，</w:t>
      </w:r>
      <w:r>
        <w:rPr>
          <w:rFonts w:hint="eastAsia"/>
        </w:rPr>
        <w:t>对于</w:t>
      </w:r>
      <w:r>
        <w:rPr>
          <w:rFonts w:hint="eastAsia"/>
          <w:lang w:val="en-US" w:eastAsia="zh-CN"/>
        </w:rPr>
        <w:t>最近年度</w:t>
      </w:r>
      <w:r>
        <w:rPr>
          <w:rFonts w:hint="eastAsia"/>
        </w:rPr>
        <w:t>信用等级为AA的</w:t>
      </w:r>
      <w:r>
        <w:rPr>
          <w:rFonts w:hint="eastAsia"/>
          <w:lang w:val="en-US" w:eastAsia="zh-CN"/>
        </w:rPr>
        <w:t>中</w:t>
      </w:r>
      <w:r>
        <w:rPr>
          <w:rFonts w:hint="eastAsia"/>
        </w:rPr>
        <w:t>标人，可给予减</w:t>
      </w:r>
      <w:r>
        <w:rPr>
          <w:rFonts w:hint="default"/>
          <w:lang w:val="en-US"/>
        </w:rPr>
        <w:t>少</w:t>
      </w:r>
      <w:r>
        <w:rPr>
          <w:rFonts w:hint="eastAsia"/>
        </w:rPr>
        <w:t>履约保证金。</w:t>
      </w:r>
    </w:p>
  </w:footnote>
  <w:footnote w:id="16">
    <w:p>
      <w:pPr>
        <w:pStyle w:val="36"/>
        <w:ind w:firstLine="0"/>
        <w:rPr>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7">
    <w:p>
      <w:pPr>
        <w:pStyle w:val="36"/>
        <w:snapToGrid w:val="0"/>
        <w:spacing w:line="320" w:lineRule="atLeast"/>
        <w:ind w:firstLine="0"/>
      </w:pPr>
      <w:r>
        <w:rPr>
          <w:rStyle w:val="56"/>
        </w:rPr>
        <w:footnoteRef/>
      </w:r>
      <w:r>
        <w:t xml:space="preserve"> </w:t>
      </w:r>
      <w:r>
        <w:rPr>
          <w:rFonts w:hint="eastAsia"/>
        </w:rPr>
        <w:t>企业资质等级应当严格按照从业资质管理相关规定，提出与招标项目相适应的资质最低条件，不得提高资质等级要求。</w:t>
      </w:r>
    </w:p>
  </w:footnote>
  <w:footnote w:id="18">
    <w:p>
      <w:pPr>
        <w:pStyle w:val="36"/>
        <w:spacing w:line="300" w:lineRule="atLeast"/>
        <w:ind w:left="180" w:hanging="180" w:hangingChars="100"/>
        <w:rPr>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9">
    <w:p>
      <w:pPr>
        <w:pStyle w:val="36"/>
        <w:snapToGrid w:val="0"/>
        <w:ind w:firstLine="0"/>
      </w:pPr>
      <w:r>
        <w:rPr>
          <w:rStyle w:val="56"/>
        </w:rPr>
        <w:footnoteRef/>
      </w:r>
      <w:r>
        <w:t xml:space="preserve"> </w:t>
      </w:r>
      <w:r>
        <w:rPr>
          <w:rFonts w:hint="eastAsia"/>
        </w:rPr>
        <w:t>业绩量化指标不得超过项目标的规模。</w:t>
      </w:r>
    </w:p>
  </w:footnote>
  <w:footnote w:id="20">
    <w:p>
      <w:pPr>
        <w:pStyle w:val="36"/>
        <w:spacing w:line="240" w:lineRule="auto"/>
        <w:ind w:firstLine="0"/>
        <w:rPr>
          <w:szCs w:val="18"/>
        </w:rPr>
      </w:pPr>
      <w:r>
        <w:rPr>
          <w:rStyle w:val="56"/>
          <w:szCs w:val="18"/>
        </w:rPr>
        <w:footnoteRef/>
      </w:r>
      <w:r>
        <w:rPr>
          <w:rFonts w:hint="eastAsia"/>
        </w:rPr>
        <w:t>具体信誉要求由招标人在满足国家相关法律法规前提下，根据招标项目具体特点和实际情况确定</w:t>
      </w:r>
      <w:r>
        <w:t>。</w:t>
      </w:r>
    </w:p>
  </w:footnote>
  <w:footnote w:id="21">
    <w:p>
      <w:pPr>
        <w:pStyle w:val="36"/>
        <w:spacing w:line="360" w:lineRule="atLeast"/>
        <w:ind w:left="180" w:hanging="180" w:hangingChars="100"/>
        <w:rPr>
          <w:szCs w:val="18"/>
        </w:rPr>
      </w:pPr>
      <w:r>
        <w:rPr>
          <w:rStyle w:val="56"/>
          <w:szCs w:val="18"/>
        </w:rPr>
        <w:footnoteRef/>
      </w:r>
      <w:r>
        <w:rPr>
          <w:rFonts w:hint="eastAsia"/>
          <w:szCs w:val="18"/>
        </w:rPr>
        <w:t xml:space="preserve"> 对项目负责人的具体资格要求由招标人在满足国家相关法律法规前提下，根据招标项目具体特点和实际情况确定，但不得设置过高的资格条件。</w:t>
      </w:r>
    </w:p>
  </w:footnote>
  <w:footnote w:id="22">
    <w:p>
      <w:pPr>
        <w:pStyle w:val="36"/>
        <w:snapToGrid w:val="0"/>
        <w:ind w:firstLine="0"/>
        <w:rPr>
          <w:rFonts w:hint="eastAsia" w:eastAsia="宋体"/>
          <w:lang w:eastAsia="zh-CN"/>
        </w:rPr>
      </w:pPr>
      <w:r>
        <w:rPr>
          <w:rStyle w:val="56"/>
        </w:rPr>
        <w:footnoteRef/>
      </w:r>
      <w:r>
        <w:t xml:space="preserve"> </w:t>
      </w:r>
      <w:r>
        <w:rPr>
          <w:rFonts w:hint="eastAsia"/>
        </w:rPr>
        <w:t>项目负责人一般仅设置技术职称要求</w:t>
      </w:r>
      <w:r>
        <w:rPr>
          <w:rFonts w:hint="eastAsia"/>
          <w:lang w:eastAsia="zh-CN"/>
        </w:rPr>
        <w:t>。主要人员业绩量化指标不得超过项目标的规模。</w:t>
      </w:r>
    </w:p>
  </w:footnote>
  <w:footnote w:id="23">
    <w:p>
      <w:pPr>
        <w:pStyle w:val="36"/>
        <w:spacing w:line="300" w:lineRule="atLeast"/>
        <w:ind w:left="180" w:hanging="180" w:hangingChars="100"/>
        <w:jc w:val="both"/>
        <w:rPr>
          <w:rFonts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对各专业分项负责人的最低要求，由招标人在满足国家相关法律法规前提下，根据招标项目具体特点和实际情况确定，但不得设置过高的资格条件。</w:t>
      </w:r>
    </w:p>
  </w:footnote>
  <w:footnote w:id="24">
    <w:p>
      <w:pPr>
        <w:pStyle w:val="36"/>
        <w:snapToGrid w:val="0"/>
      </w:pPr>
      <w:r>
        <w:rPr>
          <w:rStyle w:val="56"/>
        </w:rPr>
        <w:footnoteRef/>
      </w:r>
      <w:r>
        <w:rPr>
          <w:rFonts w:hint="eastAsia"/>
        </w:rPr>
        <w:t>本项规定仅适用于根据《关于发布公路工程从业企业资质名录的通知》(厅公路字(2011)114号)要求，招标人应通过名录对投标人资质条件进行审核的公路</w:t>
      </w:r>
      <w:r>
        <w:rPr>
          <w:rFonts w:hint="eastAsia"/>
          <w:lang w:val="en-US" w:eastAsia="zh-CN"/>
        </w:rPr>
        <w:t>工程设计</w:t>
      </w:r>
      <w:r>
        <w:rPr>
          <w:rFonts w:hint="eastAsia"/>
        </w:rPr>
        <w:t>企业</w:t>
      </w:r>
      <w:r>
        <w:rPr>
          <w:rFonts w:hint="eastAsia"/>
          <w:lang w:eastAsia="zh-CN"/>
        </w:rPr>
        <w:t>；</w:t>
      </w:r>
      <w:r>
        <w:rPr>
          <w:rFonts w:hint="eastAsia"/>
        </w:rPr>
        <w:t>如前款文件中规定的资质已由省级相关部门负责审核、审批，则不做要求。</w:t>
      </w:r>
    </w:p>
  </w:footnote>
  <w:footnote w:id="25">
    <w:p>
      <w:pPr>
        <w:pStyle w:val="36"/>
        <w:snapToGrid w:val="0"/>
      </w:pPr>
      <w:r>
        <w:rPr>
          <w:rStyle w:val="56"/>
        </w:rPr>
        <w:footnoteRef/>
      </w:r>
      <w:r>
        <w:rPr>
          <w:rFonts w:hint="eastAsia"/>
        </w:rPr>
        <w:t>本项规定仅适用于根据《关于发布公路工程从业企业资质名录的通知》(厅公路字(2011)114号)要求，招标人应通过名录对投标人资质条件进行审核的公路</w:t>
      </w:r>
      <w:r>
        <w:rPr>
          <w:rFonts w:hint="eastAsia"/>
          <w:lang w:val="en-US" w:eastAsia="zh-CN"/>
        </w:rPr>
        <w:t>设计</w:t>
      </w:r>
      <w:r>
        <w:rPr>
          <w:rFonts w:hint="eastAsia"/>
        </w:rPr>
        <w:t>企业</w:t>
      </w:r>
      <w:r>
        <w:rPr>
          <w:rFonts w:hint="eastAsia"/>
          <w:lang w:eastAsia="zh-CN"/>
        </w:rPr>
        <w:t>；</w:t>
      </w:r>
      <w:r>
        <w:rPr>
          <w:rFonts w:hint="eastAsia"/>
        </w:rPr>
        <w:t>如前款文件中规定的资质已由省级相关部门负责审核、审批，则投标人无需提供相应资质的网页截图。</w:t>
      </w:r>
    </w:p>
  </w:footnote>
  <w:footnote w:id="26">
    <w:p>
      <w:pPr>
        <w:pStyle w:val="36"/>
        <w:tabs>
          <w:tab w:val="left" w:pos="3780"/>
        </w:tabs>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招标人可根据</w:t>
      </w:r>
      <w:r>
        <w:rPr>
          <w:rFonts w:hint="eastAsia"/>
          <w:szCs w:val="18"/>
          <w:lang w:eastAsia="zh-CN"/>
        </w:rPr>
        <w:t>实际</w:t>
      </w:r>
      <w:r>
        <w:rPr>
          <w:rFonts w:hint="eastAsia"/>
          <w:szCs w:val="18"/>
        </w:rPr>
        <w:t>需要进行修改。</w:t>
      </w:r>
    </w:p>
  </w:footnote>
  <w:footnote w:id="27">
    <w:p>
      <w:pPr>
        <w:pStyle w:val="36"/>
        <w:spacing w:line="300" w:lineRule="atLeast"/>
        <w:ind w:left="180" w:hanging="180" w:hangingChars="100"/>
        <w:jc w:val="both"/>
        <w:rPr>
          <w:rFonts w:hAnsi="宋体"/>
          <w:szCs w:val="18"/>
        </w:rPr>
      </w:pPr>
      <w:r>
        <w:rPr>
          <w:rStyle w:val="56"/>
          <w:rFonts w:ascii="宋体" w:hAnsi="宋体"/>
          <w:szCs w:val="18"/>
        </w:rPr>
        <w:footnoteRef/>
      </w:r>
      <w:r>
        <w:rPr>
          <w:rFonts w:hint="eastAsia" w:hAnsi="宋体"/>
          <w:szCs w:val="18"/>
        </w:rPr>
        <w:t xml:space="preserve"> 投标人仅须在投标文件的澄清或说明上加盖</w:t>
      </w:r>
      <w:r>
        <w:rPr>
          <w:rFonts w:hint="eastAsia" w:hAnsi="宋体"/>
          <w:szCs w:val="18"/>
          <w:lang w:eastAsia="zh-CN"/>
        </w:rPr>
        <w:t>CA数字证书中的单位章</w:t>
      </w:r>
      <w:r>
        <w:rPr>
          <w:rFonts w:hint="eastAsia" w:hAnsi="宋体"/>
          <w:szCs w:val="18"/>
        </w:rPr>
        <w:t>，或由法定代表人或其委托代理人的个人电子印章或电子签名。</w:t>
      </w:r>
    </w:p>
  </w:footnote>
  <w:footnote w:id="28">
    <w:p>
      <w:pPr>
        <w:pStyle w:val="36"/>
        <w:spacing w:line="300" w:lineRule="atLeast"/>
        <w:ind w:left="180" w:hanging="180" w:hangingChars="100"/>
        <w:rPr>
          <w:szCs w:val="18"/>
        </w:rPr>
      </w:pPr>
      <w:r>
        <w:rPr>
          <w:rStyle w:val="56"/>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9">
    <w:p>
      <w:pPr>
        <w:pStyle w:val="36"/>
        <w:spacing w:line="300" w:lineRule="atLeast"/>
        <w:ind w:left="180" w:hanging="180" w:hangingChars="100"/>
        <w:rPr>
          <w:szCs w:val="18"/>
        </w:rPr>
      </w:pPr>
      <w:r>
        <w:rPr>
          <w:rStyle w:val="56"/>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w:t>
      </w:r>
      <w:r>
        <w:rPr>
          <w:rFonts w:hint="eastAsia"/>
        </w:rPr>
        <w:t>各专业分项负责人</w:t>
      </w:r>
      <w:r>
        <w:rPr>
          <w:rFonts w:hint="eastAsia"/>
          <w:szCs w:val="18"/>
        </w:rPr>
        <w:t>进行资格评审。</w:t>
      </w:r>
    </w:p>
  </w:footnote>
  <w:footnote w:id="30">
    <w:p>
      <w:pPr>
        <w:pStyle w:val="36"/>
        <w:spacing w:line="300" w:lineRule="atLeast"/>
        <w:ind w:left="180" w:hanging="180" w:hangingChars="100"/>
      </w:pPr>
      <w:r>
        <w:rPr>
          <w:rStyle w:val="56"/>
        </w:rPr>
        <w:footnoteRef/>
      </w:r>
      <w:r>
        <w:rPr>
          <w:rFonts w:hint="eastAsia"/>
          <w:szCs w:val="18"/>
        </w:rPr>
        <w:t xml:space="preserve"> 本款规定仅适用于根据《关于发布公路工程从业企业资质名录的通知》（厅公路字〔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号）要求，招标人应通过名录对投标人资质条件进行审核的公路工程设计企业；如前款文件中规定的资质已由省级相关部门负责审核、审批，则不做要求。</w:t>
      </w:r>
    </w:p>
  </w:footnote>
  <w:footnote w:id="31">
    <w:p>
      <w:pPr>
        <w:pStyle w:val="36"/>
        <w:spacing w:line="280" w:lineRule="atLeast"/>
        <w:ind w:left="180" w:hanging="180" w:hangingChars="100"/>
        <w:jc w:val="both"/>
        <w:rPr>
          <w:szCs w:val="18"/>
        </w:rPr>
      </w:pPr>
      <w:r>
        <w:rPr>
          <w:rStyle w:val="56"/>
        </w:rPr>
        <w:footnoteRef/>
      </w:r>
      <w:r>
        <w:rPr>
          <w:rFonts w:hint="eastAsia"/>
          <w:szCs w:val="18"/>
        </w:rPr>
        <w:t xml:space="preserve"> 各评分因素权重分值范围如下：</w:t>
      </w:r>
      <w:r>
        <w:rPr>
          <w:szCs w:val="18"/>
        </w:rPr>
        <w:t>技术建议书30</w:t>
      </w:r>
      <w:r>
        <w:rPr>
          <w:rFonts w:hint="eastAsia"/>
          <w:szCs w:val="18"/>
          <w:lang w:val="en-US" w:eastAsia="zh-CN"/>
        </w:rPr>
        <w:t>~45</w:t>
      </w:r>
      <w:r>
        <w:rPr>
          <w:szCs w:val="18"/>
        </w:rPr>
        <w:t>分</w:t>
      </w:r>
      <w:r>
        <w:rPr>
          <w:rFonts w:hint="eastAsia"/>
          <w:szCs w:val="18"/>
        </w:rPr>
        <w:t>；</w:t>
      </w:r>
      <w:r>
        <w:rPr>
          <w:szCs w:val="18"/>
        </w:rPr>
        <w:t>主要人员20</w:t>
      </w:r>
      <w:r>
        <w:rPr>
          <w:rFonts w:hint="eastAsia"/>
          <w:szCs w:val="18"/>
        </w:rPr>
        <w:t>~</w:t>
      </w:r>
      <w:r>
        <w:rPr>
          <w:szCs w:val="18"/>
        </w:rPr>
        <w:t>3</w:t>
      </w:r>
      <w:r>
        <w:rPr>
          <w:rFonts w:hint="eastAsia"/>
          <w:szCs w:val="18"/>
        </w:rPr>
        <w:t>0</w:t>
      </w:r>
      <w:r>
        <w:rPr>
          <w:szCs w:val="18"/>
        </w:rPr>
        <w:t>分</w:t>
      </w:r>
      <w:r>
        <w:rPr>
          <w:rFonts w:hint="eastAsia"/>
          <w:szCs w:val="18"/>
        </w:rPr>
        <w:t>；技术能力0~</w:t>
      </w:r>
      <w:r>
        <w:rPr>
          <w:szCs w:val="18"/>
        </w:rPr>
        <w:t>5分</w:t>
      </w:r>
      <w:r>
        <w:rPr>
          <w:rFonts w:hint="eastAsia"/>
          <w:szCs w:val="18"/>
        </w:rPr>
        <w:t>；</w:t>
      </w:r>
      <w:r>
        <w:rPr>
          <w:szCs w:val="18"/>
        </w:rPr>
        <w:t>业绩10</w:t>
      </w:r>
      <w:r>
        <w:rPr>
          <w:rFonts w:hint="eastAsia"/>
          <w:szCs w:val="18"/>
        </w:rPr>
        <w:t>~</w:t>
      </w:r>
      <w:r>
        <w:rPr>
          <w:szCs w:val="18"/>
        </w:rPr>
        <w:t>2</w:t>
      </w:r>
      <w:r>
        <w:rPr>
          <w:rFonts w:hint="eastAsia"/>
          <w:szCs w:val="18"/>
        </w:rPr>
        <w:t>5</w:t>
      </w:r>
      <w:r>
        <w:rPr>
          <w:szCs w:val="18"/>
        </w:rPr>
        <w:t>分</w:t>
      </w:r>
      <w:r>
        <w:rPr>
          <w:rFonts w:hint="eastAsia"/>
          <w:szCs w:val="18"/>
        </w:rPr>
        <w:t>；</w:t>
      </w:r>
      <w:r>
        <w:rPr>
          <w:szCs w:val="18"/>
        </w:rPr>
        <w:t>履约信誉10分</w:t>
      </w:r>
      <w:r>
        <w:rPr>
          <w:rFonts w:hint="eastAsia"/>
          <w:szCs w:val="18"/>
          <w:lang w:eastAsia="zh-CN"/>
        </w:rPr>
        <w:t>（履约信誉</w:t>
      </w:r>
      <w:r>
        <w:rPr>
          <w:rFonts w:hint="eastAsia"/>
          <w:szCs w:val="18"/>
          <w:lang w:val="en-US" w:eastAsia="zh-CN"/>
        </w:rPr>
        <w:t>评分因素仅针对设计招标内容，如勘察工作单独招标，信誉评分因素不作强制要求，招标人可结合招标项目具体特点和实际需要设定</w:t>
      </w:r>
      <w:r>
        <w:rPr>
          <w:rFonts w:hint="eastAsia"/>
          <w:szCs w:val="18"/>
          <w:lang w:eastAsia="zh-CN"/>
        </w:rPr>
        <w:t>）。</w:t>
      </w:r>
    </w:p>
  </w:footnote>
  <w:footnote w:id="32">
    <w:p>
      <w:pPr>
        <w:pStyle w:val="36"/>
        <w:keepNext w:val="0"/>
        <w:keepLines w:val="0"/>
        <w:pageBreakBefore w:val="0"/>
        <w:widowControl w:val="0"/>
        <w:kinsoku/>
        <w:wordWrap/>
        <w:overflowPunct/>
        <w:topLinePunct w:val="0"/>
        <w:bidi w:val="0"/>
        <w:adjustRightInd w:val="0"/>
        <w:snapToGrid w:val="0"/>
        <w:spacing w:line="240" w:lineRule="auto"/>
        <w:ind w:left="180" w:leftChars="0" w:hanging="180" w:hangingChars="100"/>
        <w:textAlignment w:val="baseline"/>
        <w:rPr>
          <w:rFonts w:hint="eastAsia"/>
          <w:lang w:val="en-US" w:eastAsia="zh-CN"/>
        </w:rPr>
      </w:pPr>
      <w:r>
        <w:rPr>
          <w:rStyle w:val="56"/>
        </w:rPr>
        <w:footnoteRef/>
      </w:r>
      <w:r>
        <w:t xml:space="preserve"> </w:t>
      </w:r>
      <w:r>
        <w:rPr>
          <w:rFonts w:hint="eastAsia"/>
        </w:rPr>
        <w:t>“技术能力”指投标人的科研开发和技术创新能力，招标人可结合招标项目的具体情况提出相关要求，包括投标人获得的与工程咨询管理（包括勘察设计、监理等工程咨询工作）有关的专利（发明专利或实用新型专利）、国家或省级科学技术进步奖，主编或参编过的国家、行业或地方标准等。</w:t>
      </w:r>
    </w:p>
  </w:footnote>
  <w:footnote w:id="33">
    <w:p>
      <w:pPr>
        <w:pStyle w:val="36"/>
        <w:keepNext w:val="0"/>
        <w:keepLines w:val="0"/>
        <w:pageBreakBefore w:val="0"/>
        <w:widowControl w:val="0"/>
        <w:kinsoku/>
        <w:wordWrap/>
        <w:overflowPunct/>
        <w:topLinePunct w:val="0"/>
        <w:bidi w:val="0"/>
        <w:adjustRightInd w:val="0"/>
        <w:snapToGrid w:val="0"/>
        <w:spacing w:line="240" w:lineRule="auto"/>
        <w:ind w:left="100" w:leftChars="0" w:hanging="100" w:hangingChars="100"/>
        <w:textAlignment w:val="baseline"/>
        <w:rPr>
          <w:rFonts w:hint="eastAsia"/>
        </w:rPr>
      </w:pPr>
      <w:r>
        <w:rPr>
          <w:rFonts w:hint="eastAsia"/>
          <w:sz w:val="10"/>
          <w:szCs w:val="11"/>
        </w:rPr>
        <w:footnoteRef/>
      </w:r>
      <w:r>
        <w:rPr>
          <w:rFonts w:hint="eastAsia"/>
        </w:rPr>
        <w:t xml:space="preserve"> 评标价权重分值不宜超过10分。</w:t>
      </w:r>
    </w:p>
  </w:footnote>
  <w:footnote w:id="34">
    <w:p>
      <w:pPr>
        <w:pStyle w:val="36"/>
        <w:keepNext w:val="0"/>
        <w:keepLines w:val="0"/>
        <w:pageBreakBefore w:val="0"/>
        <w:widowControl w:val="0"/>
        <w:kinsoku/>
        <w:wordWrap/>
        <w:overflowPunct/>
        <w:topLinePunct w:val="0"/>
        <w:bidi w:val="0"/>
        <w:adjustRightInd w:val="0"/>
        <w:snapToGrid w:val="0"/>
        <w:spacing w:line="240" w:lineRule="auto"/>
        <w:ind w:left="110" w:leftChars="0" w:hanging="110" w:hangingChars="100"/>
        <w:textAlignment w:val="baseline"/>
        <w:rPr>
          <w:rFonts w:hint="eastAsia"/>
        </w:rPr>
      </w:pPr>
      <w:r>
        <w:rPr>
          <w:rFonts w:hint="eastAsia"/>
          <w:sz w:val="11"/>
          <w:szCs w:val="13"/>
        </w:rPr>
        <w:footnoteRef/>
      </w:r>
      <w:r>
        <w:rPr>
          <w:rFonts w:hint="eastAsia"/>
        </w:rPr>
        <w:t xml:space="preserve"> 招标人可依据招标项目特点和实际需要，选择或制定适合项目的评标基准价计算方法。与评标基准价计算或评标价得分计算相关的所有系数（如有），其具体数值或随机抽取的数值区间均应在评标办法中予以明确。</w:t>
      </w:r>
    </w:p>
  </w:footnote>
  <w:footnote w:id="35">
    <w:p>
      <w:pPr>
        <w:pStyle w:val="36"/>
        <w:spacing w:line="300" w:lineRule="atLeast"/>
        <w:ind w:left="180" w:hanging="180" w:hangingChars="100"/>
        <w:rPr>
          <w:szCs w:val="18"/>
        </w:rPr>
      </w:pPr>
      <w:r>
        <w:rPr>
          <w:rStyle w:val="56"/>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评标委员会成员总数为7人以上时，</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36">
    <w:p>
      <w:pPr>
        <w:pStyle w:val="36"/>
        <w:spacing w:line="300" w:lineRule="atLeast"/>
        <w:ind w:firstLine="0"/>
      </w:pPr>
      <w:r>
        <w:rPr>
          <w:rStyle w:val="56"/>
          <w:szCs w:val="18"/>
        </w:rPr>
        <w:footnoteRef/>
      </w:r>
      <w:r>
        <w:rPr>
          <w:rStyle w:val="56"/>
          <w:rFonts w:hint="eastAsia"/>
          <w:szCs w:val="18"/>
        </w:rPr>
        <w:t xml:space="preserve"> </w:t>
      </w:r>
      <w:r>
        <w:rPr>
          <w:rFonts w:hint="eastAsia"/>
          <w:szCs w:val="18"/>
        </w:rPr>
        <w:t>招标人应列明各评分因素或各评分因素细分项（如有）的评分标准并作为评标委员会进行评分的依据。</w:t>
      </w:r>
    </w:p>
  </w:footnote>
  <w:footnote w:id="37">
    <w:p>
      <w:pPr>
        <w:pStyle w:val="36"/>
        <w:spacing w:line="240" w:lineRule="atLeast"/>
        <w:ind w:firstLine="0"/>
        <w:jc w:val="both"/>
        <w:rPr>
          <w:szCs w:val="18"/>
        </w:rPr>
      </w:pPr>
      <w:r>
        <w:rPr>
          <w:rStyle w:val="56"/>
        </w:rPr>
        <w:footnoteRef/>
      </w:r>
      <w:r>
        <w:rPr>
          <w:rFonts w:hint="eastAsia"/>
          <w:szCs w:val="18"/>
        </w:rPr>
        <w:t xml:space="preserve"> 本项适用于技术特别复杂的特大桥梁、长大隧道项目，</w:t>
      </w:r>
      <w:r>
        <w:rPr>
          <w:szCs w:val="18"/>
        </w:rPr>
        <w:t>或者地质、地形条件特别复杂的公路项目</w:t>
      </w:r>
      <w:r>
        <w:rPr>
          <w:rFonts w:hint="eastAsia"/>
          <w:szCs w:val="18"/>
        </w:rPr>
        <w:t>。</w:t>
      </w:r>
    </w:p>
  </w:footnote>
  <w:footnote w:id="38">
    <w:p>
      <w:pPr>
        <w:pStyle w:val="36"/>
        <w:snapToGrid w:val="0"/>
      </w:pPr>
      <w:r>
        <w:rPr>
          <w:rStyle w:val="56"/>
          <w:kern w:val="2"/>
          <w:sz w:val="21"/>
          <w:szCs w:val="24"/>
        </w:rPr>
        <w:footnoteRef/>
      </w:r>
      <w:r>
        <w:t xml:space="preserve"> </w:t>
      </w:r>
      <w:r>
        <w:rPr>
          <w:rFonts w:hint="eastAsia"/>
          <w:lang w:val="en-US" w:eastAsia="zh-CN"/>
        </w:rPr>
        <w:t>本合同仅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合同可</w:t>
      </w:r>
      <w:r>
        <w:rPr>
          <w:rFonts w:hint="eastAsia"/>
        </w:rPr>
        <w:t>参照</w:t>
      </w:r>
      <w:r>
        <w:rPr>
          <w:rFonts w:hint="eastAsia"/>
          <w:lang w:val="en-US" w:eastAsia="zh-CN"/>
        </w:rPr>
        <w:t>执行。</w:t>
      </w:r>
    </w:p>
  </w:footnote>
  <w:footnote w:id="39">
    <w:p>
      <w:pPr>
        <w:pStyle w:val="36"/>
        <w:snapToGrid w:val="0"/>
        <w:ind w:firstLine="0"/>
      </w:pPr>
      <w:r>
        <w:rPr>
          <w:rStyle w:val="56"/>
        </w:rPr>
        <w:footnoteRef/>
      </w:r>
      <w:r>
        <w:t xml:space="preserve"> </w:t>
      </w:r>
      <w:r>
        <w:rPr>
          <w:rFonts w:hint="eastAsia"/>
        </w:rPr>
        <w:t>招标人可结合</w:t>
      </w:r>
      <w:r>
        <w:rPr>
          <w:rFonts w:hint="eastAsia"/>
          <w:lang w:val="en-US" w:eastAsia="zh-CN"/>
        </w:rPr>
        <w:t>辽宁</w:t>
      </w:r>
      <w:r>
        <w:rPr>
          <w:rFonts w:hint="eastAsia"/>
        </w:rPr>
        <w:t>省公路建设领域管理政策文件、招标项目具体特点和实际需要对专用合同条款进行补充、细化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40">
    <w:p>
      <w:pPr>
        <w:pStyle w:val="36"/>
        <w:ind w:firstLine="0"/>
        <w:rPr>
          <w:sz w:val="15"/>
          <w:szCs w:val="15"/>
        </w:rPr>
      </w:pPr>
      <w:r>
        <w:rPr>
          <w:rStyle w:val="56"/>
        </w:rPr>
        <w:footnoteRef/>
      </w:r>
      <w:r>
        <w:rPr>
          <w:rFonts w:hint="eastAsia"/>
        </w:rPr>
        <w:t>按</w:t>
      </w:r>
      <w:r>
        <w:t>中国人民银行发布的同期</w:t>
      </w:r>
      <w:r>
        <w:rPr>
          <w:rFonts w:hint="eastAsia"/>
        </w:rPr>
        <w:t>六个月以内（含六个月）</w:t>
      </w:r>
      <w:r>
        <w:t>短期贷款基准利率</w:t>
      </w:r>
      <w:r>
        <w:rPr>
          <w:rFonts w:hint="eastAsia"/>
        </w:rPr>
        <w:t>加手续费计算。招标人不能自行取消本款内容或降低利率。</w:t>
      </w:r>
    </w:p>
  </w:footnote>
  <w:footnote w:id="41">
    <w:p>
      <w:pPr>
        <w:pStyle w:val="36"/>
        <w:ind w:firstLine="0"/>
        <w:rPr>
          <w:sz w:val="15"/>
          <w:szCs w:val="15"/>
        </w:rPr>
      </w:pPr>
      <w:r>
        <w:rPr>
          <w:rStyle w:val="56"/>
        </w:rPr>
        <w:footnoteRef/>
      </w:r>
      <w:r>
        <w:rPr>
          <w:rFonts w:hint="eastAsia"/>
        </w:rPr>
        <w:t>按</w:t>
      </w:r>
      <w:r>
        <w:t>中国人民银行发布的同期</w:t>
      </w:r>
      <w:r>
        <w:rPr>
          <w:rFonts w:hint="eastAsia"/>
        </w:rPr>
        <w:t>六个月以内（含六个月）</w:t>
      </w:r>
      <w:r>
        <w:t>短期贷款基准利率</w:t>
      </w:r>
      <w:r>
        <w:rPr>
          <w:rFonts w:hint="eastAsia"/>
        </w:rPr>
        <w:t>加手续费计算。招标人不能自行取消本款内容或降低利率。</w:t>
      </w:r>
    </w:p>
  </w:footnote>
  <w:footnote w:id="42">
    <w:p>
      <w:pPr>
        <w:pStyle w:val="36"/>
        <w:ind w:firstLine="0"/>
      </w:pPr>
      <w:r>
        <w:rPr>
          <w:rStyle w:val="56"/>
        </w:rPr>
        <w:footnoteRef/>
      </w:r>
      <w:r>
        <w:rPr>
          <w:rFonts w:hint="eastAsia"/>
        </w:rPr>
        <w:t>发包人可根据</w:t>
      </w:r>
      <w:r>
        <w:rPr>
          <w:rFonts w:hint="eastAsia"/>
          <w:lang w:val="en-US" w:eastAsia="zh-CN"/>
        </w:rPr>
        <w:t>辽宁省交通运输厅</w:t>
      </w:r>
      <w:r>
        <w:rPr>
          <w:rFonts w:hint="eastAsia"/>
        </w:rPr>
        <w:t>的有关规定，对信用等级较高的设计人，在质量保证金方面给予一定额度的优惠。</w:t>
      </w:r>
    </w:p>
  </w:footnote>
  <w:footnote w:id="43">
    <w:p>
      <w:pPr>
        <w:pStyle w:val="36"/>
        <w:spacing w:line="300" w:lineRule="atLeast"/>
        <w:ind w:left="360" w:hanging="360" w:hangingChars="200"/>
        <w:jc w:val="both"/>
        <w:rPr>
          <w:szCs w:val="18"/>
        </w:rPr>
      </w:pPr>
      <w:r>
        <w:rPr>
          <w:rStyle w:val="56"/>
          <w:rFonts w:ascii="宋体" w:hAnsi="宋体"/>
          <w:szCs w:val="18"/>
        </w:rPr>
        <w:footnoteRef/>
      </w:r>
      <w:r>
        <w:rPr>
          <w:rFonts w:hAnsi="宋体"/>
          <w:szCs w:val="18"/>
        </w:rPr>
        <w:t>招标人应在招标文件中规定若投标人在所投标段中标需派驻的各专业分项负责人。</w:t>
      </w:r>
      <w:r>
        <w:rPr>
          <w:rFonts w:hint="eastAsia" w:hAnsi="宋体"/>
          <w:szCs w:val="18"/>
        </w:rPr>
        <w:t>上述人员的具体人选由招标人和中标人在合同谈判阶段确定，且经</w:t>
      </w:r>
      <w:r>
        <w:rPr>
          <w:rFonts w:hAnsi="宋体"/>
          <w:szCs w:val="18"/>
        </w:rPr>
        <w:t>招标人审批后作为派驻本标段的主要人员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footnote>
  <w:footnote w:id="44">
    <w:p>
      <w:pPr>
        <w:pStyle w:val="36"/>
        <w:tabs>
          <w:tab w:val="left" w:pos="3780"/>
        </w:tabs>
        <w:spacing w:line="340" w:lineRule="atLeast"/>
        <w:ind w:firstLine="0"/>
      </w:pPr>
      <w:r>
        <w:rPr>
          <w:rStyle w:val="56"/>
        </w:rPr>
        <w:footnoteRef/>
      </w:r>
      <w:r>
        <w:rPr>
          <w:rFonts w:hint="eastAsia"/>
        </w:rPr>
        <w:t>本条内容可修改为：“</w:t>
      </w:r>
      <w:r>
        <w:t>本</w:t>
      </w:r>
      <w:r>
        <w:rPr>
          <w:rFonts w:hint="eastAsia"/>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如发包人接受履约</w:t>
      </w:r>
      <w:r>
        <w:t>保函</w:t>
      </w:r>
      <w:r>
        <w:rPr>
          <w:rFonts w:hint="eastAsia"/>
        </w:rPr>
        <w:t>采用固定有效</w:t>
      </w:r>
      <w:r>
        <w:t>期，</w:t>
      </w:r>
      <w:r>
        <w:rPr>
          <w:rFonts w:hint="eastAsia"/>
        </w:rPr>
        <w:t>在</w:t>
      </w:r>
      <w:r>
        <w:t>专用合同条款中</w:t>
      </w:r>
      <w:r>
        <w:rPr>
          <w:rFonts w:hint="eastAsia"/>
        </w:rPr>
        <w:t>应</w:t>
      </w:r>
      <w:r>
        <w:t>增加</w:t>
      </w:r>
      <w:r>
        <w:rPr>
          <w:rFonts w:hint="eastAsia"/>
        </w:rPr>
        <w:t>保证设计人在履约</w:t>
      </w:r>
      <w:r>
        <w:t>保函失效</w:t>
      </w:r>
      <w:r>
        <w:rPr>
          <w:rFonts w:hint="eastAsia"/>
        </w:rPr>
        <w:t>日</w:t>
      </w:r>
      <w:r>
        <w:t>前向发包人出具后续阶段履约保函</w:t>
      </w:r>
      <w:r>
        <w:rPr>
          <w:rFonts w:hint="eastAsia"/>
        </w:rPr>
        <w:t>的约束性</w:t>
      </w:r>
      <w:r>
        <w:t>条款，直至发包人签</w:t>
      </w:r>
      <w:r>
        <w:rPr>
          <w:rFonts w:hint="eastAsia"/>
        </w:rPr>
        <w:t>收最后</w:t>
      </w:r>
      <w:r>
        <w:t>一批勘察设计成果文件</w:t>
      </w:r>
      <w:r>
        <w:rPr>
          <w:rFonts w:hint="eastAsia"/>
        </w:rPr>
        <w:t>且设计人按照合同约定缴纳质量保证金</w:t>
      </w:r>
      <w:r>
        <w:t>之日</w:t>
      </w:r>
      <w:r>
        <w:rPr>
          <w:rFonts w:hint="eastAsia"/>
        </w:rPr>
        <w:t>为止</w:t>
      </w:r>
      <w:r>
        <w:t>。</w:t>
      </w:r>
    </w:p>
  </w:footnote>
  <w:footnote w:id="45">
    <w:p>
      <w:pPr>
        <w:pStyle w:val="36"/>
        <w:ind w:firstLine="0"/>
        <w:rPr>
          <w:szCs w:val="18"/>
        </w:rPr>
      </w:pPr>
      <w:r>
        <w:rPr>
          <w:rStyle w:val="56"/>
          <w:szCs w:val="18"/>
        </w:rPr>
        <w:footnoteRef/>
      </w:r>
      <w:r>
        <w:rPr>
          <w:rFonts w:hint="eastAsia"/>
          <w:szCs w:val="18"/>
        </w:rPr>
        <w:t xml:space="preserve"> 招标人可结合招标项目具体特点和实际需要，对本章内容进行补充、细化。</w:t>
      </w:r>
    </w:p>
  </w:footnote>
  <w:footnote w:id="46">
    <w:p>
      <w:pPr>
        <w:pStyle w:val="36"/>
        <w:ind w:firstLine="0"/>
        <w:rPr>
          <w:szCs w:val="18"/>
        </w:rPr>
      </w:pPr>
      <w:r>
        <w:rPr>
          <w:rStyle w:val="56"/>
          <w:szCs w:val="18"/>
        </w:rPr>
        <w:footnoteRef/>
      </w:r>
      <w:r>
        <w:rPr>
          <w:rFonts w:hint="eastAsia"/>
          <w:szCs w:val="18"/>
        </w:rPr>
        <w:t xml:space="preserve"> 招标人可结合招标项目具体特点和实际需要，对本章内容进行补充、细化。</w:t>
      </w:r>
    </w:p>
  </w:footnote>
  <w:footnote w:id="47">
    <w:p>
      <w:pPr>
        <w:pStyle w:val="36"/>
        <w:spacing w:line="300" w:lineRule="atLeast"/>
        <w:ind w:left="180" w:leftChars="0" w:hanging="180" w:hangingChars="100"/>
        <w:rPr>
          <w:szCs w:val="18"/>
        </w:rPr>
      </w:pPr>
      <w:r>
        <w:rPr>
          <w:rStyle w:val="56"/>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48">
    <w:p>
      <w:pPr>
        <w:pStyle w:val="36"/>
        <w:ind w:firstLine="0"/>
        <w:jc w:val="both"/>
        <w:rPr>
          <w:rFonts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9">
    <w:p>
      <w:pPr>
        <w:pStyle w:val="36"/>
        <w:ind w:firstLine="0"/>
        <w:jc w:val="both"/>
        <w:rPr>
          <w:rFonts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50">
    <w:p>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 w:id="51">
    <w:p>
      <w:pPr>
        <w:pStyle w:val="36"/>
        <w:spacing w:line="320" w:lineRule="atLeast"/>
        <w:ind w:firstLine="0"/>
        <w:rPr>
          <w:sz w:val="21"/>
          <w:szCs w:val="21"/>
        </w:rPr>
      </w:pPr>
      <w:r>
        <w:rPr>
          <w:rStyle w:val="56"/>
        </w:rPr>
        <w:footnoteRef/>
      </w:r>
      <w:r>
        <w:rPr>
          <w:rStyle w:val="56"/>
        </w:rPr>
        <w:t xml:space="preserve"> </w:t>
      </w:r>
      <w:r>
        <w:rPr>
          <w:sz w:val="21"/>
          <w:szCs w:val="21"/>
        </w:rPr>
        <w:t>技术建议书</w:t>
      </w:r>
      <w:r>
        <w:rPr>
          <w:rFonts w:hint="eastAsia"/>
          <w:sz w:val="21"/>
          <w:szCs w:val="21"/>
          <w:lang w:val="en-US" w:eastAsia="zh-CN"/>
        </w:rPr>
        <w:t>按照招标文件暗标要求进行编制</w:t>
      </w:r>
      <w:r>
        <w:rPr>
          <w:sz w:val="21"/>
          <w:szCs w:val="21"/>
        </w:rPr>
        <w:t>。</w:t>
      </w:r>
    </w:p>
  </w:footnote>
  <w:footnote w:id="52">
    <w:p>
      <w:pPr>
        <w:pStyle w:val="36"/>
        <w:spacing w:line="320" w:lineRule="atLeast"/>
        <w:ind w:firstLine="0"/>
      </w:pPr>
      <w:r>
        <w:rPr>
          <w:rStyle w:val="56"/>
        </w:rPr>
        <w:footnoteRef/>
      </w:r>
      <w:r>
        <w:rPr>
          <w:rFonts w:hint="eastAsia"/>
          <w:sz w:val="21"/>
          <w:szCs w:val="21"/>
        </w:rPr>
        <w:t>本项适用于技术特别复杂的特大桥梁、长大隧道项目，</w:t>
      </w:r>
      <w:r>
        <w:rPr>
          <w:sz w:val="21"/>
          <w:szCs w:val="21"/>
        </w:rPr>
        <w:t>或者地质、地形条件特别复杂的公路项目</w:t>
      </w:r>
      <w:r>
        <w:rPr>
          <w:rFonts w:hint="eastAsia"/>
          <w:sz w:val="21"/>
          <w:szCs w:val="21"/>
        </w:rPr>
        <w:t>。</w:t>
      </w:r>
    </w:p>
  </w:footnote>
  <w:footnote w:id="53">
    <w:p>
      <w:pPr>
        <w:pStyle w:val="36"/>
        <w:ind w:firstLine="0"/>
        <w:jc w:val="both"/>
        <w:rPr>
          <w:rFonts w:ascii="宋体" w:hAnsi="宋体"/>
          <w:sz w:val="21"/>
          <w:szCs w:val="21"/>
        </w:rPr>
      </w:pPr>
      <w:r>
        <w:rPr>
          <w:rStyle w:val="56"/>
          <w:rFonts w:ascii="宋体" w:hAnsi="宋体"/>
        </w:rPr>
        <w:footnoteRef/>
      </w:r>
      <w:r>
        <w:rPr>
          <w:rFonts w:hint="eastAsia" w:ascii="宋体" w:hAnsi="宋体"/>
          <w:szCs w:val="18"/>
        </w:rPr>
        <w:t>如果采用单价合同计价模式，招标人在报价清单表中应填入</w:t>
      </w:r>
      <w:r>
        <w:rPr>
          <w:rFonts w:hint="eastAsia" w:ascii="宋体" w:hAnsi="宋体"/>
          <w:bCs/>
          <w:snapToGrid w:val="0"/>
          <w:szCs w:val="18"/>
        </w:rPr>
        <w:t>预估数量，作为投标的共同基础</w:t>
      </w:r>
      <w:r>
        <w:rPr>
          <w:rFonts w:hint="eastAsia" w:ascii="宋体" w:hAnsi="宋体"/>
          <w:szCs w:val="18"/>
        </w:rPr>
        <w:t>。</w:t>
      </w:r>
    </w:p>
  </w:footnote>
  <w:footnote w:id="54">
    <w:p>
      <w:pPr>
        <w:pStyle w:val="36"/>
        <w:ind w:firstLine="0"/>
        <w:jc w:val="both"/>
        <w:rPr>
          <w:rFonts w:ascii="宋体" w:hAnsi="宋体"/>
          <w:sz w:val="21"/>
          <w:szCs w:val="21"/>
        </w:rPr>
      </w:pPr>
      <w:r>
        <w:rPr>
          <w:rStyle w:val="56"/>
          <w:rFonts w:ascii="宋体" w:hAnsi="宋体"/>
        </w:rPr>
        <w:footnoteRef/>
      </w:r>
      <w:r>
        <w:rPr>
          <w:rFonts w:hint="eastAsia" w:ascii="宋体" w:hAnsi="宋体"/>
          <w:szCs w:val="18"/>
        </w:rPr>
        <w:t>如果采用单价合同计价模式，招标人在报价清单表中应填入</w:t>
      </w:r>
      <w:r>
        <w:rPr>
          <w:rFonts w:hint="eastAsia" w:ascii="宋体" w:hAnsi="宋体"/>
          <w:bCs/>
          <w:snapToGrid w:val="0"/>
          <w:szCs w:val="18"/>
        </w:rPr>
        <w:t>预估数量，作为投标的共同基础</w:t>
      </w:r>
      <w:r>
        <w:rPr>
          <w:rFonts w:hint="eastAsia" w:ascii="宋体" w:hAnsi="宋体"/>
          <w:szCs w:val="18"/>
        </w:rPr>
        <w:t>。</w:t>
      </w:r>
    </w:p>
  </w:footnote>
  <w:footnote w:id="55">
    <w:p>
      <w:pPr>
        <w:rPr>
          <w:sz w:val="24"/>
        </w:rPr>
      </w:pPr>
      <w:r>
        <w:rPr>
          <w:rStyle w:val="56"/>
        </w:rPr>
        <w:footnoteRef/>
      </w:r>
      <w:r>
        <w:rPr>
          <w:rFonts w:hAnsi="宋体"/>
          <w:sz w:val="18"/>
          <w:szCs w:val="18"/>
        </w:rPr>
        <w:t>暂列金额应按照专用合同条款第</w:t>
      </w:r>
      <w:r>
        <w:rPr>
          <w:rFonts w:hint="eastAsia" w:hAnsi="宋体"/>
          <w:sz w:val="18"/>
          <w:szCs w:val="18"/>
        </w:rPr>
        <w:t>12</w:t>
      </w:r>
      <w:r>
        <w:rPr>
          <w:rFonts w:hAnsi="宋体"/>
          <w:sz w:val="18"/>
          <w:szCs w:val="18"/>
        </w:rPr>
        <w:t>.5款规定计列</w:t>
      </w:r>
      <w:r>
        <w:rPr>
          <w:rFonts w:hint="eastAsia" w:hAnsi="宋体"/>
          <w:sz w:val="18"/>
          <w:szCs w:val="18"/>
        </w:rPr>
        <w:t>，</w:t>
      </w:r>
      <w:r>
        <w:rPr>
          <w:rFonts w:hAnsi="宋体"/>
          <w:sz w:val="18"/>
          <w:szCs w:val="18"/>
        </w:rPr>
        <w:t>暂列金额的百分比宜控制在</w:t>
      </w:r>
      <w:r>
        <w:rPr>
          <w:rFonts w:hint="eastAsia" w:hAnsi="宋体"/>
          <w:sz w:val="18"/>
          <w:szCs w:val="18"/>
        </w:rPr>
        <w:t>5</w:t>
      </w:r>
      <w:r>
        <w:rPr>
          <w:rFonts w:hAnsi="宋体"/>
          <w:sz w:val="18"/>
          <w:szCs w:val="18"/>
        </w:rPr>
        <w:t>%以内</w:t>
      </w:r>
      <w:r>
        <w:rPr>
          <w:rFonts w:hint="eastAsia" w:hAnsi="宋体"/>
          <w:sz w:val="18"/>
          <w:szCs w:val="18"/>
        </w:rPr>
        <w:t>。</w:t>
      </w:r>
    </w:p>
    <w:p>
      <w:pPr>
        <w:pStyle w:val="36"/>
        <w:ind w:firstLin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0"/>
      </w:pBdr>
      <w:jc w:val="left"/>
      <w:rPr>
        <w:rFonts w:hint="default" w:ascii="Times New Roman" w:hAnsi="Times New Roman" w:eastAsia="黑体" w:cs="Times New Roman"/>
        <w:sz w:val="20"/>
        <w:szCs w:val="21"/>
      </w:rPr>
    </w:pPr>
    <w:r>
      <w:rPr>
        <w:rFonts w:hint="eastAsia" w:eastAsia="黑体" w:cs="Times New Roman"/>
        <w:sz w:val="20"/>
        <w:szCs w:val="21"/>
        <w:lang w:eastAsia="zh-CN"/>
      </w:rPr>
      <w:t>辽宁省公路工程标准勘察设计电子招标文件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p>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szCs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0"/>
      </w:pBdr>
      <w:jc w:val="left"/>
      <w:rPr>
        <w:rFonts w:hint="default" w:ascii="Times New Roman" w:hAnsi="Times New Roman" w:eastAsia="黑体" w:cs="Times New Roman"/>
        <w:sz w:val="20"/>
        <w:szCs w:val="21"/>
      </w:rPr>
    </w:pPr>
    <w:r>
      <w:rPr>
        <w:rFonts w:hint="eastAsia" w:eastAsia="黑体" w:cs="Times New Roman"/>
        <w:sz w:val="20"/>
        <w:szCs w:val="21"/>
        <w:lang w:eastAsia="zh-CN"/>
      </w:rPr>
      <w:t>辽宁省公路工程标准勘察设计电子招标文件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p>
    <w:pPr>
      <w:pStyle w:val="32"/>
    </w:pPr>
  </w:p>
  <w:p>
    <w:pPr>
      <w:pStyle w:val="32"/>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0"/>
      </w:pBdr>
      <w:jc w:val="left"/>
      <w:rPr>
        <w:rFonts w:hint="default" w:ascii="Times New Roman" w:hAnsi="Times New Roman" w:eastAsia="黑体" w:cs="Times New Roman"/>
        <w:sz w:val="20"/>
        <w:szCs w:val="21"/>
      </w:rPr>
    </w:pPr>
    <w:r>
      <w:rPr>
        <w:rFonts w:hint="eastAsia" w:eastAsia="黑体" w:cs="Times New Roman"/>
        <w:sz w:val="20"/>
        <w:szCs w:val="21"/>
        <w:lang w:eastAsia="zh-CN"/>
      </w:rPr>
      <w:t>辽宁省公路工程标准勘察设计电子招标文件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p>
    <w:pPr>
      <w:pStyle w:val="32"/>
    </w:pPr>
  </w:p>
  <w:p>
    <w:pPr>
      <w:pStyle w:val="32"/>
      <w:jc w:val="both"/>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0"/>
      </w:pBdr>
      <w:jc w:val="left"/>
    </w:pPr>
    <w:r>
      <w:rPr>
        <w:rFonts w:hint="eastAsia" w:eastAsia="黑体" w:cs="Times New Roman"/>
        <w:sz w:val="20"/>
        <w:szCs w:val="21"/>
        <w:lang w:eastAsia="zh-CN"/>
      </w:rPr>
      <w:t>辽宁省公路工程标准勘察设计电子招标文件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szCs w:val="17"/>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wordWrap w:val="0"/>
      <w:jc w:val="right"/>
      <w:rPr>
        <w:sz w:val="17"/>
        <w:szCs w:val="17"/>
      </w:rPr>
    </w:pPr>
    <w:r>
      <w:rPr>
        <w:sz w:val="19"/>
        <w:szCs w:val="19"/>
      </w:rPr>
      <w:pict>
        <v:line id="_x0000_s4104" o:spid="_x0000_s4104" o:spt="20" style="position:absolute;left:0pt;margin-left:-3.6pt;margin-top:13.85pt;height:0pt;width:420.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">
          <v:path arrowok="t"/>
          <v:fill focussize="0,0"/>
          <v:stroke weight="3.5pt" linestyle="thickThin"/>
          <v:imagedata o:title=""/>
          <o:lock v:ext="edit"/>
        </v:line>
      </w:pict>
    </w:r>
    <w:r>
      <w:rPr>
        <w:rFonts w:hint="eastAsia"/>
        <w:sz w:val="17"/>
        <w:szCs w:val="17"/>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434E1"/>
    <w:multiLevelType w:val="multilevel"/>
    <w:tmpl w:val="54B434E1"/>
    <w:lvl w:ilvl="0" w:tentative="0">
      <w:start w:val="1"/>
      <w:numFmt w:val="decimal"/>
      <w:pStyle w:val="84"/>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false"/>
  <w:bordersDoNotSurroundFooter w:val="false"/>
  <w:hideSpellingErrors/>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footnotePr>
    <w:numFmt w:val="decimalEnclosedCircleChinese"/>
    <w:numRestart w:val="eachPage"/>
    <w:footnote w:id="112"/>
    <w:footnote w:id="11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JmZTQ4Y2Y2NGEzY2MxZDQyNGU0OThlOWNkMmVjZTMifQ=="/>
  </w:docVars>
  <w:rsids>
    <w:rsidRoot w:val="00183A6E"/>
    <w:rsid w:val="0000001F"/>
    <w:rsid w:val="0000015E"/>
    <w:rsid w:val="00000524"/>
    <w:rsid w:val="0000071E"/>
    <w:rsid w:val="00000E72"/>
    <w:rsid w:val="00000EEC"/>
    <w:rsid w:val="00001153"/>
    <w:rsid w:val="0000164F"/>
    <w:rsid w:val="00001FFB"/>
    <w:rsid w:val="000027F1"/>
    <w:rsid w:val="0000303A"/>
    <w:rsid w:val="00003C39"/>
    <w:rsid w:val="00003C73"/>
    <w:rsid w:val="0000436D"/>
    <w:rsid w:val="00005781"/>
    <w:rsid w:val="00005AF8"/>
    <w:rsid w:val="00005CA4"/>
    <w:rsid w:val="0000601A"/>
    <w:rsid w:val="000060FE"/>
    <w:rsid w:val="000062A9"/>
    <w:rsid w:val="00006980"/>
    <w:rsid w:val="00006D8D"/>
    <w:rsid w:val="0000700D"/>
    <w:rsid w:val="00007455"/>
    <w:rsid w:val="000074AC"/>
    <w:rsid w:val="00007E1B"/>
    <w:rsid w:val="00010A4E"/>
    <w:rsid w:val="00011869"/>
    <w:rsid w:val="00011CB4"/>
    <w:rsid w:val="0001267B"/>
    <w:rsid w:val="0001291C"/>
    <w:rsid w:val="00012A9E"/>
    <w:rsid w:val="00012D7B"/>
    <w:rsid w:val="000135D2"/>
    <w:rsid w:val="0001364D"/>
    <w:rsid w:val="00013703"/>
    <w:rsid w:val="00014EA1"/>
    <w:rsid w:val="000150F6"/>
    <w:rsid w:val="000152F7"/>
    <w:rsid w:val="0001594C"/>
    <w:rsid w:val="00015B67"/>
    <w:rsid w:val="00015FF0"/>
    <w:rsid w:val="000167DA"/>
    <w:rsid w:val="00016921"/>
    <w:rsid w:val="0001738A"/>
    <w:rsid w:val="000173A0"/>
    <w:rsid w:val="0001746B"/>
    <w:rsid w:val="000175A9"/>
    <w:rsid w:val="00017876"/>
    <w:rsid w:val="000201D7"/>
    <w:rsid w:val="00020375"/>
    <w:rsid w:val="000207C2"/>
    <w:rsid w:val="000215AC"/>
    <w:rsid w:val="0002185D"/>
    <w:rsid w:val="000218A8"/>
    <w:rsid w:val="0002204B"/>
    <w:rsid w:val="00022845"/>
    <w:rsid w:val="00023047"/>
    <w:rsid w:val="0002342E"/>
    <w:rsid w:val="00023703"/>
    <w:rsid w:val="000237C3"/>
    <w:rsid w:val="0002394B"/>
    <w:rsid w:val="00023E8C"/>
    <w:rsid w:val="00024283"/>
    <w:rsid w:val="00024371"/>
    <w:rsid w:val="00024D41"/>
    <w:rsid w:val="00025AA2"/>
    <w:rsid w:val="00026423"/>
    <w:rsid w:val="00026731"/>
    <w:rsid w:val="00026D2B"/>
    <w:rsid w:val="0002793A"/>
    <w:rsid w:val="0003009E"/>
    <w:rsid w:val="0003015B"/>
    <w:rsid w:val="000302DB"/>
    <w:rsid w:val="00030850"/>
    <w:rsid w:val="00030F00"/>
    <w:rsid w:val="000310CE"/>
    <w:rsid w:val="00031249"/>
    <w:rsid w:val="00031312"/>
    <w:rsid w:val="000315DD"/>
    <w:rsid w:val="000316B1"/>
    <w:rsid w:val="000318AC"/>
    <w:rsid w:val="00031A9B"/>
    <w:rsid w:val="0003252B"/>
    <w:rsid w:val="0003369F"/>
    <w:rsid w:val="0003377D"/>
    <w:rsid w:val="00033BA1"/>
    <w:rsid w:val="00033CB7"/>
    <w:rsid w:val="00034A2F"/>
    <w:rsid w:val="0003557E"/>
    <w:rsid w:val="000357A5"/>
    <w:rsid w:val="00035A5F"/>
    <w:rsid w:val="00035C00"/>
    <w:rsid w:val="0003643A"/>
    <w:rsid w:val="0003653D"/>
    <w:rsid w:val="00036546"/>
    <w:rsid w:val="00036575"/>
    <w:rsid w:val="00036605"/>
    <w:rsid w:val="00036E8E"/>
    <w:rsid w:val="00037A32"/>
    <w:rsid w:val="000401FE"/>
    <w:rsid w:val="000404B2"/>
    <w:rsid w:val="000406C1"/>
    <w:rsid w:val="0004141C"/>
    <w:rsid w:val="00041598"/>
    <w:rsid w:val="000416D4"/>
    <w:rsid w:val="0004179D"/>
    <w:rsid w:val="000418BA"/>
    <w:rsid w:val="0004197A"/>
    <w:rsid w:val="000419C1"/>
    <w:rsid w:val="00041DCF"/>
    <w:rsid w:val="000420C3"/>
    <w:rsid w:val="0004298A"/>
    <w:rsid w:val="00042A06"/>
    <w:rsid w:val="00042F0B"/>
    <w:rsid w:val="00043269"/>
    <w:rsid w:val="0004327E"/>
    <w:rsid w:val="00043437"/>
    <w:rsid w:val="00043BA4"/>
    <w:rsid w:val="00043BB1"/>
    <w:rsid w:val="00043C67"/>
    <w:rsid w:val="00043D44"/>
    <w:rsid w:val="00045307"/>
    <w:rsid w:val="00045474"/>
    <w:rsid w:val="00045BF8"/>
    <w:rsid w:val="00046385"/>
    <w:rsid w:val="0004688A"/>
    <w:rsid w:val="00046C6C"/>
    <w:rsid w:val="000470FD"/>
    <w:rsid w:val="00047436"/>
    <w:rsid w:val="00047911"/>
    <w:rsid w:val="00047E18"/>
    <w:rsid w:val="00047F50"/>
    <w:rsid w:val="0005001E"/>
    <w:rsid w:val="0005085F"/>
    <w:rsid w:val="00050A3B"/>
    <w:rsid w:val="00050A57"/>
    <w:rsid w:val="00050ACF"/>
    <w:rsid w:val="00050C5E"/>
    <w:rsid w:val="000519C9"/>
    <w:rsid w:val="00051A7B"/>
    <w:rsid w:val="00051D76"/>
    <w:rsid w:val="00052280"/>
    <w:rsid w:val="00052585"/>
    <w:rsid w:val="00052E95"/>
    <w:rsid w:val="0005336F"/>
    <w:rsid w:val="0005350A"/>
    <w:rsid w:val="0005365E"/>
    <w:rsid w:val="00053F53"/>
    <w:rsid w:val="00054111"/>
    <w:rsid w:val="00054BF1"/>
    <w:rsid w:val="000555D9"/>
    <w:rsid w:val="00055AB6"/>
    <w:rsid w:val="000561BC"/>
    <w:rsid w:val="00056868"/>
    <w:rsid w:val="000572A7"/>
    <w:rsid w:val="000575A4"/>
    <w:rsid w:val="000578CA"/>
    <w:rsid w:val="000603C4"/>
    <w:rsid w:val="000608B3"/>
    <w:rsid w:val="00060B35"/>
    <w:rsid w:val="0006161A"/>
    <w:rsid w:val="000616D0"/>
    <w:rsid w:val="000618E6"/>
    <w:rsid w:val="00061BC0"/>
    <w:rsid w:val="00061E21"/>
    <w:rsid w:val="00062F02"/>
    <w:rsid w:val="00063161"/>
    <w:rsid w:val="00063B44"/>
    <w:rsid w:val="00063B57"/>
    <w:rsid w:val="00063E83"/>
    <w:rsid w:val="00063EAB"/>
    <w:rsid w:val="000643F2"/>
    <w:rsid w:val="00064857"/>
    <w:rsid w:val="00065384"/>
    <w:rsid w:val="0006598D"/>
    <w:rsid w:val="00065B0A"/>
    <w:rsid w:val="00065F8D"/>
    <w:rsid w:val="0006638C"/>
    <w:rsid w:val="000668EC"/>
    <w:rsid w:val="00066912"/>
    <w:rsid w:val="00067087"/>
    <w:rsid w:val="000675A4"/>
    <w:rsid w:val="00067F2F"/>
    <w:rsid w:val="0007022C"/>
    <w:rsid w:val="0007037D"/>
    <w:rsid w:val="00070522"/>
    <w:rsid w:val="00070656"/>
    <w:rsid w:val="000706F5"/>
    <w:rsid w:val="00070FE7"/>
    <w:rsid w:val="000715D7"/>
    <w:rsid w:val="000716AB"/>
    <w:rsid w:val="00071B8A"/>
    <w:rsid w:val="00072255"/>
    <w:rsid w:val="00072643"/>
    <w:rsid w:val="0007269F"/>
    <w:rsid w:val="00072E36"/>
    <w:rsid w:val="00073431"/>
    <w:rsid w:val="000737AC"/>
    <w:rsid w:val="00073937"/>
    <w:rsid w:val="00073C97"/>
    <w:rsid w:val="00074090"/>
    <w:rsid w:val="000740B0"/>
    <w:rsid w:val="0007425D"/>
    <w:rsid w:val="000746B6"/>
    <w:rsid w:val="00074972"/>
    <w:rsid w:val="00074C68"/>
    <w:rsid w:val="00074D82"/>
    <w:rsid w:val="00074FF8"/>
    <w:rsid w:val="00075349"/>
    <w:rsid w:val="00075B9F"/>
    <w:rsid w:val="00076390"/>
    <w:rsid w:val="000764A0"/>
    <w:rsid w:val="00076D26"/>
    <w:rsid w:val="00076F72"/>
    <w:rsid w:val="00076FD6"/>
    <w:rsid w:val="00077029"/>
    <w:rsid w:val="00077120"/>
    <w:rsid w:val="00077430"/>
    <w:rsid w:val="00077713"/>
    <w:rsid w:val="00077756"/>
    <w:rsid w:val="0007778E"/>
    <w:rsid w:val="00077EAC"/>
    <w:rsid w:val="000808D7"/>
    <w:rsid w:val="00080DF4"/>
    <w:rsid w:val="00080E55"/>
    <w:rsid w:val="00080E94"/>
    <w:rsid w:val="0008123A"/>
    <w:rsid w:val="000819FC"/>
    <w:rsid w:val="00081A55"/>
    <w:rsid w:val="00082263"/>
    <w:rsid w:val="000832C9"/>
    <w:rsid w:val="00083489"/>
    <w:rsid w:val="00083D37"/>
    <w:rsid w:val="000845C3"/>
    <w:rsid w:val="00084744"/>
    <w:rsid w:val="0008478E"/>
    <w:rsid w:val="00085174"/>
    <w:rsid w:val="000858F1"/>
    <w:rsid w:val="00085B7E"/>
    <w:rsid w:val="00085E0C"/>
    <w:rsid w:val="00085E67"/>
    <w:rsid w:val="00086114"/>
    <w:rsid w:val="00086728"/>
    <w:rsid w:val="00086CB8"/>
    <w:rsid w:val="00086D1B"/>
    <w:rsid w:val="0008716E"/>
    <w:rsid w:val="000877DD"/>
    <w:rsid w:val="00087B78"/>
    <w:rsid w:val="00087C4A"/>
    <w:rsid w:val="00090245"/>
    <w:rsid w:val="00090903"/>
    <w:rsid w:val="0009090C"/>
    <w:rsid w:val="0009131C"/>
    <w:rsid w:val="000915D5"/>
    <w:rsid w:val="00091DA4"/>
    <w:rsid w:val="00091EF6"/>
    <w:rsid w:val="0009214B"/>
    <w:rsid w:val="00092604"/>
    <w:rsid w:val="0009317D"/>
    <w:rsid w:val="000931C5"/>
    <w:rsid w:val="0009379A"/>
    <w:rsid w:val="00093BEA"/>
    <w:rsid w:val="000945BC"/>
    <w:rsid w:val="00094875"/>
    <w:rsid w:val="00094C83"/>
    <w:rsid w:val="00094E98"/>
    <w:rsid w:val="00094ED2"/>
    <w:rsid w:val="00094FED"/>
    <w:rsid w:val="0009547B"/>
    <w:rsid w:val="00095BD6"/>
    <w:rsid w:val="00095DD2"/>
    <w:rsid w:val="00095F22"/>
    <w:rsid w:val="00096AE8"/>
    <w:rsid w:val="000972BB"/>
    <w:rsid w:val="000973D9"/>
    <w:rsid w:val="000979AA"/>
    <w:rsid w:val="00097DDB"/>
    <w:rsid w:val="000A01B9"/>
    <w:rsid w:val="000A05FE"/>
    <w:rsid w:val="000A0AFA"/>
    <w:rsid w:val="000A0E46"/>
    <w:rsid w:val="000A18E2"/>
    <w:rsid w:val="000A1C9D"/>
    <w:rsid w:val="000A1D8C"/>
    <w:rsid w:val="000A26A9"/>
    <w:rsid w:val="000A2AEF"/>
    <w:rsid w:val="000A2D88"/>
    <w:rsid w:val="000A307A"/>
    <w:rsid w:val="000A31F5"/>
    <w:rsid w:val="000A4A47"/>
    <w:rsid w:val="000A50F9"/>
    <w:rsid w:val="000A5528"/>
    <w:rsid w:val="000A591F"/>
    <w:rsid w:val="000A5935"/>
    <w:rsid w:val="000A5CF1"/>
    <w:rsid w:val="000A5EFF"/>
    <w:rsid w:val="000A610F"/>
    <w:rsid w:val="000A627F"/>
    <w:rsid w:val="000A659F"/>
    <w:rsid w:val="000A6613"/>
    <w:rsid w:val="000A6891"/>
    <w:rsid w:val="000A6B0C"/>
    <w:rsid w:val="000A7442"/>
    <w:rsid w:val="000A7B25"/>
    <w:rsid w:val="000A7E78"/>
    <w:rsid w:val="000B00A0"/>
    <w:rsid w:val="000B070D"/>
    <w:rsid w:val="000B0F3E"/>
    <w:rsid w:val="000B153E"/>
    <w:rsid w:val="000B191F"/>
    <w:rsid w:val="000B1AF3"/>
    <w:rsid w:val="000B24A3"/>
    <w:rsid w:val="000B24F4"/>
    <w:rsid w:val="000B34A5"/>
    <w:rsid w:val="000B34E6"/>
    <w:rsid w:val="000B388D"/>
    <w:rsid w:val="000B389E"/>
    <w:rsid w:val="000B3922"/>
    <w:rsid w:val="000B3AE7"/>
    <w:rsid w:val="000B4142"/>
    <w:rsid w:val="000B42DE"/>
    <w:rsid w:val="000B48BB"/>
    <w:rsid w:val="000B4922"/>
    <w:rsid w:val="000B4953"/>
    <w:rsid w:val="000B4D97"/>
    <w:rsid w:val="000B4E6F"/>
    <w:rsid w:val="000B501B"/>
    <w:rsid w:val="000B5ABE"/>
    <w:rsid w:val="000B6A50"/>
    <w:rsid w:val="000B6B21"/>
    <w:rsid w:val="000B6E09"/>
    <w:rsid w:val="000B735B"/>
    <w:rsid w:val="000B75C5"/>
    <w:rsid w:val="000C0911"/>
    <w:rsid w:val="000C09F9"/>
    <w:rsid w:val="000C17BA"/>
    <w:rsid w:val="000C18B8"/>
    <w:rsid w:val="000C1CAA"/>
    <w:rsid w:val="000C2010"/>
    <w:rsid w:val="000C29B6"/>
    <w:rsid w:val="000C3341"/>
    <w:rsid w:val="000C3414"/>
    <w:rsid w:val="000C3ADC"/>
    <w:rsid w:val="000C3DF6"/>
    <w:rsid w:val="000C3EEC"/>
    <w:rsid w:val="000C40AF"/>
    <w:rsid w:val="000C40BC"/>
    <w:rsid w:val="000C473F"/>
    <w:rsid w:val="000C4848"/>
    <w:rsid w:val="000C532C"/>
    <w:rsid w:val="000C58F3"/>
    <w:rsid w:val="000C5DFE"/>
    <w:rsid w:val="000C678C"/>
    <w:rsid w:val="000C697F"/>
    <w:rsid w:val="000C6DED"/>
    <w:rsid w:val="000C74BA"/>
    <w:rsid w:val="000D045D"/>
    <w:rsid w:val="000D04E9"/>
    <w:rsid w:val="000D0506"/>
    <w:rsid w:val="000D12D1"/>
    <w:rsid w:val="000D16F3"/>
    <w:rsid w:val="000D19D3"/>
    <w:rsid w:val="000D1A37"/>
    <w:rsid w:val="000D1B0E"/>
    <w:rsid w:val="000D25F4"/>
    <w:rsid w:val="000D2739"/>
    <w:rsid w:val="000D28FA"/>
    <w:rsid w:val="000D2EF2"/>
    <w:rsid w:val="000D3268"/>
    <w:rsid w:val="000D4177"/>
    <w:rsid w:val="000D4BFB"/>
    <w:rsid w:val="000D4CCF"/>
    <w:rsid w:val="000D4D62"/>
    <w:rsid w:val="000D4E80"/>
    <w:rsid w:val="000D4E84"/>
    <w:rsid w:val="000D5115"/>
    <w:rsid w:val="000D5765"/>
    <w:rsid w:val="000D57A6"/>
    <w:rsid w:val="000D57FA"/>
    <w:rsid w:val="000D5CCF"/>
    <w:rsid w:val="000D60F8"/>
    <w:rsid w:val="000D6ABE"/>
    <w:rsid w:val="000D6B3E"/>
    <w:rsid w:val="000D6CF7"/>
    <w:rsid w:val="000D6EF8"/>
    <w:rsid w:val="000D7C93"/>
    <w:rsid w:val="000E087A"/>
    <w:rsid w:val="000E0F8F"/>
    <w:rsid w:val="000E14FD"/>
    <w:rsid w:val="000E15CC"/>
    <w:rsid w:val="000E19F7"/>
    <w:rsid w:val="000E1BAC"/>
    <w:rsid w:val="000E1E2A"/>
    <w:rsid w:val="000E1F2B"/>
    <w:rsid w:val="000E1F38"/>
    <w:rsid w:val="000E2BBA"/>
    <w:rsid w:val="000E35C3"/>
    <w:rsid w:val="000E3659"/>
    <w:rsid w:val="000E3A5C"/>
    <w:rsid w:val="000E4159"/>
    <w:rsid w:val="000E53CB"/>
    <w:rsid w:val="000E58C7"/>
    <w:rsid w:val="000E5ABE"/>
    <w:rsid w:val="000E5B50"/>
    <w:rsid w:val="000E6032"/>
    <w:rsid w:val="000E66F7"/>
    <w:rsid w:val="000E6CCD"/>
    <w:rsid w:val="000E6F28"/>
    <w:rsid w:val="000E6F94"/>
    <w:rsid w:val="000E7263"/>
    <w:rsid w:val="000E7387"/>
    <w:rsid w:val="000E751B"/>
    <w:rsid w:val="000E753D"/>
    <w:rsid w:val="000E7614"/>
    <w:rsid w:val="000E7A3F"/>
    <w:rsid w:val="000E7BC6"/>
    <w:rsid w:val="000F0614"/>
    <w:rsid w:val="000F08A1"/>
    <w:rsid w:val="000F125B"/>
    <w:rsid w:val="000F18AD"/>
    <w:rsid w:val="000F1B2C"/>
    <w:rsid w:val="000F219D"/>
    <w:rsid w:val="000F23BC"/>
    <w:rsid w:val="000F23CB"/>
    <w:rsid w:val="000F2F8A"/>
    <w:rsid w:val="000F34B1"/>
    <w:rsid w:val="000F3E55"/>
    <w:rsid w:val="000F46B4"/>
    <w:rsid w:val="000F4B3F"/>
    <w:rsid w:val="000F5755"/>
    <w:rsid w:val="000F5917"/>
    <w:rsid w:val="000F5CC3"/>
    <w:rsid w:val="000F6918"/>
    <w:rsid w:val="000F6B5A"/>
    <w:rsid w:val="000F6DFE"/>
    <w:rsid w:val="000F7128"/>
    <w:rsid w:val="000F7FB7"/>
    <w:rsid w:val="001000F9"/>
    <w:rsid w:val="00101096"/>
    <w:rsid w:val="001012B9"/>
    <w:rsid w:val="0010183A"/>
    <w:rsid w:val="00101845"/>
    <w:rsid w:val="00101CB6"/>
    <w:rsid w:val="00102355"/>
    <w:rsid w:val="0010238C"/>
    <w:rsid w:val="00102510"/>
    <w:rsid w:val="00102585"/>
    <w:rsid w:val="001025F7"/>
    <w:rsid w:val="0010293D"/>
    <w:rsid w:val="001029A6"/>
    <w:rsid w:val="00102DC7"/>
    <w:rsid w:val="00103696"/>
    <w:rsid w:val="0010444F"/>
    <w:rsid w:val="001045E4"/>
    <w:rsid w:val="001046F1"/>
    <w:rsid w:val="001049F2"/>
    <w:rsid w:val="00104C57"/>
    <w:rsid w:val="001053C2"/>
    <w:rsid w:val="00105F4B"/>
    <w:rsid w:val="00106196"/>
    <w:rsid w:val="001064B4"/>
    <w:rsid w:val="0010678A"/>
    <w:rsid w:val="00106927"/>
    <w:rsid w:val="00106AB6"/>
    <w:rsid w:val="00106F6C"/>
    <w:rsid w:val="00111409"/>
    <w:rsid w:val="001116F5"/>
    <w:rsid w:val="00111797"/>
    <w:rsid w:val="001117F2"/>
    <w:rsid w:val="00111946"/>
    <w:rsid w:val="00111966"/>
    <w:rsid w:val="0011236D"/>
    <w:rsid w:val="00112B4A"/>
    <w:rsid w:val="00113540"/>
    <w:rsid w:val="00113D08"/>
    <w:rsid w:val="00113D3F"/>
    <w:rsid w:val="001140AD"/>
    <w:rsid w:val="00114774"/>
    <w:rsid w:val="0011496D"/>
    <w:rsid w:val="00115546"/>
    <w:rsid w:val="001157AB"/>
    <w:rsid w:val="00115D86"/>
    <w:rsid w:val="00115EFE"/>
    <w:rsid w:val="0011640B"/>
    <w:rsid w:val="0011674E"/>
    <w:rsid w:val="00116C28"/>
    <w:rsid w:val="00116F83"/>
    <w:rsid w:val="00117A3A"/>
    <w:rsid w:val="00120282"/>
    <w:rsid w:val="00120BCB"/>
    <w:rsid w:val="0012124B"/>
    <w:rsid w:val="00121B2B"/>
    <w:rsid w:val="00121B95"/>
    <w:rsid w:val="00121DF5"/>
    <w:rsid w:val="0012258D"/>
    <w:rsid w:val="00122DD3"/>
    <w:rsid w:val="00122EA1"/>
    <w:rsid w:val="00122FC9"/>
    <w:rsid w:val="00123468"/>
    <w:rsid w:val="00123772"/>
    <w:rsid w:val="00123AB5"/>
    <w:rsid w:val="00123C2C"/>
    <w:rsid w:val="00123FBF"/>
    <w:rsid w:val="0012446D"/>
    <w:rsid w:val="00124485"/>
    <w:rsid w:val="001247DB"/>
    <w:rsid w:val="0012509C"/>
    <w:rsid w:val="001251FF"/>
    <w:rsid w:val="00125420"/>
    <w:rsid w:val="001267F2"/>
    <w:rsid w:val="00127102"/>
    <w:rsid w:val="00127200"/>
    <w:rsid w:val="00127689"/>
    <w:rsid w:val="00127879"/>
    <w:rsid w:val="001301C7"/>
    <w:rsid w:val="0013069F"/>
    <w:rsid w:val="001309EA"/>
    <w:rsid w:val="00130FED"/>
    <w:rsid w:val="00131901"/>
    <w:rsid w:val="00131AEF"/>
    <w:rsid w:val="00131FFB"/>
    <w:rsid w:val="0013208F"/>
    <w:rsid w:val="001320D1"/>
    <w:rsid w:val="0013292B"/>
    <w:rsid w:val="001329B9"/>
    <w:rsid w:val="00132E56"/>
    <w:rsid w:val="00133191"/>
    <w:rsid w:val="00133208"/>
    <w:rsid w:val="00133B3C"/>
    <w:rsid w:val="00133B60"/>
    <w:rsid w:val="001344FC"/>
    <w:rsid w:val="001348D0"/>
    <w:rsid w:val="00134C18"/>
    <w:rsid w:val="00134C27"/>
    <w:rsid w:val="00134CFA"/>
    <w:rsid w:val="00134EB2"/>
    <w:rsid w:val="00135732"/>
    <w:rsid w:val="00135B58"/>
    <w:rsid w:val="00136E7C"/>
    <w:rsid w:val="00136F16"/>
    <w:rsid w:val="00137914"/>
    <w:rsid w:val="0014008F"/>
    <w:rsid w:val="001403AA"/>
    <w:rsid w:val="00140683"/>
    <w:rsid w:val="0014069F"/>
    <w:rsid w:val="001406FD"/>
    <w:rsid w:val="001409A7"/>
    <w:rsid w:val="001409BF"/>
    <w:rsid w:val="00140A61"/>
    <w:rsid w:val="00140B7A"/>
    <w:rsid w:val="00140C70"/>
    <w:rsid w:val="0014123A"/>
    <w:rsid w:val="00141966"/>
    <w:rsid w:val="00141D5D"/>
    <w:rsid w:val="00141E3A"/>
    <w:rsid w:val="0014202A"/>
    <w:rsid w:val="001421E7"/>
    <w:rsid w:val="00142219"/>
    <w:rsid w:val="00142901"/>
    <w:rsid w:val="00142B3F"/>
    <w:rsid w:val="00142E07"/>
    <w:rsid w:val="00142E68"/>
    <w:rsid w:val="0014306A"/>
    <w:rsid w:val="001437A7"/>
    <w:rsid w:val="001437DB"/>
    <w:rsid w:val="00143C47"/>
    <w:rsid w:val="00143C48"/>
    <w:rsid w:val="00143C68"/>
    <w:rsid w:val="00143EA5"/>
    <w:rsid w:val="001442FB"/>
    <w:rsid w:val="00144441"/>
    <w:rsid w:val="00144B21"/>
    <w:rsid w:val="00144B85"/>
    <w:rsid w:val="001459F8"/>
    <w:rsid w:val="00145E3A"/>
    <w:rsid w:val="00145E6D"/>
    <w:rsid w:val="0014600B"/>
    <w:rsid w:val="0014658C"/>
    <w:rsid w:val="00146710"/>
    <w:rsid w:val="0014685E"/>
    <w:rsid w:val="0014690F"/>
    <w:rsid w:val="00146989"/>
    <w:rsid w:val="001472A4"/>
    <w:rsid w:val="00151038"/>
    <w:rsid w:val="00151A7F"/>
    <w:rsid w:val="00151F2E"/>
    <w:rsid w:val="00151FBD"/>
    <w:rsid w:val="001527C1"/>
    <w:rsid w:val="00152861"/>
    <w:rsid w:val="001538A3"/>
    <w:rsid w:val="00153DAB"/>
    <w:rsid w:val="001542CE"/>
    <w:rsid w:val="00155293"/>
    <w:rsid w:val="00155322"/>
    <w:rsid w:val="00155667"/>
    <w:rsid w:val="00155C36"/>
    <w:rsid w:val="00155FC6"/>
    <w:rsid w:val="00156AD4"/>
    <w:rsid w:val="00157E52"/>
    <w:rsid w:val="001600C8"/>
    <w:rsid w:val="001601B3"/>
    <w:rsid w:val="00160D73"/>
    <w:rsid w:val="0016205A"/>
    <w:rsid w:val="00162300"/>
    <w:rsid w:val="001623CE"/>
    <w:rsid w:val="00162541"/>
    <w:rsid w:val="001639C4"/>
    <w:rsid w:val="00163D3F"/>
    <w:rsid w:val="00164893"/>
    <w:rsid w:val="00164EDC"/>
    <w:rsid w:val="001655A3"/>
    <w:rsid w:val="00165E5B"/>
    <w:rsid w:val="0016657C"/>
    <w:rsid w:val="00166666"/>
    <w:rsid w:val="00166ED3"/>
    <w:rsid w:val="001675B1"/>
    <w:rsid w:val="00167A32"/>
    <w:rsid w:val="00167F63"/>
    <w:rsid w:val="00170071"/>
    <w:rsid w:val="001701AF"/>
    <w:rsid w:val="00170484"/>
    <w:rsid w:val="00170535"/>
    <w:rsid w:val="00170CF8"/>
    <w:rsid w:val="00171326"/>
    <w:rsid w:val="00171A81"/>
    <w:rsid w:val="001722A2"/>
    <w:rsid w:val="001724E6"/>
    <w:rsid w:val="00172514"/>
    <w:rsid w:val="0017265B"/>
    <w:rsid w:val="00172FEC"/>
    <w:rsid w:val="00174A2B"/>
    <w:rsid w:val="00174CAE"/>
    <w:rsid w:val="0017537A"/>
    <w:rsid w:val="001755A3"/>
    <w:rsid w:val="00175C51"/>
    <w:rsid w:val="00175F61"/>
    <w:rsid w:val="0017601A"/>
    <w:rsid w:val="0017609D"/>
    <w:rsid w:val="0017610F"/>
    <w:rsid w:val="00177050"/>
    <w:rsid w:val="00177761"/>
    <w:rsid w:val="00177857"/>
    <w:rsid w:val="00177F61"/>
    <w:rsid w:val="00180195"/>
    <w:rsid w:val="001801E3"/>
    <w:rsid w:val="00180461"/>
    <w:rsid w:val="00180BD9"/>
    <w:rsid w:val="00181190"/>
    <w:rsid w:val="00181DE7"/>
    <w:rsid w:val="00182D40"/>
    <w:rsid w:val="00182E08"/>
    <w:rsid w:val="00182EE9"/>
    <w:rsid w:val="0018342A"/>
    <w:rsid w:val="00183553"/>
    <w:rsid w:val="00183A6E"/>
    <w:rsid w:val="00183AA1"/>
    <w:rsid w:val="001844D0"/>
    <w:rsid w:val="00184660"/>
    <w:rsid w:val="001846BA"/>
    <w:rsid w:val="00184741"/>
    <w:rsid w:val="001855BB"/>
    <w:rsid w:val="00185C87"/>
    <w:rsid w:val="00185CA1"/>
    <w:rsid w:val="001861A7"/>
    <w:rsid w:val="001861EF"/>
    <w:rsid w:val="001867B8"/>
    <w:rsid w:val="00186B44"/>
    <w:rsid w:val="00187B3D"/>
    <w:rsid w:val="00187F1D"/>
    <w:rsid w:val="00190010"/>
    <w:rsid w:val="001900E5"/>
    <w:rsid w:val="0019028F"/>
    <w:rsid w:val="001907E8"/>
    <w:rsid w:val="00191065"/>
    <w:rsid w:val="00191DE6"/>
    <w:rsid w:val="00192400"/>
    <w:rsid w:val="0019378D"/>
    <w:rsid w:val="00193A41"/>
    <w:rsid w:val="001940CC"/>
    <w:rsid w:val="00194424"/>
    <w:rsid w:val="0019501F"/>
    <w:rsid w:val="00195B3D"/>
    <w:rsid w:val="00195EE2"/>
    <w:rsid w:val="00196648"/>
    <w:rsid w:val="0019679B"/>
    <w:rsid w:val="001970B8"/>
    <w:rsid w:val="00197451"/>
    <w:rsid w:val="001974F4"/>
    <w:rsid w:val="001976DF"/>
    <w:rsid w:val="001979F5"/>
    <w:rsid w:val="00197C2B"/>
    <w:rsid w:val="001A022D"/>
    <w:rsid w:val="001A040D"/>
    <w:rsid w:val="001A1700"/>
    <w:rsid w:val="001A1705"/>
    <w:rsid w:val="001A1B7D"/>
    <w:rsid w:val="001A2827"/>
    <w:rsid w:val="001A2850"/>
    <w:rsid w:val="001A2F26"/>
    <w:rsid w:val="001A32D2"/>
    <w:rsid w:val="001A394A"/>
    <w:rsid w:val="001A3FC7"/>
    <w:rsid w:val="001A4A1E"/>
    <w:rsid w:val="001A504B"/>
    <w:rsid w:val="001A5437"/>
    <w:rsid w:val="001A60BC"/>
    <w:rsid w:val="001A657E"/>
    <w:rsid w:val="001A7133"/>
    <w:rsid w:val="001A7519"/>
    <w:rsid w:val="001B0287"/>
    <w:rsid w:val="001B0400"/>
    <w:rsid w:val="001B07E8"/>
    <w:rsid w:val="001B08C8"/>
    <w:rsid w:val="001B0A5F"/>
    <w:rsid w:val="001B12B3"/>
    <w:rsid w:val="001B1532"/>
    <w:rsid w:val="001B156A"/>
    <w:rsid w:val="001B15E2"/>
    <w:rsid w:val="001B1621"/>
    <w:rsid w:val="001B1665"/>
    <w:rsid w:val="001B18C3"/>
    <w:rsid w:val="001B2591"/>
    <w:rsid w:val="001B2724"/>
    <w:rsid w:val="001B296B"/>
    <w:rsid w:val="001B3077"/>
    <w:rsid w:val="001B32C4"/>
    <w:rsid w:val="001B37E3"/>
    <w:rsid w:val="001B3A92"/>
    <w:rsid w:val="001B42CF"/>
    <w:rsid w:val="001B4551"/>
    <w:rsid w:val="001B4C52"/>
    <w:rsid w:val="001B4CA5"/>
    <w:rsid w:val="001B4F25"/>
    <w:rsid w:val="001B51D4"/>
    <w:rsid w:val="001B5962"/>
    <w:rsid w:val="001B5C46"/>
    <w:rsid w:val="001B709E"/>
    <w:rsid w:val="001B7600"/>
    <w:rsid w:val="001B7A8A"/>
    <w:rsid w:val="001B7ADE"/>
    <w:rsid w:val="001B7F6B"/>
    <w:rsid w:val="001B7FAA"/>
    <w:rsid w:val="001C03EC"/>
    <w:rsid w:val="001C0798"/>
    <w:rsid w:val="001C0E0C"/>
    <w:rsid w:val="001C16EC"/>
    <w:rsid w:val="001C1BF2"/>
    <w:rsid w:val="001C1CEF"/>
    <w:rsid w:val="001C1F0F"/>
    <w:rsid w:val="001C2569"/>
    <w:rsid w:val="001C2706"/>
    <w:rsid w:val="001C2F08"/>
    <w:rsid w:val="001C371D"/>
    <w:rsid w:val="001C392F"/>
    <w:rsid w:val="001C3B66"/>
    <w:rsid w:val="001C3FC6"/>
    <w:rsid w:val="001C43F9"/>
    <w:rsid w:val="001C515C"/>
    <w:rsid w:val="001C5EA1"/>
    <w:rsid w:val="001C63CB"/>
    <w:rsid w:val="001C65FC"/>
    <w:rsid w:val="001C6637"/>
    <w:rsid w:val="001C6CD0"/>
    <w:rsid w:val="001C6D65"/>
    <w:rsid w:val="001D006C"/>
    <w:rsid w:val="001D02B6"/>
    <w:rsid w:val="001D052F"/>
    <w:rsid w:val="001D08ED"/>
    <w:rsid w:val="001D0C48"/>
    <w:rsid w:val="001D10E6"/>
    <w:rsid w:val="001D11C3"/>
    <w:rsid w:val="001D11C5"/>
    <w:rsid w:val="001D12E4"/>
    <w:rsid w:val="001D151E"/>
    <w:rsid w:val="001D152C"/>
    <w:rsid w:val="001D167A"/>
    <w:rsid w:val="001D1E44"/>
    <w:rsid w:val="001D3925"/>
    <w:rsid w:val="001D4111"/>
    <w:rsid w:val="001D4235"/>
    <w:rsid w:val="001D4307"/>
    <w:rsid w:val="001D4A24"/>
    <w:rsid w:val="001D4BC1"/>
    <w:rsid w:val="001D5866"/>
    <w:rsid w:val="001D605D"/>
    <w:rsid w:val="001D67FD"/>
    <w:rsid w:val="001D6FAE"/>
    <w:rsid w:val="001D741C"/>
    <w:rsid w:val="001D7D69"/>
    <w:rsid w:val="001E0669"/>
    <w:rsid w:val="001E0B04"/>
    <w:rsid w:val="001E115B"/>
    <w:rsid w:val="001E12A8"/>
    <w:rsid w:val="001E1824"/>
    <w:rsid w:val="001E1832"/>
    <w:rsid w:val="001E19EB"/>
    <w:rsid w:val="001E1B30"/>
    <w:rsid w:val="001E2042"/>
    <w:rsid w:val="001E373B"/>
    <w:rsid w:val="001E4157"/>
    <w:rsid w:val="001E45D9"/>
    <w:rsid w:val="001E4733"/>
    <w:rsid w:val="001E4905"/>
    <w:rsid w:val="001E49AB"/>
    <w:rsid w:val="001E4B0B"/>
    <w:rsid w:val="001E4B2C"/>
    <w:rsid w:val="001E58DE"/>
    <w:rsid w:val="001E5CBA"/>
    <w:rsid w:val="001E5D85"/>
    <w:rsid w:val="001E6754"/>
    <w:rsid w:val="001E679A"/>
    <w:rsid w:val="001E68EF"/>
    <w:rsid w:val="001E7499"/>
    <w:rsid w:val="001E7AC9"/>
    <w:rsid w:val="001F0336"/>
    <w:rsid w:val="001F0C8E"/>
    <w:rsid w:val="001F10F7"/>
    <w:rsid w:val="001F239A"/>
    <w:rsid w:val="001F2CFE"/>
    <w:rsid w:val="001F3253"/>
    <w:rsid w:val="001F36DC"/>
    <w:rsid w:val="001F388C"/>
    <w:rsid w:val="001F3A24"/>
    <w:rsid w:val="001F3F62"/>
    <w:rsid w:val="001F42BD"/>
    <w:rsid w:val="001F4AC2"/>
    <w:rsid w:val="001F504E"/>
    <w:rsid w:val="001F5509"/>
    <w:rsid w:val="001F55A1"/>
    <w:rsid w:val="001F5A6D"/>
    <w:rsid w:val="001F5A72"/>
    <w:rsid w:val="001F5E8E"/>
    <w:rsid w:val="001F61A4"/>
    <w:rsid w:val="001F6978"/>
    <w:rsid w:val="001F69A1"/>
    <w:rsid w:val="001F6AF8"/>
    <w:rsid w:val="001F6C09"/>
    <w:rsid w:val="001F6CCF"/>
    <w:rsid w:val="001F7354"/>
    <w:rsid w:val="001F79A6"/>
    <w:rsid w:val="001F7A61"/>
    <w:rsid w:val="00200308"/>
    <w:rsid w:val="00200443"/>
    <w:rsid w:val="00200867"/>
    <w:rsid w:val="00200ECF"/>
    <w:rsid w:val="00201064"/>
    <w:rsid w:val="0020147C"/>
    <w:rsid w:val="0020150A"/>
    <w:rsid w:val="0020179E"/>
    <w:rsid w:val="00201AC4"/>
    <w:rsid w:val="002021E7"/>
    <w:rsid w:val="00202688"/>
    <w:rsid w:val="002028BE"/>
    <w:rsid w:val="00202C8B"/>
    <w:rsid w:val="00202E5F"/>
    <w:rsid w:val="00203795"/>
    <w:rsid w:val="002038AA"/>
    <w:rsid w:val="00203B2C"/>
    <w:rsid w:val="00204216"/>
    <w:rsid w:val="002046F4"/>
    <w:rsid w:val="00204811"/>
    <w:rsid w:val="00204CF5"/>
    <w:rsid w:val="00204DB1"/>
    <w:rsid w:val="002054A7"/>
    <w:rsid w:val="00205ACA"/>
    <w:rsid w:val="00205D23"/>
    <w:rsid w:val="00206023"/>
    <w:rsid w:val="00206515"/>
    <w:rsid w:val="002065A4"/>
    <w:rsid w:val="002065E5"/>
    <w:rsid w:val="00206837"/>
    <w:rsid w:val="00206911"/>
    <w:rsid w:val="00206A07"/>
    <w:rsid w:val="00206EAF"/>
    <w:rsid w:val="00207070"/>
    <w:rsid w:val="00207284"/>
    <w:rsid w:val="00210261"/>
    <w:rsid w:val="00210439"/>
    <w:rsid w:val="002108B3"/>
    <w:rsid w:val="00210A9D"/>
    <w:rsid w:val="00210EB4"/>
    <w:rsid w:val="00211F2E"/>
    <w:rsid w:val="00212112"/>
    <w:rsid w:val="00212243"/>
    <w:rsid w:val="00212EEE"/>
    <w:rsid w:val="002144BD"/>
    <w:rsid w:val="00214CC1"/>
    <w:rsid w:val="00215256"/>
    <w:rsid w:val="002154B6"/>
    <w:rsid w:val="002154BD"/>
    <w:rsid w:val="00215562"/>
    <w:rsid w:val="00215715"/>
    <w:rsid w:val="002160BA"/>
    <w:rsid w:val="002165D8"/>
    <w:rsid w:val="0021666A"/>
    <w:rsid w:val="00216E27"/>
    <w:rsid w:val="00216E7F"/>
    <w:rsid w:val="00217257"/>
    <w:rsid w:val="002179F2"/>
    <w:rsid w:val="00217A4E"/>
    <w:rsid w:val="00217B72"/>
    <w:rsid w:val="00220637"/>
    <w:rsid w:val="00220723"/>
    <w:rsid w:val="00220EED"/>
    <w:rsid w:val="0022109F"/>
    <w:rsid w:val="002219FC"/>
    <w:rsid w:val="00222C7C"/>
    <w:rsid w:val="00222D1A"/>
    <w:rsid w:val="0022318A"/>
    <w:rsid w:val="0022391D"/>
    <w:rsid w:val="0022394B"/>
    <w:rsid w:val="00223B1E"/>
    <w:rsid w:val="0022409B"/>
    <w:rsid w:val="0022468C"/>
    <w:rsid w:val="002246E3"/>
    <w:rsid w:val="00224EA5"/>
    <w:rsid w:val="002250A2"/>
    <w:rsid w:val="00225F78"/>
    <w:rsid w:val="002265F4"/>
    <w:rsid w:val="00227A17"/>
    <w:rsid w:val="00227FD0"/>
    <w:rsid w:val="0023000B"/>
    <w:rsid w:val="00230565"/>
    <w:rsid w:val="00230CC1"/>
    <w:rsid w:val="00230E1A"/>
    <w:rsid w:val="00231924"/>
    <w:rsid w:val="00232F66"/>
    <w:rsid w:val="00233041"/>
    <w:rsid w:val="002331CB"/>
    <w:rsid w:val="0023365A"/>
    <w:rsid w:val="00233816"/>
    <w:rsid w:val="00233BA2"/>
    <w:rsid w:val="00233D25"/>
    <w:rsid w:val="00233F0A"/>
    <w:rsid w:val="00234046"/>
    <w:rsid w:val="0023437D"/>
    <w:rsid w:val="00234492"/>
    <w:rsid w:val="0023480A"/>
    <w:rsid w:val="002359BB"/>
    <w:rsid w:val="00235B31"/>
    <w:rsid w:val="00236D56"/>
    <w:rsid w:val="00237420"/>
    <w:rsid w:val="0023753D"/>
    <w:rsid w:val="0023753F"/>
    <w:rsid w:val="002375FD"/>
    <w:rsid w:val="00237600"/>
    <w:rsid w:val="002378C0"/>
    <w:rsid w:val="002378E0"/>
    <w:rsid w:val="0023798D"/>
    <w:rsid w:val="00237AC6"/>
    <w:rsid w:val="00240136"/>
    <w:rsid w:val="00240277"/>
    <w:rsid w:val="00240294"/>
    <w:rsid w:val="002402B6"/>
    <w:rsid w:val="00240522"/>
    <w:rsid w:val="0024089F"/>
    <w:rsid w:val="00240FFC"/>
    <w:rsid w:val="0024141E"/>
    <w:rsid w:val="00241641"/>
    <w:rsid w:val="002418BA"/>
    <w:rsid w:val="00241CF9"/>
    <w:rsid w:val="00241F5A"/>
    <w:rsid w:val="00242399"/>
    <w:rsid w:val="002424F8"/>
    <w:rsid w:val="002425C2"/>
    <w:rsid w:val="00242C8C"/>
    <w:rsid w:val="00242E9C"/>
    <w:rsid w:val="00243153"/>
    <w:rsid w:val="0024330C"/>
    <w:rsid w:val="00243CE1"/>
    <w:rsid w:val="0024401D"/>
    <w:rsid w:val="0024448F"/>
    <w:rsid w:val="00244FA0"/>
    <w:rsid w:val="002456D2"/>
    <w:rsid w:val="0024573D"/>
    <w:rsid w:val="00245B13"/>
    <w:rsid w:val="00245B4A"/>
    <w:rsid w:val="00245C4E"/>
    <w:rsid w:val="00245D36"/>
    <w:rsid w:val="002462F5"/>
    <w:rsid w:val="00246467"/>
    <w:rsid w:val="00246A6B"/>
    <w:rsid w:val="00246F02"/>
    <w:rsid w:val="00247292"/>
    <w:rsid w:val="00247C28"/>
    <w:rsid w:val="00247E30"/>
    <w:rsid w:val="00247E88"/>
    <w:rsid w:val="002504A3"/>
    <w:rsid w:val="002508CE"/>
    <w:rsid w:val="00250B12"/>
    <w:rsid w:val="00250EE0"/>
    <w:rsid w:val="0025110B"/>
    <w:rsid w:val="0025166D"/>
    <w:rsid w:val="00251817"/>
    <w:rsid w:val="00251CAE"/>
    <w:rsid w:val="00251F0B"/>
    <w:rsid w:val="0025243F"/>
    <w:rsid w:val="00252ECC"/>
    <w:rsid w:val="00253008"/>
    <w:rsid w:val="0025381B"/>
    <w:rsid w:val="00253C23"/>
    <w:rsid w:val="002540BE"/>
    <w:rsid w:val="00254698"/>
    <w:rsid w:val="00254948"/>
    <w:rsid w:val="00254BB9"/>
    <w:rsid w:val="00254E43"/>
    <w:rsid w:val="002551C1"/>
    <w:rsid w:val="00255397"/>
    <w:rsid w:val="002554CE"/>
    <w:rsid w:val="002557AD"/>
    <w:rsid w:val="0025584A"/>
    <w:rsid w:val="00255950"/>
    <w:rsid w:val="00255EA5"/>
    <w:rsid w:val="00255F7D"/>
    <w:rsid w:val="0025633F"/>
    <w:rsid w:val="00256B38"/>
    <w:rsid w:val="00256E0A"/>
    <w:rsid w:val="00257441"/>
    <w:rsid w:val="002574E8"/>
    <w:rsid w:val="00260B83"/>
    <w:rsid w:val="00260CED"/>
    <w:rsid w:val="00261214"/>
    <w:rsid w:val="00261345"/>
    <w:rsid w:val="00262145"/>
    <w:rsid w:val="00262680"/>
    <w:rsid w:val="00262BD1"/>
    <w:rsid w:val="00262BEA"/>
    <w:rsid w:val="00262F6C"/>
    <w:rsid w:val="00262FF8"/>
    <w:rsid w:val="00263183"/>
    <w:rsid w:val="00263430"/>
    <w:rsid w:val="00263A33"/>
    <w:rsid w:val="002645C4"/>
    <w:rsid w:val="00264A64"/>
    <w:rsid w:val="00264BEF"/>
    <w:rsid w:val="00264CB9"/>
    <w:rsid w:val="002658F6"/>
    <w:rsid w:val="002659F2"/>
    <w:rsid w:val="00265EA7"/>
    <w:rsid w:val="0026628C"/>
    <w:rsid w:val="00266858"/>
    <w:rsid w:val="00266923"/>
    <w:rsid w:val="00266B0E"/>
    <w:rsid w:val="00266DC2"/>
    <w:rsid w:val="0026706C"/>
    <w:rsid w:val="00267C08"/>
    <w:rsid w:val="00270AEF"/>
    <w:rsid w:val="00270F35"/>
    <w:rsid w:val="00270F3F"/>
    <w:rsid w:val="0027103D"/>
    <w:rsid w:val="002711B5"/>
    <w:rsid w:val="00271294"/>
    <w:rsid w:val="002716E5"/>
    <w:rsid w:val="002717DC"/>
    <w:rsid w:val="002726B0"/>
    <w:rsid w:val="00273222"/>
    <w:rsid w:val="00274C9D"/>
    <w:rsid w:val="00275CB1"/>
    <w:rsid w:val="00276B75"/>
    <w:rsid w:val="002776CE"/>
    <w:rsid w:val="0028018D"/>
    <w:rsid w:val="00280A03"/>
    <w:rsid w:val="00280D65"/>
    <w:rsid w:val="0028187A"/>
    <w:rsid w:val="00281C4D"/>
    <w:rsid w:val="0028205E"/>
    <w:rsid w:val="00282120"/>
    <w:rsid w:val="002827B0"/>
    <w:rsid w:val="00282B9A"/>
    <w:rsid w:val="00282EF8"/>
    <w:rsid w:val="00283A57"/>
    <w:rsid w:val="00283AD7"/>
    <w:rsid w:val="00283E11"/>
    <w:rsid w:val="0028427F"/>
    <w:rsid w:val="00284410"/>
    <w:rsid w:val="00284495"/>
    <w:rsid w:val="00284557"/>
    <w:rsid w:val="00285158"/>
    <w:rsid w:val="00285553"/>
    <w:rsid w:val="002857E8"/>
    <w:rsid w:val="002860C8"/>
    <w:rsid w:val="00286646"/>
    <w:rsid w:val="002867AF"/>
    <w:rsid w:val="002869D2"/>
    <w:rsid w:val="00286F27"/>
    <w:rsid w:val="00286F3D"/>
    <w:rsid w:val="002870FA"/>
    <w:rsid w:val="0028741F"/>
    <w:rsid w:val="002878FF"/>
    <w:rsid w:val="00287DBC"/>
    <w:rsid w:val="00287E39"/>
    <w:rsid w:val="00287FA5"/>
    <w:rsid w:val="002904C2"/>
    <w:rsid w:val="00290590"/>
    <w:rsid w:val="002907FE"/>
    <w:rsid w:val="00290C6D"/>
    <w:rsid w:val="002910E9"/>
    <w:rsid w:val="00291257"/>
    <w:rsid w:val="00291290"/>
    <w:rsid w:val="002912BB"/>
    <w:rsid w:val="00291E84"/>
    <w:rsid w:val="002924ED"/>
    <w:rsid w:val="0029264B"/>
    <w:rsid w:val="002926A3"/>
    <w:rsid w:val="00292868"/>
    <w:rsid w:val="00292C9F"/>
    <w:rsid w:val="00292CBA"/>
    <w:rsid w:val="00292CF2"/>
    <w:rsid w:val="00293664"/>
    <w:rsid w:val="00294316"/>
    <w:rsid w:val="00294C70"/>
    <w:rsid w:val="00295361"/>
    <w:rsid w:val="00295A07"/>
    <w:rsid w:val="0029631E"/>
    <w:rsid w:val="00296D16"/>
    <w:rsid w:val="00296F1F"/>
    <w:rsid w:val="002973CE"/>
    <w:rsid w:val="002975F0"/>
    <w:rsid w:val="002A00A4"/>
    <w:rsid w:val="002A02D7"/>
    <w:rsid w:val="002A0882"/>
    <w:rsid w:val="002A092D"/>
    <w:rsid w:val="002A1156"/>
    <w:rsid w:val="002A12FA"/>
    <w:rsid w:val="002A1845"/>
    <w:rsid w:val="002A19AC"/>
    <w:rsid w:val="002A1E56"/>
    <w:rsid w:val="002A2BAF"/>
    <w:rsid w:val="002A31B3"/>
    <w:rsid w:val="002A33CE"/>
    <w:rsid w:val="002A34FD"/>
    <w:rsid w:val="002A3679"/>
    <w:rsid w:val="002A3A20"/>
    <w:rsid w:val="002A43B7"/>
    <w:rsid w:val="002A4544"/>
    <w:rsid w:val="002A481F"/>
    <w:rsid w:val="002A4B4C"/>
    <w:rsid w:val="002A572F"/>
    <w:rsid w:val="002A6594"/>
    <w:rsid w:val="002A65A6"/>
    <w:rsid w:val="002A65EE"/>
    <w:rsid w:val="002A67AB"/>
    <w:rsid w:val="002A694F"/>
    <w:rsid w:val="002A698F"/>
    <w:rsid w:val="002A6E6F"/>
    <w:rsid w:val="002A6F1D"/>
    <w:rsid w:val="002A71DB"/>
    <w:rsid w:val="002A7902"/>
    <w:rsid w:val="002B00AF"/>
    <w:rsid w:val="002B016E"/>
    <w:rsid w:val="002B04D8"/>
    <w:rsid w:val="002B077D"/>
    <w:rsid w:val="002B0F88"/>
    <w:rsid w:val="002B12D2"/>
    <w:rsid w:val="002B26A2"/>
    <w:rsid w:val="002B35BE"/>
    <w:rsid w:val="002B35CA"/>
    <w:rsid w:val="002B362B"/>
    <w:rsid w:val="002B368C"/>
    <w:rsid w:val="002B3A08"/>
    <w:rsid w:val="002B3D00"/>
    <w:rsid w:val="002B46BC"/>
    <w:rsid w:val="002B47DE"/>
    <w:rsid w:val="002B52FB"/>
    <w:rsid w:val="002B5DE2"/>
    <w:rsid w:val="002B5F92"/>
    <w:rsid w:val="002B6389"/>
    <w:rsid w:val="002B639D"/>
    <w:rsid w:val="002B735B"/>
    <w:rsid w:val="002B7847"/>
    <w:rsid w:val="002B7884"/>
    <w:rsid w:val="002C04C4"/>
    <w:rsid w:val="002C074C"/>
    <w:rsid w:val="002C0774"/>
    <w:rsid w:val="002C1978"/>
    <w:rsid w:val="002C1B69"/>
    <w:rsid w:val="002C1D83"/>
    <w:rsid w:val="002C255D"/>
    <w:rsid w:val="002C2945"/>
    <w:rsid w:val="002C2F03"/>
    <w:rsid w:val="002C382F"/>
    <w:rsid w:val="002C3DB2"/>
    <w:rsid w:val="002C3F27"/>
    <w:rsid w:val="002C4A04"/>
    <w:rsid w:val="002C4A91"/>
    <w:rsid w:val="002C4EAA"/>
    <w:rsid w:val="002C5279"/>
    <w:rsid w:val="002C57DB"/>
    <w:rsid w:val="002C5ECE"/>
    <w:rsid w:val="002C66A4"/>
    <w:rsid w:val="002C695C"/>
    <w:rsid w:val="002C6C43"/>
    <w:rsid w:val="002C6D70"/>
    <w:rsid w:val="002C6FD8"/>
    <w:rsid w:val="002C745C"/>
    <w:rsid w:val="002C75B1"/>
    <w:rsid w:val="002C75B4"/>
    <w:rsid w:val="002D042E"/>
    <w:rsid w:val="002D136C"/>
    <w:rsid w:val="002D1882"/>
    <w:rsid w:val="002D1AAA"/>
    <w:rsid w:val="002D1BBD"/>
    <w:rsid w:val="002D2D6A"/>
    <w:rsid w:val="002D2FCF"/>
    <w:rsid w:val="002D3271"/>
    <w:rsid w:val="002D3343"/>
    <w:rsid w:val="002D336A"/>
    <w:rsid w:val="002D3648"/>
    <w:rsid w:val="002D3953"/>
    <w:rsid w:val="002D39DD"/>
    <w:rsid w:val="002D3E80"/>
    <w:rsid w:val="002D419F"/>
    <w:rsid w:val="002D461D"/>
    <w:rsid w:val="002D479D"/>
    <w:rsid w:val="002D48A5"/>
    <w:rsid w:val="002D502C"/>
    <w:rsid w:val="002D56CE"/>
    <w:rsid w:val="002D5838"/>
    <w:rsid w:val="002D5B4D"/>
    <w:rsid w:val="002D636A"/>
    <w:rsid w:val="002D680E"/>
    <w:rsid w:val="002D6A26"/>
    <w:rsid w:val="002D6B41"/>
    <w:rsid w:val="002D6C14"/>
    <w:rsid w:val="002D703D"/>
    <w:rsid w:val="002D7532"/>
    <w:rsid w:val="002E0209"/>
    <w:rsid w:val="002E0651"/>
    <w:rsid w:val="002E074A"/>
    <w:rsid w:val="002E0889"/>
    <w:rsid w:val="002E0C80"/>
    <w:rsid w:val="002E0E6A"/>
    <w:rsid w:val="002E0FAE"/>
    <w:rsid w:val="002E1611"/>
    <w:rsid w:val="002E18BB"/>
    <w:rsid w:val="002E1922"/>
    <w:rsid w:val="002E1A96"/>
    <w:rsid w:val="002E20D6"/>
    <w:rsid w:val="002E2A12"/>
    <w:rsid w:val="002E3058"/>
    <w:rsid w:val="002E3C5D"/>
    <w:rsid w:val="002E41C8"/>
    <w:rsid w:val="002E47F0"/>
    <w:rsid w:val="002E4900"/>
    <w:rsid w:val="002E49D5"/>
    <w:rsid w:val="002E4BB3"/>
    <w:rsid w:val="002E4DDE"/>
    <w:rsid w:val="002E58B9"/>
    <w:rsid w:val="002E58D0"/>
    <w:rsid w:val="002E5CE5"/>
    <w:rsid w:val="002E634D"/>
    <w:rsid w:val="002E7071"/>
    <w:rsid w:val="002E7166"/>
    <w:rsid w:val="002E71D0"/>
    <w:rsid w:val="002F07D4"/>
    <w:rsid w:val="002F0D32"/>
    <w:rsid w:val="002F14E7"/>
    <w:rsid w:val="002F15CE"/>
    <w:rsid w:val="002F1F70"/>
    <w:rsid w:val="002F2C42"/>
    <w:rsid w:val="002F36FE"/>
    <w:rsid w:val="002F3979"/>
    <w:rsid w:val="002F3CB3"/>
    <w:rsid w:val="002F3CE3"/>
    <w:rsid w:val="002F3D41"/>
    <w:rsid w:val="002F4B12"/>
    <w:rsid w:val="002F4D3B"/>
    <w:rsid w:val="002F5268"/>
    <w:rsid w:val="002F53BA"/>
    <w:rsid w:val="002F58B0"/>
    <w:rsid w:val="002F5EB5"/>
    <w:rsid w:val="002F620B"/>
    <w:rsid w:val="002F6395"/>
    <w:rsid w:val="002F644B"/>
    <w:rsid w:val="002F681C"/>
    <w:rsid w:val="002F6A0C"/>
    <w:rsid w:val="002F6F71"/>
    <w:rsid w:val="002F71B9"/>
    <w:rsid w:val="002F7756"/>
    <w:rsid w:val="002F785A"/>
    <w:rsid w:val="002F788C"/>
    <w:rsid w:val="002F79F8"/>
    <w:rsid w:val="002F7AF8"/>
    <w:rsid w:val="00300146"/>
    <w:rsid w:val="0030073C"/>
    <w:rsid w:val="00300B2E"/>
    <w:rsid w:val="00300BE1"/>
    <w:rsid w:val="00300D79"/>
    <w:rsid w:val="00300EE0"/>
    <w:rsid w:val="003012C6"/>
    <w:rsid w:val="0030157A"/>
    <w:rsid w:val="00301D28"/>
    <w:rsid w:val="00302210"/>
    <w:rsid w:val="00302A44"/>
    <w:rsid w:val="00302CED"/>
    <w:rsid w:val="00303B96"/>
    <w:rsid w:val="0030464A"/>
    <w:rsid w:val="00305608"/>
    <w:rsid w:val="00305986"/>
    <w:rsid w:val="00305D05"/>
    <w:rsid w:val="00306498"/>
    <w:rsid w:val="003067C8"/>
    <w:rsid w:val="00306986"/>
    <w:rsid w:val="00306EF6"/>
    <w:rsid w:val="00307489"/>
    <w:rsid w:val="003103D6"/>
    <w:rsid w:val="00310B0A"/>
    <w:rsid w:val="00310E08"/>
    <w:rsid w:val="0031154C"/>
    <w:rsid w:val="00311722"/>
    <w:rsid w:val="003119EE"/>
    <w:rsid w:val="00311B2A"/>
    <w:rsid w:val="00311C97"/>
    <w:rsid w:val="003120AC"/>
    <w:rsid w:val="0031277F"/>
    <w:rsid w:val="0031284C"/>
    <w:rsid w:val="00312914"/>
    <w:rsid w:val="00312EEA"/>
    <w:rsid w:val="003134CD"/>
    <w:rsid w:val="00313AFF"/>
    <w:rsid w:val="00313E9F"/>
    <w:rsid w:val="0031441C"/>
    <w:rsid w:val="003145E2"/>
    <w:rsid w:val="00314C3A"/>
    <w:rsid w:val="00314E6C"/>
    <w:rsid w:val="00314F2A"/>
    <w:rsid w:val="00315126"/>
    <w:rsid w:val="003152FA"/>
    <w:rsid w:val="00316100"/>
    <w:rsid w:val="00316818"/>
    <w:rsid w:val="00316AB5"/>
    <w:rsid w:val="00316D72"/>
    <w:rsid w:val="00320940"/>
    <w:rsid w:val="003209BE"/>
    <w:rsid w:val="00320A94"/>
    <w:rsid w:val="00320BD3"/>
    <w:rsid w:val="00320C2A"/>
    <w:rsid w:val="003211A3"/>
    <w:rsid w:val="003214CF"/>
    <w:rsid w:val="00321684"/>
    <w:rsid w:val="00322872"/>
    <w:rsid w:val="003228F1"/>
    <w:rsid w:val="00322A99"/>
    <w:rsid w:val="00323A0A"/>
    <w:rsid w:val="00323AB0"/>
    <w:rsid w:val="00323B36"/>
    <w:rsid w:val="003242F8"/>
    <w:rsid w:val="0032466D"/>
    <w:rsid w:val="00324910"/>
    <w:rsid w:val="0032505F"/>
    <w:rsid w:val="00325F83"/>
    <w:rsid w:val="003267A5"/>
    <w:rsid w:val="00326B81"/>
    <w:rsid w:val="00327062"/>
    <w:rsid w:val="003271A9"/>
    <w:rsid w:val="003271C1"/>
    <w:rsid w:val="00327756"/>
    <w:rsid w:val="003306ED"/>
    <w:rsid w:val="00331598"/>
    <w:rsid w:val="00331CF7"/>
    <w:rsid w:val="0033218E"/>
    <w:rsid w:val="0033235F"/>
    <w:rsid w:val="0033237D"/>
    <w:rsid w:val="003324D5"/>
    <w:rsid w:val="003325C4"/>
    <w:rsid w:val="0033260F"/>
    <w:rsid w:val="00332AC5"/>
    <w:rsid w:val="00332B7C"/>
    <w:rsid w:val="00332EA0"/>
    <w:rsid w:val="00332F54"/>
    <w:rsid w:val="00333464"/>
    <w:rsid w:val="0033354C"/>
    <w:rsid w:val="00333865"/>
    <w:rsid w:val="0033420B"/>
    <w:rsid w:val="0033491B"/>
    <w:rsid w:val="003354E9"/>
    <w:rsid w:val="00335C08"/>
    <w:rsid w:val="00335DB8"/>
    <w:rsid w:val="00335E1C"/>
    <w:rsid w:val="00335E38"/>
    <w:rsid w:val="00336371"/>
    <w:rsid w:val="00336526"/>
    <w:rsid w:val="003366F0"/>
    <w:rsid w:val="00336E0B"/>
    <w:rsid w:val="00337ABE"/>
    <w:rsid w:val="00337E74"/>
    <w:rsid w:val="00340A06"/>
    <w:rsid w:val="003411DE"/>
    <w:rsid w:val="0034176D"/>
    <w:rsid w:val="00341D3B"/>
    <w:rsid w:val="003420D2"/>
    <w:rsid w:val="003426CA"/>
    <w:rsid w:val="00342C5D"/>
    <w:rsid w:val="00342E44"/>
    <w:rsid w:val="003434F8"/>
    <w:rsid w:val="00343943"/>
    <w:rsid w:val="003442B0"/>
    <w:rsid w:val="00344435"/>
    <w:rsid w:val="003446AE"/>
    <w:rsid w:val="003449AB"/>
    <w:rsid w:val="003450A7"/>
    <w:rsid w:val="00345192"/>
    <w:rsid w:val="00345382"/>
    <w:rsid w:val="003454C4"/>
    <w:rsid w:val="00346124"/>
    <w:rsid w:val="0034615D"/>
    <w:rsid w:val="003466AF"/>
    <w:rsid w:val="00346770"/>
    <w:rsid w:val="00346D60"/>
    <w:rsid w:val="00346DE8"/>
    <w:rsid w:val="003474E5"/>
    <w:rsid w:val="003503C9"/>
    <w:rsid w:val="003505CC"/>
    <w:rsid w:val="0035075D"/>
    <w:rsid w:val="00350911"/>
    <w:rsid w:val="00350929"/>
    <w:rsid w:val="00350B9A"/>
    <w:rsid w:val="0035107F"/>
    <w:rsid w:val="00351463"/>
    <w:rsid w:val="00351479"/>
    <w:rsid w:val="00352248"/>
    <w:rsid w:val="00352499"/>
    <w:rsid w:val="00352647"/>
    <w:rsid w:val="00352B43"/>
    <w:rsid w:val="00353498"/>
    <w:rsid w:val="0035354D"/>
    <w:rsid w:val="00353ED8"/>
    <w:rsid w:val="00354126"/>
    <w:rsid w:val="00354D89"/>
    <w:rsid w:val="0035517F"/>
    <w:rsid w:val="003553E6"/>
    <w:rsid w:val="00355BC2"/>
    <w:rsid w:val="00355CB4"/>
    <w:rsid w:val="0035640E"/>
    <w:rsid w:val="00357162"/>
    <w:rsid w:val="003571C0"/>
    <w:rsid w:val="0035763B"/>
    <w:rsid w:val="00357C2C"/>
    <w:rsid w:val="00357C2D"/>
    <w:rsid w:val="003601DD"/>
    <w:rsid w:val="00360A8C"/>
    <w:rsid w:val="00361FEE"/>
    <w:rsid w:val="00362CC1"/>
    <w:rsid w:val="00362DE3"/>
    <w:rsid w:val="00363001"/>
    <w:rsid w:val="00363015"/>
    <w:rsid w:val="003638AA"/>
    <w:rsid w:val="00363F78"/>
    <w:rsid w:val="00364210"/>
    <w:rsid w:val="0036437B"/>
    <w:rsid w:val="00364502"/>
    <w:rsid w:val="0036466B"/>
    <w:rsid w:val="00364B09"/>
    <w:rsid w:val="00364B32"/>
    <w:rsid w:val="00364E46"/>
    <w:rsid w:val="00365029"/>
    <w:rsid w:val="0036562A"/>
    <w:rsid w:val="00365C66"/>
    <w:rsid w:val="00365CD8"/>
    <w:rsid w:val="00365D9F"/>
    <w:rsid w:val="003661DD"/>
    <w:rsid w:val="00366A85"/>
    <w:rsid w:val="00366D4A"/>
    <w:rsid w:val="00366DB7"/>
    <w:rsid w:val="003675AB"/>
    <w:rsid w:val="00367D40"/>
    <w:rsid w:val="00367EE6"/>
    <w:rsid w:val="00370083"/>
    <w:rsid w:val="003702A1"/>
    <w:rsid w:val="00371088"/>
    <w:rsid w:val="003714E8"/>
    <w:rsid w:val="00371E9B"/>
    <w:rsid w:val="00372165"/>
    <w:rsid w:val="00372B64"/>
    <w:rsid w:val="00372B66"/>
    <w:rsid w:val="00372DF3"/>
    <w:rsid w:val="00372DF4"/>
    <w:rsid w:val="00373A02"/>
    <w:rsid w:val="003741EB"/>
    <w:rsid w:val="00374AB2"/>
    <w:rsid w:val="00374E9B"/>
    <w:rsid w:val="003756E1"/>
    <w:rsid w:val="003762A4"/>
    <w:rsid w:val="003766E6"/>
    <w:rsid w:val="00376A2E"/>
    <w:rsid w:val="00376BC6"/>
    <w:rsid w:val="00376CA3"/>
    <w:rsid w:val="003772C0"/>
    <w:rsid w:val="00380674"/>
    <w:rsid w:val="00380B17"/>
    <w:rsid w:val="00380BC4"/>
    <w:rsid w:val="00380EFE"/>
    <w:rsid w:val="00380FFE"/>
    <w:rsid w:val="00381B78"/>
    <w:rsid w:val="003822FB"/>
    <w:rsid w:val="003825EF"/>
    <w:rsid w:val="00383352"/>
    <w:rsid w:val="00383367"/>
    <w:rsid w:val="00383D62"/>
    <w:rsid w:val="00383F32"/>
    <w:rsid w:val="003842D6"/>
    <w:rsid w:val="003843D8"/>
    <w:rsid w:val="003848D5"/>
    <w:rsid w:val="00384E7E"/>
    <w:rsid w:val="00385CA1"/>
    <w:rsid w:val="00385E29"/>
    <w:rsid w:val="00385F95"/>
    <w:rsid w:val="003861C1"/>
    <w:rsid w:val="00386377"/>
    <w:rsid w:val="00386661"/>
    <w:rsid w:val="003868F3"/>
    <w:rsid w:val="00390092"/>
    <w:rsid w:val="0039071A"/>
    <w:rsid w:val="003911CA"/>
    <w:rsid w:val="00391621"/>
    <w:rsid w:val="003916E0"/>
    <w:rsid w:val="0039180F"/>
    <w:rsid w:val="00391DD7"/>
    <w:rsid w:val="00391E4C"/>
    <w:rsid w:val="00391EA1"/>
    <w:rsid w:val="003920A8"/>
    <w:rsid w:val="00392853"/>
    <w:rsid w:val="003931CC"/>
    <w:rsid w:val="003936B9"/>
    <w:rsid w:val="003941D7"/>
    <w:rsid w:val="003945D9"/>
    <w:rsid w:val="00394826"/>
    <w:rsid w:val="00394D59"/>
    <w:rsid w:val="0039512F"/>
    <w:rsid w:val="003955F3"/>
    <w:rsid w:val="00395BB7"/>
    <w:rsid w:val="003961E1"/>
    <w:rsid w:val="00396ABC"/>
    <w:rsid w:val="0039708B"/>
    <w:rsid w:val="003970AF"/>
    <w:rsid w:val="00397240"/>
    <w:rsid w:val="00397391"/>
    <w:rsid w:val="00397FC6"/>
    <w:rsid w:val="003A0B84"/>
    <w:rsid w:val="003A0CE7"/>
    <w:rsid w:val="003A1020"/>
    <w:rsid w:val="003A1689"/>
    <w:rsid w:val="003A1CB4"/>
    <w:rsid w:val="003A1E22"/>
    <w:rsid w:val="003A2A99"/>
    <w:rsid w:val="003A2BCE"/>
    <w:rsid w:val="003A2CBF"/>
    <w:rsid w:val="003A2E95"/>
    <w:rsid w:val="003A31D9"/>
    <w:rsid w:val="003A367B"/>
    <w:rsid w:val="003A3900"/>
    <w:rsid w:val="003A3E83"/>
    <w:rsid w:val="003A3FAB"/>
    <w:rsid w:val="003A5761"/>
    <w:rsid w:val="003A5EF8"/>
    <w:rsid w:val="003A610B"/>
    <w:rsid w:val="003A6121"/>
    <w:rsid w:val="003A6751"/>
    <w:rsid w:val="003A6D0E"/>
    <w:rsid w:val="003A70D0"/>
    <w:rsid w:val="003A7119"/>
    <w:rsid w:val="003A7582"/>
    <w:rsid w:val="003A7642"/>
    <w:rsid w:val="003B0065"/>
    <w:rsid w:val="003B0D2D"/>
    <w:rsid w:val="003B1DEA"/>
    <w:rsid w:val="003B23CB"/>
    <w:rsid w:val="003B249F"/>
    <w:rsid w:val="003B3126"/>
    <w:rsid w:val="003B3CDF"/>
    <w:rsid w:val="003B3FE6"/>
    <w:rsid w:val="003B440A"/>
    <w:rsid w:val="003B44D7"/>
    <w:rsid w:val="003B4527"/>
    <w:rsid w:val="003B46AA"/>
    <w:rsid w:val="003B4820"/>
    <w:rsid w:val="003B4CAF"/>
    <w:rsid w:val="003B5262"/>
    <w:rsid w:val="003B5308"/>
    <w:rsid w:val="003B5503"/>
    <w:rsid w:val="003B5581"/>
    <w:rsid w:val="003B56A7"/>
    <w:rsid w:val="003B5E27"/>
    <w:rsid w:val="003B6406"/>
    <w:rsid w:val="003B6514"/>
    <w:rsid w:val="003B665E"/>
    <w:rsid w:val="003B677B"/>
    <w:rsid w:val="003B6B34"/>
    <w:rsid w:val="003B737C"/>
    <w:rsid w:val="003B763E"/>
    <w:rsid w:val="003B7D81"/>
    <w:rsid w:val="003B7E96"/>
    <w:rsid w:val="003B7EE7"/>
    <w:rsid w:val="003C037B"/>
    <w:rsid w:val="003C0515"/>
    <w:rsid w:val="003C0D17"/>
    <w:rsid w:val="003C11A6"/>
    <w:rsid w:val="003C199A"/>
    <w:rsid w:val="003C2BEE"/>
    <w:rsid w:val="003C30F9"/>
    <w:rsid w:val="003C365A"/>
    <w:rsid w:val="003C369E"/>
    <w:rsid w:val="003C41DE"/>
    <w:rsid w:val="003C4DA7"/>
    <w:rsid w:val="003C5992"/>
    <w:rsid w:val="003C6031"/>
    <w:rsid w:val="003C6202"/>
    <w:rsid w:val="003C6A36"/>
    <w:rsid w:val="003C6D13"/>
    <w:rsid w:val="003C70BF"/>
    <w:rsid w:val="003C7204"/>
    <w:rsid w:val="003D0570"/>
    <w:rsid w:val="003D0641"/>
    <w:rsid w:val="003D07B4"/>
    <w:rsid w:val="003D0A1C"/>
    <w:rsid w:val="003D0C03"/>
    <w:rsid w:val="003D103E"/>
    <w:rsid w:val="003D213A"/>
    <w:rsid w:val="003D298A"/>
    <w:rsid w:val="003D2CA1"/>
    <w:rsid w:val="003D33EA"/>
    <w:rsid w:val="003D35E1"/>
    <w:rsid w:val="003D3EC0"/>
    <w:rsid w:val="003D4474"/>
    <w:rsid w:val="003D46DF"/>
    <w:rsid w:val="003D489F"/>
    <w:rsid w:val="003D4E0E"/>
    <w:rsid w:val="003D5A84"/>
    <w:rsid w:val="003D6D8A"/>
    <w:rsid w:val="003D76EE"/>
    <w:rsid w:val="003E054C"/>
    <w:rsid w:val="003E0605"/>
    <w:rsid w:val="003E08CC"/>
    <w:rsid w:val="003E0907"/>
    <w:rsid w:val="003E0BA6"/>
    <w:rsid w:val="003E0E31"/>
    <w:rsid w:val="003E0F82"/>
    <w:rsid w:val="003E10C3"/>
    <w:rsid w:val="003E1145"/>
    <w:rsid w:val="003E118B"/>
    <w:rsid w:val="003E1BD9"/>
    <w:rsid w:val="003E1F34"/>
    <w:rsid w:val="003E25AC"/>
    <w:rsid w:val="003E2DB1"/>
    <w:rsid w:val="003E38FD"/>
    <w:rsid w:val="003E3BA5"/>
    <w:rsid w:val="003E3C39"/>
    <w:rsid w:val="003E4720"/>
    <w:rsid w:val="003E4BED"/>
    <w:rsid w:val="003E4DBB"/>
    <w:rsid w:val="003E5177"/>
    <w:rsid w:val="003E5301"/>
    <w:rsid w:val="003E64C5"/>
    <w:rsid w:val="003E6A01"/>
    <w:rsid w:val="003E6D2E"/>
    <w:rsid w:val="003E6E08"/>
    <w:rsid w:val="003E73D3"/>
    <w:rsid w:val="003E7FDB"/>
    <w:rsid w:val="003F014D"/>
    <w:rsid w:val="003F0488"/>
    <w:rsid w:val="003F07EA"/>
    <w:rsid w:val="003F092A"/>
    <w:rsid w:val="003F09A0"/>
    <w:rsid w:val="003F1366"/>
    <w:rsid w:val="003F1DDB"/>
    <w:rsid w:val="003F1E12"/>
    <w:rsid w:val="003F2702"/>
    <w:rsid w:val="003F2CDC"/>
    <w:rsid w:val="003F32E3"/>
    <w:rsid w:val="003F3329"/>
    <w:rsid w:val="003F3365"/>
    <w:rsid w:val="003F35F8"/>
    <w:rsid w:val="003F3AB3"/>
    <w:rsid w:val="003F46D5"/>
    <w:rsid w:val="003F4BA3"/>
    <w:rsid w:val="003F514A"/>
    <w:rsid w:val="003F5250"/>
    <w:rsid w:val="003F5530"/>
    <w:rsid w:val="003F58B9"/>
    <w:rsid w:val="003F59C0"/>
    <w:rsid w:val="003F5AAC"/>
    <w:rsid w:val="003F5B23"/>
    <w:rsid w:val="003F5C19"/>
    <w:rsid w:val="003F5D07"/>
    <w:rsid w:val="003F5E5C"/>
    <w:rsid w:val="003F63FF"/>
    <w:rsid w:val="003F6522"/>
    <w:rsid w:val="003F6917"/>
    <w:rsid w:val="003F71DC"/>
    <w:rsid w:val="003F798F"/>
    <w:rsid w:val="003F7AD3"/>
    <w:rsid w:val="0040019C"/>
    <w:rsid w:val="00400384"/>
    <w:rsid w:val="0040044D"/>
    <w:rsid w:val="00400769"/>
    <w:rsid w:val="00400874"/>
    <w:rsid w:val="00400DD9"/>
    <w:rsid w:val="004014D5"/>
    <w:rsid w:val="004015E3"/>
    <w:rsid w:val="00401841"/>
    <w:rsid w:val="00401B96"/>
    <w:rsid w:val="004020D6"/>
    <w:rsid w:val="00402373"/>
    <w:rsid w:val="00402FBA"/>
    <w:rsid w:val="004035E3"/>
    <w:rsid w:val="00403C6A"/>
    <w:rsid w:val="004040B9"/>
    <w:rsid w:val="0040412B"/>
    <w:rsid w:val="0040437F"/>
    <w:rsid w:val="0040445B"/>
    <w:rsid w:val="00404B61"/>
    <w:rsid w:val="00404C5B"/>
    <w:rsid w:val="00404F0B"/>
    <w:rsid w:val="00405982"/>
    <w:rsid w:val="00405C49"/>
    <w:rsid w:val="004066F7"/>
    <w:rsid w:val="00406AD5"/>
    <w:rsid w:val="00406C43"/>
    <w:rsid w:val="00406CE9"/>
    <w:rsid w:val="00406D99"/>
    <w:rsid w:val="00406FD8"/>
    <w:rsid w:val="004102C9"/>
    <w:rsid w:val="004105E4"/>
    <w:rsid w:val="00410643"/>
    <w:rsid w:val="00410820"/>
    <w:rsid w:val="004111DC"/>
    <w:rsid w:val="004128A9"/>
    <w:rsid w:val="00412E4C"/>
    <w:rsid w:val="00413808"/>
    <w:rsid w:val="004138F7"/>
    <w:rsid w:val="00413CBF"/>
    <w:rsid w:val="00413D43"/>
    <w:rsid w:val="0041412C"/>
    <w:rsid w:val="004151DA"/>
    <w:rsid w:val="004151FA"/>
    <w:rsid w:val="00415BDB"/>
    <w:rsid w:val="00416E0E"/>
    <w:rsid w:val="004174E8"/>
    <w:rsid w:val="004175B7"/>
    <w:rsid w:val="00417BC5"/>
    <w:rsid w:val="00420398"/>
    <w:rsid w:val="00420B88"/>
    <w:rsid w:val="00420D50"/>
    <w:rsid w:val="00421A17"/>
    <w:rsid w:val="00421C18"/>
    <w:rsid w:val="00421E5F"/>
    <w:rsid w:val="004222DC"/>
    <w:rsid w:val="0042241C"/>
    <w:rsid w:val="004227E5"/>
    <w:rsid w:val="00423330"/>
    <w:rsid w:val="004239C6"/>
    <w:rsid w:val="00424982"/>
    <w:rsid w:val="00425D82"/>
    <w:rsid w:val="00425F8F"/>
    <w:rsid w:val="00426080"/>
    <w:rsid w:val="0042654D"/>
    <w:rsid w:val="00426A50"/>
    <w:rsid w:val="00426AA6"/>
    <w:rsid w:val="00426CEC"/>
    <w:rsid w:val="00426DAE"/>
    <w:rsid w:val="00427089"/>
    <w:rsid w:val="00427223"/>
    <w:rsid w:val="00427530"/>
    <w:rsid w:val="00430319"/>
    <w:rsid w:val="00430AA0"/>
    <w:rsid w:val="00431A6F"/>
    <w:rsid w:val="00431AAC"/>
    <w:rsid w:val="00432C07"/>
    <w:rsid w:val="00432D33"/>
    <w:rsid w:val="00433008"/>
    <w:rsid w:val="00433664"/>
    <w:rsid w:val="004339C8"/>
    <w:rsid w:val="00433D3E"/>
    <w:rsid w:val="0043492D"/>
    <w:rsid w:val="004357B9"/>
    <w:rsid w:val="00435A81"/>
    <w:rsid w:val="0043637B"/>
    <w:rsid w:val="00436BFC"/>
    <w:rsid w:val="00436F67"/>
    <w:rsid w:val="00437ACF"/>
    <w:rsid w:val="00437B32"/>
    <w:rsid w:val="00440911"/>
    <w:rsid w:val="0044141A"/>
    <w:rsid w:val="004414EA"/>
    <w:rsid w:val="00441931"/>
    <w:rsid w:val="00441C30"/>
    <w:rsid w:val="00441F02"/>
    <w:rsid w:val="00441F0C"/>
    <w:rsid w:val="00441F3B"/>
    <w:rsid w:val="00442374"/>
    <w:rsid w:val="004426F7"/>
    <w:rsid w:val="00442C76"/>
    <w:rsid w:val="00442FD7"/>
    <w:rsid w:val="00442FF3"/>
    <w:rsid w:val="004436C4"/>
    <w:rsid w:val="00444D6A"/>
    <w:rsid w:val="00444F9A"/>
    <w:rsid w:val="00445116"/>
    <w:rsid w:val="00445131"/>
    <w:rsid w:val="0044522F"/>
    <w:rsid w:val="00445384"/>
    <w:rsid w:val="004456E5"/>
    <w:rsid w:val="004462F4"/>
    <w:rsid w:val="004464DD"/>
    <w:rsid w:val="00446712"/>
    <w:rsid w:val="00446849"/>
    <w:rsid w:val="00446D47"/>
    <w:rsid w:val="00446E9F"/>
    <w:rsid w:val="004470AC"/>
    <w:rsid w:val="0045032D"/>
    <w:rsid w:val="004503D5"/>
    <w:rsid w:val="00450D34"/>
    <w:rsid w:val="0045116B"/>
    <w:rsid w:val="004514A6"/>
    <w:rsid w:val="00451A2D"/>
    <w:rsid w:val="00451EF7"/>
    <w:rsid w:val="0045257A"/>
    <w:rsid w:val="00452A69"/>
    <w:rsid w:val="00452AB5"/>
    <w:rsid w:val="00452BC4"/>
    <w:rsid w:val="00453B99"/>
    <w:rsid w:val="00453BAC"/>
    <w:rsid w:val="004544AA"/>
    <w:rsid w:val="0045458E"/>
    <w:rsid w:val="00454634"/>
    <w:rsid w:val="00454804"/>
    <w:rsid w:val="0045486F"/>
    <w:rsid w:val="00454EFE"/>
    <w:rsid w:val="00456422"/>
    <w:rsid w:val="00456E02"/>
    <w:rsid w:val="004570E7"/>
    <w:rsid w:val="00457E09"/>
    <w:rsid w:val="0046067C"/>
    <w:rsid w:val="004609C4"/>
    <w:rsid w:val="00460F3F"/>
    <w:rsid w:val="00461B47"/>
    <w:rsid w:val="00461B4B"/>
    <w:rsid w:val="00461D43"/>
    <w:rsid w:val="00461E14"/>
    <w:rsid w:val="00461FD0"/>
    <w:rsid w:val="004621BC"/>
    <w:rsid w:val="00464108"/>
    <w:rsid w:val="00464302"/>
    <w:rsid w:val="00464812"/>
    <w:rsid w:val="00465029"/>
    <w:rsid w:val="00465440"/>
    <w:rsid w:val="004656B8"/>
    <w:rsid w:val="00465EF9"/>
    <w:rsid w:val="00465F5A"/>
    <w:rsid w:val="004663A9"/>
    <w:rsid w:val="00466685"/>
    <w:rsid w:val="00466A72"/>
    <w:rsid w:val="00466F9D"/>
    <w:rsid w:val="00467427"/>
    <w:rsid w:val="00467A8D"/>
    <w:rsid w:val="004700B4"/>
    <w:rsid w:val="00470DD6"/>
    <w:rsid w:val="00472204"/>
    <w:rsid w:val="00472B57"/>
    <w:rsid w:val="00472D04"/>
    <w:rsid w:val="00472D2B"/>
    <w:rsid w:val="00473207"/>
    <w:rsid w:val="0047333E"/>
    <w:rsid w:val="00473442"/>
    <w:rsid w:val="00473586"/>
    <w:rsid w:val="004735FC"/>
    <w:rsid w:val="00473D74"/>
    <w:rsid w:val="004742D3"/>
    <w:rsid w:val="00474921"/>
    <w:rsid w:val="004752A8"/>
    <w:rsid w:val="0047540B"/>
    <w:rsid w:val="00475756"/>
    <w:rsid w:val="00476343"/>
    <w:rsid w:val="004768FA"/>
    <w:rsid w:val="00476CFE"/>
    <w:rsid w:val="00480424"/>
    <w:rsid w:val="0048190D"/>
    <w:rsid w:val="004823D6"/>
    <w:rsid w:val="00482568"/>
    <w:rsid w:val="00482801"/>
    <w:rsid w:val="00482F8A"/>
    <w:rsid w:val="00483258"/>
    <w:rsid w:val="00483464"/>
    <w:rsid w:val="0048365D"/>
    <w:rsid w:val="004836E5"/>
    <w:rsid w:val="00483856"/>
    <w:rsid w:val="00483EC8"/>
    <w:rsid w:val="00484149"/>
    <w:rsid w:val="0048468D"/>
    <w:rsid w:val="0048497F"/>
    <w:rsid w:val="0048505C"/>
    <w:rsid w:val="004852A0"/>
    <w:rsid w:val="00485300"/>
    <w:rsid w:val="004855D4"/>
    <w:rsid w:val="00485932"/>
    <w:rsid w:val="00485B35"/>
    <w:rsid w:val="00486019"/>
    <w:rsid w:val="00486D08"/>
    <w:rsid w:val="0048740F"/>
    <w:rsid w:val="004877B3"/>
    <w:rsid w:val="00487C69"/>
    <w:rsid w:val="00490DDF"/>
    <w:rsid w:val="00491135"/>
    <w:rsid w:val="00491E4A"/>
    <w:rsid w:val="00492156"/>
    <w:rsid w:val="004922EB"/>
    <w:rsid w:val="0049273C"/>
    <w:rsid w:val="00492BDA"/>
    <w:rsid w:val="00492D16"/>
    <w:rsid w:val="00492DED"/>
    <w:rsid w:val="004933DC"/>
    <w:rsid w:val="00493C24"/>
    <w:rsid w:val="00493CA6"/>
    <w:rsid w:val="00493D49"/>
    <w:rsid w:val="00493E57"/>
    <w:rsid w:val="00494CF0"/>
    <w:rsid w:val="00494FDD"/>
    <w:rsid w:val="00495786"/>
    <w:rsid w:val="00495AC1"/>
    <w:rsid w:val="00495C83"/>
    <w:rsid w:val="00495F8D"/>
    <w:rsid w:val="0049604E"/>
    <w:rsid w:val="004962AD"/>
    <w:rsid w:val="004966FB"/>
    <w:rsid w:val="0049671A"/>
    <w:rsid w:val="00496B87"/>
    <w:rsid w:val="00496D71"/>
    <w:rsid w:val="00497165"/>
    <w:rsid w:val="00497F76"/>
    <w:rsid w:val="004A0AF5"/>
    <w:rsid w:val="004A0E13"/>
    <w:rsid w:val="004A1336"/>
    <w:rsid w:val="004A147F"/>
    <w:rsid w:val="004A1661"/>
    <w:rsid w:val="004A171D"/>
    <w:rsid w:val="004A1ED8"/>
    <w:rsid w:val="004A2152"/>
    <w:rsid w:val="004A259A"/>
    <w:rsid w:val="004A30AF"/>
    <w:rsid w:val="004A3577"/>
    <w:rsid w:val="004A3715"/>
    <w:rsid w:val="004A3FD6"/>
    <w:rsid w:val="004A4222"/>
    <w:rsid w:val="004A482A"/>
    <w:rsid w:val="004A4E33"/>
    <w:rsid w:val="004A4F05"/>
    <w:rsid w:val="004A5065"/>
    <w:rsid w:val="004A5FB1"/>
    <w:rsid w:val="004A609E"/>
    <w:rsid w:val="004A631A"/>
    <w:rsid w:val="004A6972"/>
    <w:rsid w:val="004A6CE6"/>
    <w:rsid w:val="004A7371"/>
    <w:rsid w:val="004A74E2"/>
    <w:rsid w:val="004A7535"/>
    <w:rsid w:val="004A75A7"/>
    <w:rsid w:val="004B01DD"/>
    <w:rsid w:val="004B0862"/>
    <w:rsid w:val="004B0A53"/>
    <w:rsid w:val="004B0CEC"/>
    <w:rsid w:val="004B1927"/>
    <w:rsid w:val="004B1B5C"/>
    <w:rsid w:val="004B1CE6"/>
    <w:rsid w:val="004B1FF6"/>
    <w:rsid w:val="004B2285"/>
    <w:rsid w:val="004B2775"/>
    <w:rsid w:val="004B2B40"/>
    <w:rsid w:val="004B2EFD"/>
    <w:rsid w:val="004B36ED"/>
    <w:rsid w:val="004B3BE4"/>
    <w:rsid w:val="004B3CB0"/>
    <w:rsid w:val="004B455A"/>
    <w:rsid w:val="004B4DCC"/>
    <w:rsid w:val="004B4FEF"/>
    <w:rsid w:val="004B5550"/>
    <w:rsid w:val="004B567C"/>
    <w:rsid w:val="004B57F7"/>
    <w:rsid w:val="004B583B"/>
    <w:rsid w:val="004B5CA1"/>
    <w:rsid w:val="004B649F"/>
    <w:rsid w:val="004B69DF"/>
    <w:rsid w:val="004B6A69"/>
    <w:rsid w:val="004B6EBA"/>
    <w:rsid w:val="004B7196"/>
    <w:rsid w:val="004B73A9"/>
    <w:rsid w:val="004B78DA"/>
    <w:rsid w:val="004B7BEC"/>
    <w:rsid w:val="004B7E1F"/>
    <w:rsid w:val="004C049B"/>
    <w:rsid w:val="004C0626"/>
    <w:rsid w:val="004C0895"/>
    <w:rsid w:val="004C0D46"/>
    <w:rsid w:val="004C0D7F"/>
    <w:rsid w:val="004C0EDF"/>
    <w:rsid w:val="004C1D8B"/>
    <w:rsid w:val="004C1DA8"/>
    <w:rsid w:val="004C210B"/>
    <w:rsid w:val="004C21B8"/>
    <w:rsid w:val="004C22A4"/>
    <w:rsid w:val="004C238E"/>
    <w:rsid w:val="004C2551"/>
    <w:rsid w:val="004C25CF"/>
    <w:rsid w:val="004C2AAE"/>
    <w:rsid w:val="004C2EEA"/>
    <w:rsid w:val="004C326B"/>
    <w:rsid w:val="004C3395"/>
    <w:rsid w:val="004C4195"/>
    <w:rsid w:val="004C4C67"/>
    <w:rsid w:val="004C569F"/>
    <w:rsid w:val="004C6EEE"/>
    <w:rsid w:val="004C76A2"/>
    <w:rsid w:val="004C7C90"/>
    <w:rsid w:val="004C7CD8"/>
    <w:rsid w:val="004D039B"/>
    <w:rsid w:val="004D0820"/>
    <w:rsid w:val="004D0DA1"/>
    <w:rsid w:val="004D0F80"/>
    <w:rsid w:val="004D1560"/>
    <w:rsid w:val="004D195B"/>
    <w:rsid w:val="004D1E2C"/>
    <w:rsid w:val="004D221E"/>
    <w:rsid w:val="004D256D"/>
    <w:rsid w:val="004D2793"/>
    <w:rsid w:val="004D2CBC"/>
    <w:rsid w:val="004D2F12"/>
    <w:rsid w:val="004D303C"/>
    <w:rsid w:val="004D4225"/>
    <w:rsid w:val="004D445B"/>
    <w:rsid w:val="004D47A9"/>
    <w:rsid w:val="004D52EB"/>
    <w:rsid w:val="004D565F"/>
    <w:rsid w:val="004D5B19"/>
    <w:rsid w:val="004D5BC1"/>
    <w:rsid w:val="004D5F90"/>
    <w:rsid w:val="004D688C"/>
    <w:rsid w:val="004D6CF4"/>
    <w:rsid w:val="004D6D0C"/>
    <w:rsid w:val="004D7A55"/>
    <w:rsid w:val="004E0095"/>
    <w:rsid w:val="004E095F"/>
    <w:rsid w:val="004E0B7F"/>
    <w:rsid w:val="004E0DD0"/>
    <w:rsid w:val="004E0F30"/>
    <w:rsid w:val="004E10C1"/>
    <w:rsid w:val="004E110B"/>
    <w:rsid w:val="004E15C5"/>
    <w:rsid w:val="004E252A"/>
    <w:rsid w:val="004E28E1"/>
    <w:rsid w:val="004E3423"/>
    <w:rsid w:val="004E3823"/>
    <w:rsid w:val="004E387F"/>
    <w:rsid w:val="004E3C80"/>
    <w:rsid w:val="004E4122"/>
    <w:rsid w:val="004E4384"/>
    <w:rsid w:val="004E4440"/>
    <w:rsid w:val="004E5504"/>
    <w:rsid w:val="004E5A75"/>
    <w:rsid w:val="004E5E8E"/>
    <w:rsid w:val="004E6347"/>
    <w:rsid w:val="004E6357"/>
    <w:rsid w:val="004E649B"/>
    <w:rsid w:val="004E72B9"/>
    <w:rsid w:val="004E7ADA"/>
    <w:rsid w:val="004E7D13"/>
    <w:rsid w:val="004E7FAF"/>
    <w:rsid w:val="004F0171"/>
    <w:rsid w:val="004F03E0"/>
    <w:rsid w:val="004F08D9"/>
    <w:rsid w:val="004F0909"/>
    <w:rsid w:val="004F0DE3"/>
    <w:rsid w:val="004F0FCC"/>
    <w:rsid w:val="004F16F2"/>
    <w:rsid w:val="004F1D9F"/>
    <w:rsid w:val="004F2390"/>
    <w:rsid w:val="004F24B0"/>
    <w:rsid w:val="004F27D5"/>
    <w:rsid w:val="004F36AE"/>
    <w:rsid w:val="004F372E"/>
    <w:rsid w:val="004F3908"/>
    <w:rsid w:val="004F4492"/>
    <w:rsid w:val="004F45B3"/>
    <w:rsid w:val="004F50D0"/>
    <w:rsid w:val="004F5188"/>
    <w:rsid w:val="004F5827"/>
    <w:rsid w:val="004F5A80"/>
    <w:rsid w:val="004F5B61"/>
    <w:rsid w:val="004F606D"/>
    <w:rsid w:val="004F6C18"/>
    <w:rsid w:val="004F6C2D"/>
    <w:rsid w:val="004F6E2D"/>
    <w:rsid w:val="004F6E32"/>
    <w:rsid w:val="004F7461"/>
    <w:rsid w:val="004F79D3"/>
    <w:rsid w:val="004F7A80"/>
    <w:rsid w:val="0050020B"/>
    <w:rsid w:val="00500294"/>
    <w:rsid w:val="005002F3"/>
    <w:rsid w:val="00500548"/>
    <w:rsid w:val="005008EC"/>
    <w:rsid w:val="00500D4E"/>
    <w:rsid w:val="00500E47"/>
    <w:rsid w:val="00501493"/>
    <w:rsid w:val="0050191C"/>
    <w:rsid w:val="00502A4B"/>
    <w:rsid w:val="00502F64"/>
    <w:rsid w:val="005039F1"/>
    <w:rsid w:val="00503B82"/>
    <w:rsid w:val="00504ACB"/>
    <w:rsid w:val="00504C63"/>
    <w:rsid w:val="00504E9D"/>
    <w:rsid w:val="00505C75"/>
    <w:rsid w:val="00506745"/>
    <w:rsid w:val="0050693F"/>
    <w:rsid w:val="00506A0C"/>
    <w:rsid w:val="00506A72"/>
    <w:rsid w:val="00506C3E"/>
    <w:rsid w:val="00506EAB"/>
    <w:rsid w:val="00506F43"/>
    <w:rsid w:val="00506FD2"/>
    <w:rsid w:val="00507446"/>
    <w:rsid w:val="00507E80"/>
    <w:rsid w:val="00510236"/>
    <w:rsid w:val="00510A08"/>
    <w:rsid w:val="00510F70"/>
    <w:rsid w:val="00511047"/>
    <w:rsid w:val="00511156"/>
    <w:rsid w:val="00511C56"/>
    <w:rsid w:val="00511FA9"/>
    <w:rsid w:val="005124C9"/>
    <w:rsid w:val="00513134"/>
    <w:rsid w:val="00513BBF"/>
    <w:rsid w:val="00513CC1"/>
    <w:rsid w:val="00513DCA"/>
    <w:rsid w:val="005144DB"/>
    <w:rsid w:val="005145ED"/>
    <w:rsid w:val="00514E87"/>
    <w:rsid w:val="00514F08"/>
    <w:rsid w:val="00515F7A"/>
    <w:rsid w:val="0051636E"/>
    <w:rsid w:val="005168BE"/>
    <w:rsid w:val="00516AE1"/>
    <w:rsid w:val="00516C80"/>
    <w:rsid w:val="00516DA4"/>
    <w:rsid w:val="00517202"/>
    <w:rsid w:val="00517540"/>
    <w:rsid w:val="00520071"/>
    <w:rsid w:val="00520F15"/>
    <w:rsid w:val="00521296"/>
    <w:rsid w:val="00521583"/>
    <w:rsid w:val="00521B2F"/>
    <w:rsid w:val="00522077"/>
    <w:rsid w:val="00522AC0"/>
    <w:rsid w:val="00522AF6"/>
    <w:rsid w:val="00522FBD"/>
    <w:rsid w:val="00523195"/>
    <w:rsid w:val="00523230"/>
    <w:rsid w:val="0052344E"/>
    <w:rsid w:val="00523768"/>
    <w:rsid w:val="00523CEB"/>
    <w:rsid w:val="00524597"/>
    <w:rsid w:val="00524B1B"/>
    <w:rsid w:val="00525843"/>
    <w:rsid w:val="00525864"/>
    <w:rsid w:val="00525B8C"/>
    <w:rsid w:val="00525F80"/>
    <w:rsid w:val="005260D2"/>
    <w:rsid w:val="00526108"/>
    <w:rsid w:val="00530440"/>
    <w:rsid w:val="005304C4"/>
    <w:rsid w:val="00530800"/>
    <w:rsid w:val="00531B2B"/>
    <w:rsid w:val="00531F10"/>
    <w:rsid w:val="00532485"/>
    <w:rsid w:val="00532CE3"/>
    <w:rsid w:val="00533060"/>
    <w:rsid w:val="005333E1"/>
    <w:rsid w:val="005335C4"/>
    <w:rsid w:val="005336FE"/>
    <w:rsid w:val="005338BD"/>
    <w:rsid w:val="005343BC"/>
    <w:rsid w:val="00534B00"/>
    <w:rsid w:val="005358FA"/>
    <w:rsid w:val="00535F07"/>
    <w:rsid w:val="00536A9E"/>
    <w:rsid w:val="00536D6A"/>
    <w:rsid w:val="00536F35"/>
    <w:rsid w:val="0053732D"/>
    <w:rsid w:val="0053751E"/>
    <w:rsid w:val="005375D5"/>
    <w:rsid w:val="00537626"/>
    <w:rsid w:val="00537970"/>
    <w:rsid w:val="00537B7D"/>
    <w:rsid w:val="00537DC1"/>
    <w:rsid w:val="0054023C"/>
    <w:rsid w:val="005404B7"/>
    <w:rsid w:val="0054068E"/>
    <w:rsid w:val="00540E01"/>
    <w:rsid w:val="0054113D"/>
    <w:rsid w:val="00541423"/>
    <w:rsid w:val="005418F9"/>
    <w:rsid w:val="00541DE6"/>
    <w:rsid w:val="0054230B"/>
    <w:rsid w:val="00542B4C"/>
    <w:rsid w:val="00542CA3"/>
    <w:rsid w:val="005432B2"/>
    <w:rsid w:val="005437B3"/>
    <w:rsid w:val="005439FE"/>
    <w:rsid w:val="005445F1"/>
    <w:rsid w:val="00544BE5"/>
    <w:rsid w:val="0054571D"/>
    <w:rsid w:val="005459F7"/>
    <w:rsid w:val="00545BE6"/>
    <w:rsid w:val="00545E1F"/>
    <w:rsid w:val="00546973"/>
    <w:rsid w:val="00546D10"/>
    <w:rsid w:val="00546FCE"/>
    <w:rsid w:val="005471C7"/>
    <w:rsid w:val="00547348"/>
    <w:rsid w:val="00547D91"/>
    <w:rsid w:val="00550001"/>
    <w:rsid w:val="00551129"/>
    <w:rsid w:val="00551296"/>
    <w:rsid w:val="005514FB"/>
    <w:rsid w:val="00551983"/>
    <w:rsid w:val="00551B48"/>
    <w:rsid w:val="0055208D"/>
    <w:rsid w:val="00552D06"/>
    <w:rsid w:val="00553022"/>
    <w:rsid w:val="0055305D"/>
    <w:rsid w:val="00553082"/>
    <w:rsid w:val="005532A0"/>
    <w:rsid w:val="00553333"/>
    <w:rsid w:val="00553350"/>
    <w:rsid w:val="00553EF6"/>
    <w:rsid w:val="005541E9"/>
    <w:rsid w:val="00554B2B"/>
    <w:rsid w:val="00554E70"/>
    <w:rsid w:val="005550EF"/>
    <w:rsid w:val="0055598A"/>
    <w:rsid w:val="00555B2A"/>
    <w:rsid w:val="00555CEE"/>
    <w:rsid w:val="00555D4F"/>
    <w:rsid w:val="0055630A"/>
    <w:rsid w:val="005564BC"/>
    <w:rsid w:val="00556842"/>
    <w:rsid w:val="00556D65"/>
    <w:rsid w:val="00557955"/>
    <w:rsid w:val="00557979"/>
    <w:rsid w:val="00557D78"/>
    <w:rsid w:val="005603BC"/>
    <w:rsid w:val="005604D9"/>
    <w:rsid w:val="00560FAC"/>
    <w:rsid w:val="0056107B"/>
    <w:rsid w:val="005618F1"/>
    <w:rsid w:val="00561AFF"/>
    <w:rsid w:val="00563D9B"/>
    <w:rsid w:val="00563F93"/>
    <w:rsid w:val="005641F8"/>
    <w:rsid w:val="00564722"/>
    <w:rsid w:val="00564D7A"/>
    <w:rsid w:val="00565AA9"/>
    <w:rsid w:val="00565C3B"/>
    <w:rsid w:val="0056672B"/>
    <w:rsid w:val="00566888"/>
    <w:rsid w:val="0056719E"/>
    <w:rsid w:val="0056740B"/>
    <w:rsid w:val="00567C41"/>
    <w:rsid w:val="005700D8"/>
    <w:rsid w:val="005708CC"/>
    <w:rsid w:val="00570E6F"/>
    <w:rsid w:val="00570ED5"/>
    <w:rsid w:val="00571056"/>
    <w:rsid w:val="005710C7"/>
    <w:rsid w:val="00572F6F"/>
    <w:rsid w:val="005730DB"/>
    <w:rsid w:val="00574481"/>
    <w:rsid w:val="00574C1E"/>
    <w:rsid w:val="00574C42"/>
    <w:rsid w:val="00574E05"/>
    <w:rsid w:val="0057564D"/>
    <w:rsid w:val="0057565B"/>
    <w:rsid w:val="005756FC"/>
    <w:rsid w:val="0057590C"/>
    <w:rsid w:val="005763B0"/>
    <w:rsid w:val="0057657A"/>
    <w:rsid w:val="00576593"/>
    <w:rsid w:val="00576B63"/>
    <w:rsid w:val="005770C6"/>
    <w:rsid w:val="00577522"/>
    <w:rsid w:val="00577643"/>
    <w:rsid w:val="00580172"/>
    <w:rsid w:val="00580182"/>
    <w:rsid w:val="0058084F"/>
    <w:rsid w:val="00580DAC"/>
    <w:rsid w:val="005812E7"/>
    <w:rsid w:val="00582471"/>
    <w:rsid w:val="0058261A"/>
    <w:rsid w:val="00583293"/>
    <w:rsid w:val="005832B5"/>
    <w:rsid w:val="0058337B"/>
    <w:rsid w:val="005839BA"/>
    <w:rsid w:val="00583AD4"/>
    <w:rsid w:val="0058423F"/>
    <w:rsid w:val="005846CF"/>
    <w:rsid w:val="00584BFC"/>
    <w:rsid w:val="00584E44"/>
    <w:rsid w:val="005853E9"/>
    <w:rsid w:val="005853FB"/>
    <w:rsid w:val="005855C3"/>
    <w:rsid w:val="00585661"/>
    <w:rsid w:val="005857E4"/>
    <w:rsid w:val="005859CA"/>
    <w:rsid w:val="00585F75"/>
    <w:rsid w:val="005865F3"/>
    <w:rsid w:val="00586E76"/>
    <w:rsid w:val="00587085"/>
    <w:rsid w:val="0058721F"/>
    <w:rsid w:val="00587453"/>
    <w:rsid w:val="0058759D"/>
    <w:rsid w:val="00587671"/>
    <w:rsid w:val="00587EBE"/>
    <w:rsid w:val="00590297"/>
    <w:rsid w:val="005902AE"/>
    <w:rsid w:val="00590755"/>
    <w:rsid w:val="005917E6"/>
    <w:rsid w:val="00591848"/>
    <w:rsid w:val="00593653"/>
    <w:rsid w:val="00593655"/>
    <w:rsid w:val="00593CF2"/>
    <w:rsid w:val="00593DE5"/>
    <w:rsid w:val="00594ABB"/>
    <w:rsid w:val="00594D55"/>
    <w:rsid w:val="00594FF5"/>
    <w:rsid w:val="00595956"/>
    <w:rsid w:val="00595C88"/>
    <w:rsid w:val="00595ECD"/>
    <w:rsid w:val="00596FB9"/>
    <w:rsid w:val="00597359"/>
    <w:rsid w:val="005A047F"/>
    <w:rsid w:val="005A0671"/>
    <w:rsid w:val="005A083D"/>
    <w:rsid w:val="005A177A"/>
    <w:rsid w:val="005A2647"/>
    <w:rsid w:val="005A2991"/>
    <w:rsid w:val="005A3336"/>
    <w:rsid w:val="005A33E0"/>
    <w:rsid w:val="005A3B37"/>
    <w:rsid w:val="005A3B75"/>
    <w:rsid w:val="005A46FC"/>
    <w:rsid w:val="005A4B2C"/>
    <w:rsid w:val="005A4E64"/>
    <w:rsid w:val="005A51F2"/>
    <w:rsid w:val="005A553D"/>
    <w:rsid w:val="005A5970"/>
    <w:rsid w:val="005A6290"/>
    <w:rsid w:val="005A6334"/>
    <w:rsid w:val="005A779F"/>
    <w:rsid w:val="005A78F8"/>
    <w:rsid w:val="005A79DB"/>
    <w:rsid w:val="005B0865"/>
    <w:rsid w:val="005B0A0C"/>
    <w:rsid w:val="005B0C27"/>
    <w:rsid w:val="005B1945"/>
    <w:rsid w:val="005B1B44"/>
    <w:rsid w:val="005B1C7D"/>
    <w:rsid w:val="005B1E98"/>
    <w:rsid w:val="005B1FFC"/>
    <w:rsid w:val="005B325A"/>
    <w:rsid w:val="005B3F6E"/>
    <w:rsid w:val="005B4054"/>
    <w:rsid w:val="005B4F90"/>
    <w:rsid w:val="005B5860"/>
    <w:rsid w:val="005B5B5D"/>
    <w:rsid w:val="005B5B67"/>
    <w:rsid w:val="005B5C46"/>
    <w:rsid w:val="005B609C"/>
    <w:rsid w:val="005B6131"/>
    <w:rsid w:val="005B6386"/>
    <w:rsid w:val="005B65A5"/>
    <w:rsid w:val="005B6870"/>
    <w:rsid w:val="005B6B70"/>
    <w:rsid w:val="005B6E09"/>
    <w:rsid w:val="005B6EAD"/>
    <w:rsid w:val="005B74F3"/>
    <w:rsid w:val="005B79E5"/>
    <w:rsid w:val="005C0F7C"/>
    <w:rsid w:val="005C10D8"/>
    <w:rsid w:val="005C1461"/>
    <w:rsid w:val="005C1C2C"/>
    <w:rsid w:val="005C22CE"/>
    <w:rsid w:val="005C2684"/>
    <w:rsid w:val="005C2688"/>
    <w:rsid w:val="005C289E"/>
    <w:rsid w:val="005C2D58"/>
    <w:rsid w:val="005C3542"/>
    <w:rsid w:val="005C422A"/>
    <w:rsid w:val="005C43F8"/>
    <w:rsid w:val="005C4492"/>
    <w:rsid w:val="005C4710"/>
    <w:rsid w:val="005C4716"/>
    <w:rsid w:val="005C4912"/>
    <w:rsid w:val="005C4D17"/>
    <w:rsid w:val="005C4E5F"/>
    <w:rsid w:val="005C58FE"/>
    <w:rsid w:val="005C5C94"/>
    <w:rsid w:val="005C64B3"/>
    <w:rsid w:val="005C6713"/>
    <w:rsid w:val="005C6A3E"/>
    <w:rsid w:val="005D0DF1"/>
    <w:rsid w:val="005D0FBC"/>
    <w:rsid w:val="005D249B"/>
    <w:rsid w:val="005D29DA"/>
    <w:rsid w:val="005D2CE7"/>
    <w:rsid w:val="005D2F7D"/>
    <w:rsid w:val="005D3007"/>
    <w:rsid w:val="005D3A42"/>
    <w:rsid w:val="005D469F"/>
    <w:rsid w:val="005D4946"/>
    <w:rsid w:val="005D49C8"/>
    <w:rsid w:val="005D4E4E"/>
    <w:rsid w:val="005D5CE6"/>
    <w:rsid w:val="005D657F"/>
    <w:rsid w:val="005D694E"/>
    <w:rsid w:val="005D69AB"/>
    <w:rsid w:val="005D6B06"/>
    <w:rsid w:val="005D7132"/>
    <w:rsid w:val="005D7462"/>
    <w:rsid w:val="005D7D9E"/>
    <w:rsid w:val="005E0B62"/>
    <w:rsid w:val="005E0B7C"/>
    <w:rsid w:val="005E1C85"/>
    <w:rsid w:val="005E2271"/>
    <w:rsid w:val="005E2A02"/>
    <w:rsid w:val="005E2DFB"/>
    <w:rsid w:val="005E3265"/>
    <w:rsid w:val="005E3300"/>
    <w:rsid w:val="005E3544"/>
    <w:rsid w:val="005E38C1"/>
    <w:rsid w:val="005E3CA0"/>
    <w:rsid w:val="005E432B"/>
    <w:rsid w:val="005E447C"/>
    <w:rsid w:val="005E475B"/>
    <w:rsid w:val="005E5795"/>
    <w:rsid w:val="005E57D3"/>
    <w:rsid w:val="005E608F"/>
    <w:rsid w:val="005E62B0"/>
    <w:rsid w:val="005E6555"/>
    <w:rsid w:val="005E6C83"/>
    <w:rsid w:val="005E6D8D"/>
    <w:rsid w:val="005E70E4"/>
    <w:rsid w:val="005E76E9"/>
    <w:rsid w:val="005E777D"/>
    <w:rsid w:val="005E796F"/>
    <w:rsid w:val="005F07C4"/>
    <w:rsid w:val="005F085A"/>
    <w:rsid w:val="005F086D"/>
    <w:rsid w:val="005F0A3E"/>
    <w:rsid w:val="005F0A3F"/>
    <w:rsid w:val="005F0C81"/>
    <w:rsid w:val="005F0DC1"/>
    <w:rsid w:val="005F10DB"/>
    <w:rsid w:val="005F116D"/>
    <w:rsid w:val="005F1530"/>
    <w:rsid w:val="005F1A20"/>
    <w:rsid w:val="005F1B03"/>
    <w:rsid w:val="005F21D5"/>
    <w:rsid w:val="005F244A"/>
    <w:rsid w:val="005F391F"/>
    <w:rsid w:val="005F40AF"/>
    <w:rsid w:val="005F42C3"/>
    <w:rsid w:val="005F4561"/>
    <w:rsid w:val="005F4919"/>
    <w:rsid w:val="005F4B62"/>
    <w:rsid w:val="005F4BAE"/>
    <w:rsid w:val="005F4D7E"/>
    <w:rsid w:val="005F51A2"/>
    <w:rsid w:val="005F5402"/>
    <w:rsid w:val="005F5604"/>
    <w:rsid w:val="005F58D6"/>
    <w:rsid w:val="005F5A1B"/>
    <w:rsid w:val="005F5C4D"/>
    <w:rsid w:val="005F64F1"/>
    <w:rsid w:val="005F6523"/>
    <w:rsid w:val="005F6EDE"/>
    <w:rsid w:val="005F734B"/>
    <w:rsid w:val="005F7EEA"/>
    <w:rsid w:val="005F7FC5"/>
    <w:rsid w:val="00600B55"/>
    <w:rsid w:val="0060173A"/>
    <w:rsid w:val="00601807"/>
    <w:rsid w:val="00601A30"/>
    <w:rsid w:val="00601B48"/>
    <w:rsid w:val="006028FC"/>
    <w:rsid w:val="006028FD"/>
    <w:rsid w:val="00602E81"/>
    <w:rsid w:val="00603706"/>
    <w:rsid w:val="006037A8"/>
    <w:rsid w:val="00603C92"/>
    <w:rsid w:val="00603DA0"/>
    <w:rsid w:val="0060450B"/>
    <w:rsid w:val="0060491C"/>
    <w:rsid w:val="0060493B"/>
    <w:rsid w:val="006049CB"/>
    <w:rsid w:val="006050E6"/>
    <w:rsid w:val="0060533A"/>
    <w:rsid w:val="00606C2A"/>
    <w:rsid w:val="00606D70"/>
    <w:rsid w:val="00607350"/>
    <w:rsid w:val="0061030D"/>
    <w:rsid w:val="00610417"/>
    <w:rsid w:val="00610487"/>
    <w:rsid w:val="0061094A"/>
    <w:rsid w:val="00610A54"/>
    <w:rsid w:val="00610F45"/>
    <w:rsid w:val="00610F8F"/>
    <w:rsid w:val="00610FD9"/>
    <w:rsid w:val="00611452"/>
    <w:rsid w:val="00611984"/>
    <w:rsid w:val="00611F71"/>
    <w:rsid w:val="0061330D"/>
    <w:rsid w:val="00613351"/>
    <w:rsid w:val="00614266"/>
    <w:rsid w:val="006142AD"/>
    <w:rsid w:val="00614550"/>
    <w:rsid w:val="00615326"/>
    <w:rsid w:val="006166CB"/>
    <w:rsid w:val="0061672A"/>
    <w:rsid w:val="00616991"/>
    <w:rsid w:val="00616C00"/>
    <w:rsid w:val="00616DE0"/>
    <w:rsid w:val="006170F0"/>
    <w:rsid w:val="006174E5"/>
    <w:rsid w:val="0061763F"/>
    <w:rsid w:val="006203D3"/>
    <w:rsid w:val="00620595"/>
    <w:rsid w:val="0062111A"/>
    <w:rsid w:val="006212A2"/>
    <w:rsid w:val="00621661"/>
    <w:rsid w:val="00621C9C"/>
    <w:rsid w:val="006223CC"/>
    <w:rsid w:val="00622610"/>
    <w:rsid w:val="0062296B"/>
    <w:rsid w:val="00623C21"/>
    <w:rsid w:val="00624257"/>
    <w:rsid w:val="00624972"/>
    <w:rsid w:val="00624E21"/>
    <w:rsid w:val="00625055"/>
    <w:rsid w:val="006250D6"/>
    <w:rsid w:val="0062561A"/>
    <w:rsid w:val="0062579F"/>
    <w:rsid w:val="006257D1"/>
    <w:rsid w:val="00625994"/>
    <w:rsid w:val="00625AE2"/>
    <w:rsid w:val="00625C2D"/>
    <w:rsid w:val="00625CA4"/>
    <w:rsid w:val="00625E45"/>
    <w:rsid w:val="0062689B"/>
    <w:rsid w:val="00626B82"/>
    <w:rsid w:val="00626D2F"/>
    <w:rsid w:val="00626EF6"/>
    <w:rsid w:val="006275F4"/>
    <w:rsid w:val="006276FD"/>
    <w:rsid w:val="006277E2"/>
    <w:rsid w:val="00627CA8"/>
    <w:rsid w:val="00627E1A"/>
    <w:rsid w:val="00630369"/>
    <w:rsid w:val="0063062D"/>
    <w:rsid w:val="00630D40"/>
    <w:rsid w:val="00630D6C"/>
    <w:rsid w:val="00631133"/>
    <w:rsid w:val="006317EE"/>
    <w:rsid w:val="00632405"/>
    <w:rsid w:val="00632575"/>
    <w:rsid w:val="00632C1A"/>
    <w:rsid w:val="00632D2F"/>
    <w:rsid w:val="00632D3D"/>
    <w:rsid w:val="00632FD5"/>
    <w:rsid w:val="00633172"/>
    <w:rsid w:val="00633327"/>
    <w:rsid w:val="006337E4"/>
    <w:rsid w:val="0063393B"/>
    <w:rsid w:val="00633945"/>
    <w:rsid w:val="00633B33"/>
    <w:rsid w:val="0063480C"/>
    <w:rsid w:val="00634897"/>
    <w:rsid w:val="00634D0C"/>
    <w:rsid w:val="00634ED0"/>
    <w:rsid w:val="00634FE8"/>
    <w:rsid w:val="00635753"/>
    <w:rsid w:val="0063622F"/>
    <w:rsid w:val="006366FE"/>
    <w:rsid w:val="00636749"/>
    <w:rsid w:val="0063685A"/>
    <w:rsid w:val="00636CCE"/>
    <w:rsid w:val="00636F07"/>
    <w:rsid w:val="00637002"/>
    <w:rsid w:val="006372B7"/>
    <w:rsid w:val="006378EF"/>
    <w:rsid w:val="0064051A"/>
    <w:rsid w:val="006407B4"/>
    <w:rsid w:val="00640D4E"/>
    <w:rsid w:val="006414A8"/>
    <w:rsid w:val="006414FF"/>
    <w:rsid w:val="006416F3"/>
    <w:rsid w:val="00641752"/>
    <w:rsid w:val="0064195A"/>
    <w:rsid w:val="00641DA0"/>
    <w:rsid w:val="00641E99"/>
    <w:rsid w:val="006420EA"/>
    <w:rsid w:val="006421BA"/>
    <w:rsid w:val="00642288"/>
    <w:rsid w:val="00642533"/>
    <w:rsid w:val="0064336C"/>
    <w:rsid w:val="00643A55"/>
    <w:rsid w:val="00643EFF"/>
    <w:rsid w:val="00643FAC"/>
    <w:rsid w:val="00644199"/>
    <w:rsid w:val="0064577A"/>
    <w:rsid w:val="006458C3"/>
    <w:rsid w:val="00645F0D"/>
    <w:rsid w:val="00646D67"/>
    <w:rsid w:val="006470C7"/>
    <w:rsid w:val="0064756D"/>
    <w:rsid w:val="00647714"/>
    <w:rsid w:val="0064782C"/>
    <w:rsid w:val="00647B83"/>
    <w:rsid w:val="00647F04"/>
    <w:rsid w:val="0065094D"/>
    <w:rsid w:val="00650A4E"/>
    <w:rsid w:val="00650DDE"/>
    <w:rsid w:val="00651039"/>
    <w:rsid w:val="0065104A"/>
    <w:rsid w:val="006515D7"/>
    <w:rsid w:val="006519D1"/>
    <w:rsid w:val="00651A4C"/>
    <w:rsid w:val="00651E53"/>
    <w:rsid w:val="006521C7"/>
    <w:rsid w:val="0065220F"/>
    <w:rsid w:val="00652406"/>
    <w:rsid w:val="00652566"/>
    <w:rsid w:val="006526AD"/>
    <w:rsid w:val="00654128"/>
    <w:rsid w:val="006542A1"/>
    <w:rsid w:val="00654332"/>
    <w:rsid w:val="006544D9"/>
    <w:rsid w:val="006548E3"/>
    <w:rsid w:val="00654AAA"/>
    <w:rsid w:val="00654B38"/>
    <w:rsid w:val="00655280"/>
    <w:rsid w:val="00655715"/>
    <w:rsid w:val="00655E5F"/>
    <w:rsid w:val="00656A63"/>
    <w:rsid w:val="006575F7"/>
    <w:rsid w:val="00657B11"/>
    <w:rsid w:val="00657D25"/>
    <w:rsid w:val="00657D36"/>
    <w:rsid w:val="00657DFA"/>
    <w:rsid w:val="00657E65"/>
    <w:rsid w:val="006600DF"/>
    <w:rsid w:val="006601D7"/>
    <w:rsid w:val="00660497"/>
    <w:rsid w:val="00660ABC"/>
    <w:rsid w:val="00660DED"/>
    <w:rsid w:val="00660EA3"/>
    <w:rsid w:val="00661D53"/>
    <w:rsid w:val="006627D2"/>
    <w:rsid w:val="006629A3"/>
    <w:rsid w:val="00662AF4"/>
    <w:rsid w:val="00663069"/>
    <w:rsid w:val="006635BD"/>
    <w:rsid w:val="006642FA"/>
    <w:rsid w:val="00664DC7"/>
    <w:rsid w:val="00664E8A"/>
    <w:rsid w:val="006651C0"/>
    <w:rsid w:val="00665500"/>
    <w:rsid w:val="0066581A"/>
    <w:rsid w:val="0066592A"/>
    <w:rsid w:val="00665E9F"/>
    <w:rsid w:val="006663A0"/>
    <w:rsid w:val="00666729"/>
    <w:rsid w:val="00666861"/>
    <w:rsid w:val="00666AC1"/>
    <w:rsid w:val="0066740C"/>
    <w:rsid w:val="0066747A"/>
    <w:rsid w:val="00667BE1"/>
    <w:rsid w:val="00667FE8"/>
    <w:rsid w:val="006704CF"/>
    <w:rsid w:val="00670C38"/>
    <w:rsid w:val="00671006"/>
    <w:rsid w:val="00671107"/>
    <w:rsid w:val="00672059"/>
    <w:rsid w:val="00672811"/>
    <w:rsid w:val="00672843"/>
    <w:rsid w:val="00672D41"/>
    <w:rsid w:val="00672DE4"/>
    <w:rsid w:val="0067379A"/>
    <w:rsid w:val="00673A87"/>
    <w:rsid w:val="00673AD9"/>
    <w:rsid w:val="00674734"/>
    <w:rsid w:val="00674B80"/>
    <w:rsid w:val="00675644"/>
    <w:rsid w:val="006758F5"/>
    <w:rsid w:val="00675D83"/>
    <w:rsid w:val="00675D95"/>
    <w:rsid w:val="00675EDE"/>
    <w:rsid w:val="006764FF"/>
    <w:rsid w:val="00676788"/>
    <w:rsid w:val="006767FE"/>
    <w:rsid w:val="00676F55"/>
    <w:rsid w:val="00676FEE"/>
    <w:rsid w:val="006771B5"/>
    <w:rsid w:val="00677856"/>
    <w:rsid w:val="00677DE0"/>
    <w:rsid w:val="0068035E"/>
    <w:rsid w:val="00680A64"/>
    <w:rsid w:val="00680C27"/>
    <w:rsid w:val="00680FAB"/>
    <w:rsid w:val="00681259"/>
    <w:rsid w:val="006816F2"/>
    <w:rsid w:val="00681CD6"/>
    <w:rsid w:val="00681D62"/>
    <w:rsid w:val="00681E17"/>
    <w:rsid w:val="00682B70"/>
    <w:rsid w:val="00682BED"/>
    <w:rsid w:val="00682DF6"/>
    <w:rsid w:val="00682FD5"/>
    <w:rsid w:val="006835AE"/>
    <w:rsid w:val="006836D5"/>
    <w:rsid w:val="00684541"/>
    <w:rsid w:val="00684D31"/>
    <w:rsid w:val="00684D75"/>
    <w:rsid w:val="00684E65"/>
    <w:rsid w:val="00684F02"/>
    <w:rsid w:val="00685315"/>
    <w:rsid w:val="006856BD"/>
    <w:rsid w:val="006859B5"/>
    <w:rsid w:val="00685D34"/>
    <w:rsid w:val="00685EAD"/>
    <w:rsid w:val="0068633C"/>
    <w:rsid w:val="006863EA"/>
    <w:rsid w:val="0068652B"/>
    <w:rsid w:val="00686A99"/>
    <w:rsid w:val="00686CD3"/>
    <w:rsid w:val="00687638"/>
    <w:rsid w:val="0068785A"/>
    <w:rsid w:val="006904E1"/>
    <w:rsid w:val="0069094A"/>
    <w:rsid w:val="00690F09"/>
    <w:rsid w:val="00691D6E"/>
    <w:rsid w:val="00692180"/>
    <w:rsid w:val="00692274"/>
    <w:rsid w:val="0069257A"/>
    <w:rsid w:val="006927D1"/>
    <w:rsid w:val="00692A1C"/>
    <w:rsid w:val="00692BA6"/>
    <w:rsid w:val="00692FD4"/>
    <w:rsid w:val="006930D3"/>
    <w:rsid w:val="00693F46"/>
    <w:rsid w:val="006945BF"/>
    <w:rsid w:val="00694C61"/>
    <w:rsid w:val="00694E56"/>
    <w:rsid w:val="00695983"/>
    <w:rsid w:val="00695C21"/>
    <w:rsid w:val="006965BF"/>
    <w:rsid w:val="006972A7"/>
    <w:rsid w:val="006975BE"/>
    <w:rsid w:val="0069760C"/>
    <w:rsid w:val="00697A9A"/>
    <w:rsid w:val="00697B48"/>
    <w:rsid w:val="00697DF2"/>
    <w:rsid w:val="00697F96"/>
    <w:rsid w:val="00697FD7"/>
    <w:rsid w:val="006A03E0"/>
    <w:rsid w:val="006A0AC4"/>
    <w:rsid w:val="006A0B0B"/>
    <w:rsid w:val="006A1509"/>
    <w:rsid w:val="006A1AC8"/>
    <w:rsid w:val="006A3232"/>
    <w:rsid w:val="006A338A"/>
    <w:rsid w:val="006A3791"/>
    <w:rsid w:val="006A3D36"/>
    <w:rsid w:val="006A45A7"/>
    <w:rsid w:val="006A5420"/>
    <w:rsid w:val="006A5C64"/>
    <w:rsid w:val="006A5D68"/>
    <w:rsid w:val="006A60AD"/>
    <w:rsid w:val="006A64FF"/>
    <w:rsid w:val="006A6AC6"/>
    <w:rsid w:val="006A7562"/>
    <w:rsid w:val="006A7C57"/>
    <w:rsid w:val="006A7CC4"/>
    <w:rsid w:val="006B0224"/>
    <w:rsid w:val="006B0457"/>
    <w:rsid w:val="006B1D01"/>
    <w:rsid w:val="006B2C6F"/>
    <w:rsid w:val="006B2F9C"/>
    <w:rsid w:val="006B3A57"/>
    <w:rsid w:val="006B3C14"/>
    <w:rsid w:val="006B4091"/>
    <w:rsid w:val="006B44FD"/>
    <w:rsid w:val="006B4C72"/>
    <w:rsid w:val="006B522E"/>
    <w:rsid w:val="006B6CE4"/>
    <w:rsid w:val="006B6DC7"/>
    <w:rsid w:val="006B734B"/>
    <w:rsid w:val="006B739D"/>
    <w:rsid w:val="006B7D71"/>
    <w:rsid w:val="006B7E03"/>
    <w:rsid w:val="006C051A"/>
    <w:rsid w:val="006C0949"/>
    <w:rsid w:val="006C198E"/>
    <w:rsid w:val="006C2646"/>
    <w:rsid w:val="006C2699"/>
    <w:rsid w:val="006C2A13"/>
    <w:rsid w:val="006C2B39"/>
    <w:rsid w:val="006C3618"/>
    <w:rsid w:val="006C462F"/>
    <w:rsid w:val="006C4D07"/>
    <w:rsid w:val="006C5675"/>
    <w:rsid w:val="006C5AE3"/>
    <w:rsid w:val="006C5CA3"/>
    <w:rsid w:val="006C65DF"/>
    <w:rsid w:val="006C6860"/>
    <w:rsid w:val="006C6B2B"/>
    <w:rsid w:val="006C6C71"/>
    <w:rsid w:val="006C70BC"/>
    <w:rsid w:val="006D00F5"/>
    <w:rsid w:val="006D08CF"/>
    <w:rsid w:val="006D0B56"/>
    <w:rsid w:val="006D0E10"/>
    <w:rsid w:val="006D1085"/>
    <w:rsid w:val="006D1337"/>
    <w:rsid w:val="006D155D"/>
    <w:rsid w:val="006D1997"/>
    <w:rsid w:val="006D1FEF"/>
    <w:rsid w:val="006D2AA9"/>
    <w:rsid w:val="006D400F"/>
    <w:rsid w:val="006D4EB5"/>
    <w:rsid w:val="006D54CD"/>
    <w:rsid w:val="006D562F"/>
    <w:rsid w:val="006D578E"/>
    <w:rsid w:val="006D5B54"/>
    <w:rsid w:val="006D5DE1"/>
    <w:rsid w:val="006D6660"/>
    <w:rsid w:val="006D66C7"/>
    <w:rsid w:val="006D6EBE"/>
    <w:rsid w:val="006D7257"/>
    <w:rsid w:val="006D7866"/>
    <w:rsid w:val="006E03B4"/>
    <w:rsid w:val="006E0428"/>
    <w:rsid w:val="006E1315"/>
    <w:rsid w:val="006E1A1E"/>
    <w:rsid w:val="006E1B7C"/>
    <w:rsid w:val="006E1BFB"/>
    <w:rsid w:val="006E1C53"/>
    <w:rsid w:val="006E2214"/>
    <w:rsid w:val="006E229D"/>
    <w:rsid w:val="006E251B"/>
    <w:rsid w:val="006E292E"/>
    <w:rsid w:val="006E2A2C"/>
    <w:rsid w:val="006E3360"/>
    <w:rsid w:val="006E3927"/>
    <w:rsid w:val="006E3CBF"/>
    <w:rsid w:val="006E4AFD"/>
    <w:rsid w:val="006E51DB"/>
    <w:rsid w:val="006E52D8"/>
    <w:rsid w:val="006E598C"/>
    <w:rsid w:val="006E5DD8"/>
    <w:rsid w:val="006E68D4"/>
    <w:rsid w:val="006E6F68"/>
    <w:rsid w:val="006E6FC8"/>
    <w:rsid w:val="006E7454"/>
    <w:rsid w:val="006E7827"/>
    <w:rsid w:val="006F018F"/>
    <w:rsid w:val="006F02E2"/>
    <w:rsid w:val="006F0537"/>
    <w:rsid w:val="006F0582"/>
    <w:rsid w:val="006F0AFE"/>
    <w:rsid w:val="006F0BFA"/>
    <w:rsid w:val="006F1536"/>
    <w:rsid w:val="006F25B9"/>
    <w:rsid w:val="006F28EB"/>
    <w:rsid w:val="006F2EA4"/>
    <w:rsid w:val="006F3425"/>
    <w:rsid w:val="006F3806"/>
    <w:rsid w:val="006F3AF2"/>
    <w:rsid w:val="006F3C37"/>
    <w:rsid w:val="006F3DAA"/>
    <w:rsid w:val="006F45D7"/>
    <w:rsid w:val="006F48C8"/>
    <w:rsid w:val="006F4BD2"/>
    <w:rsid w:val="006F4C8C"/>
    <w:rsid w:val="006F4CC3"/>
    <w:rsid w:val="006F4EDA"/>
    <w:rsid w:val="006F4FD7"/>
    <w:rsid w:val="006F5AE8"/>
    <w:rsid w:val="006F5C36"/>
    <w:rsid w:val="006F67EF"/>
    <w:rsid w:val="006F6F3F"/>
    <w:rsid w:val="006F7CD4"/>
    <w:rsid w:val="0070026A"/>
    <w:rsid w:val="007003DC"/>
    <w:rsid w:val="00700604"/>
    <w:rsid w:val="00700CF5"/>
    <w:rsid w:val="0070143D"/>
    <w:rsid w:val="00701534"/>
    <w:rsid w:val="00701913"/>
    <w:rsid w:val="0070202C"/>
    <w:rsid w:val="00702EC6"/>
    <w:rsid w:val="00703590"/>
    <w:rsid w:val="00703E8E"/>
    <w:rsid w:val="00704483"/>
    <w:rsid w:val="00704C28"/>
    <w:rsid w:val="00704D4B"/>
    <w:rsid w:val="007050CB"/>
    <w:rsid w:val="00705303"/>
    <w:rsid w:val="007054A7"/>
    <w:rsid w:val="00705A71"/>
    <w:rsid w:val="00705F9F"/>
    <w:rsid w:val="00706D98"/>
    <w:rsid w:val="00706E3D"/>
    <w:rsid w:val="00706E58"/>
    <w:rsid w:val="007077F9"/>
    <w:rsid w:val="00707DA5"/>
    <w:rsid w:val="00707F0B"/>
    <w:rsid w:val="0071024C"/>
    <w:rsid w:val="007108A0"/>
    <w:rsid w:val="007108DE"/>
    <w:rsid w:val="00710906"/>
    <w:rsid w:val="00710F95"/>
    <w:rsid w:val="00710FDE"/>
    <w:rsid w:val="007110E0"/>
    <w:rsid w:val="007117F9"/>
    <w:rsid w:val="00711B61"/>
    <w:rsid w:val="00711E60"/>
    <w:rsid w:val="00712363"/>
    <w:rsid w:val="007123A6"/>
    <w:rsid w:val="007127DA"/>
    <w:rsid w:val="00712A62"/>
    <w:rsid w:val="00712F63"/>
    <w:rsid w:val="00713757"/>
    <w:rsid w:val="00714376"/>
    <w:rsid w:val="00714852"/>
    <w:rsid w:val="0071514C"/>
    <w:rsid w:val="007159C7"/>
    <w:rsid w:val="00715E81"/>
    <w:rsid w:val="0071617E"/>
    <w:rsid w:val="0071673A"/>
    <w:rsid w:val="00716877"/>
    <w:rsid w:val="007168CF"/>
    <w:rsid w:val="00716CAC"/>
    <w:rsid w:val="00717202"/>
    <w:rsid w:val="0071763B"/>
    <w:rsid w:val="0072059B"/>
    <w:rsid w:val="007208F7"/>
    <w:rsid w:val="0072188C"/>
    <w:rsid w:val="00721933"/>
    <w:rsid w:val="00721B5F"/>
    <w:rsid w:val="007226B4"/>
    <w:rsid w:val="00722B74"/>
    <w:rsid w:val="00722CB6"/>
    <w:rsid w:val="00723825"/>
    <w:rsid w:val="007239D8"/>
    <w:rsid w:val="0072464C"/>
    <w:rsid w:val="00724BEA"/>
    <w:rsid w:val="00726100"/>
    <w:rsid w:val="007264F6"/>
    <w:rsid w:val="00726762"/>
    <w:rsid w:val="00726BBA"/>
    <w:rsid w:val="00726CA7"/>
    <w:rsid w:val="00726F54"/>
    <w:rsid w:val="007271A4"/>
    <w:rsid w:val="00727655"/>
    <w:rsid w:val="007276B9"/>
    <w:rsid w:val="00727837"/>
    <w:rsid w:val="007278E1"/>
    <w:rsid w:val="00727C2B"/>
    <w:rsid w:val="00730373"/>
    <w:rsid w:val="007305F3"/>
    <w:rsid w:val="00730BE6"/>
    <w:rsid w:val="00731436"/>
    <w:rsid w:val="00732237"/>
    <w:rsid w:val="00732417"/>
    <w:rsid w:val="007324A2"/>
    <w:rsid w:val="00733110"/>
    <w:rsid w:val="007338E1"/>
    <w:rsid w:val="007339FD"/>
    <w:rsid w:val="00733DA8"/>
    <w:rsid w:val="007340DE"/>
    <w:rsid w:val="007342F7"/>
    <w:rsid w:val="00734E13"/>
    <w:rsid w:val="00735536"/>
    <w:rsid w:val="00735EA1"/>
    <w:rsid w:val="00736C0C"/>
    <w:rsid w:val="00736E03"/>
    <w:rsid w:val="00736F98"/>
    <w:rsid w:val="00737012"/>
    <w:rsid w:val="00737214"/>
    <w:rsid w:val="007372AA"/>
    <w:rsid w:val="0073748A"/>
    <w:rsid w:val="0073752A"/>
    <w:rsid w:val="007378BF"/>
    <w:rsid w:val="00737E34"/>
    <w:rsid w:val="00737F2A"/>
    <w:rsid w:val="00737F55"/>
    <w:rsid w:val="0074127E"/>
    <w:rsid w:val="007417D7"/>
    <w:rsid w:val="00741AAC"/>
    <w:rsid w:val="00741B27"/>
    <w:rsid w:val="007424D2"/>
    <w:rsid w:val="00742975"/>
    <w:rsid w:val="00742BE5"/>
    <w:rsid w:val="00742D7A"/>
    <w:rsid w:val="00743382"/>
    <w:rsid w:val="00743A7B"/>
    <w:rsid w:val="00743D17"/>
    <w:rsid w:val="00744190"/>
    <w:rsid w:val="0074422A"/>
    <w:rsid w:val="007445A1"/>
    <w:rsid w:val="007446C3"/>
    <w:rsid w:val="00744951"/>
    <w:rsid w:val="00744952"/>
    <w:rsid w:val="007456E8"/>
    <w:rsid w:val="0074595D"/>
    <w:rsid w:val="00745C16"/>
    <w:rsid w:val="00745EF4"/>
    <w:rsid w:val="007464BD"/>
    <w:rsid w:val="0074671F"/>
    <w:rsid w:val="00746905"/>
    <w:rsid w:val="007471A7"/>
    <w:rsid w:val="00747332"/>
    <w:rsid w:val="007473E7"/>
    <w:rsid w:val="00747476"/>
    <w:rsid w:val="007475E9"/>
    <w:rsid w:val="0074760F"/>
    <w:rsid w:val="00747743"/>
    <w:rsid w:val="00747832"/>
    <w:rsid w:val="0074795D"/>
    <w:rsid w:val="00747D1F"/>
    <w:rsid w:val="0075012F"/>
    <w:rsid w:val="00750339"/>
    <w:rsid w:val="0075051D"/>
    <w:rsid w:val="007505D9"/>
    <w:rsid w:val="007506C3"/>
    <w:rsid w:val="007508DA"/>
    <w:rsid w:val="00751E1F"/>
    <w:rsid w:val="00752794"/>
    <w:rsid w:val="00752C4C"/>
    <w:rsid w:val="007530D1"/>
    <w:rsid w:val="00753458"/>
    <w:rsid w:val="007541E7"/>
    <w:rsid w:val="007547BF"/>
    <w:rsid w:val="0075486E"/>
    <w:rsid w:val="00754994"/>
    <w:rsid w:val="00754C12"/>
    <w:rsid w:val="00754CF9"/>
    <w:rsid w:val="00754F19"/>
    <w:rsid w:val="00755152"/>
    <w:rsid w:val="0075571A"/>
    <w:rsid w:val="00755E05"/>
    <w:rsid w:val="00755ED2"/>
    <w:rsid w:val="007562A6"/>
    <w:rsid w:val="007566F2"/>
    <w:rsid w:val="00756CB5"/>
    <w:rsid w:val="00756E1D"/>
    <w:rsid w:val="00757B13"/>
    <w:rsid w:val="00757C2E"/>
    <w:rsid w:val="007606EF"/>
    <w:rsid w:val="00760E2A"/>
    <w:rsid w:val="007611BB"/>
    <w:rsid w:val="0076153E"/>
    <w:rsid w:val="007615FC"/>
    <w:rsid w:val="00761DC8"/>
    <w:rsid w:val="00762D1C"/>
    <w:rsid w:val="007632D7"/>
    <w:rsid w:val="0076364F"/>
    <w:rsid w:val="00763D4B"/>
    <w:rsid w:val="00764052"/>
    <w:rsid w:val="007640E0"/>
    <w:rsid w:val="007646A3"/>
    <w:rsid w:val="00764E19"/>
    <w:rsid w:val="007657B2"/>
    <w:rsid w:val="00765C33"/>
    <w:rsid w:val="00765F9E"/>
    <w:rsid w:val="0076779D"/>
    <w:rsid w:val="00767A36"/>
    <w:rsid w:val="00767CA6"/>
    <w:rsid w:val="0077167D"/>
    <w:rsid w:val="00771E2B"/>
    <w:rsid w:val="007726D4"/>
    <w:rsid w:val="00772B22"/>
    <w:rsid w:val="00772B26"/>
    <w:rsid w:val="007734AA"/>
    <w:rsid w:val="00773C3D"/>
    <w:rsid w:val="00773DDA"/>
    <w:rsid w:val="00774792"/>
    <w:rsid w:val="00774824"/>
    <w:rsid w:val="00774DBE"/>
    <w:rsid w:val="00775080"/>
    <w:rsid w:val="007759BA"/>
    <w:rsid w:val="00775C9C"/>
    <w:rsid w:val="00775D63"/>
    <w:rsid w:val="00775EFB"/>
    <w:rsid w:val="00776660"/>
    <w:rsid w:val="00776856"/>
    <w:rsid w:val="00777479"/>
    <w:rsid w:val="0077788F"/>
    <w:rsid w:val="00777A23"/>
    <w:rsid w:val="007800A7"/>
    <w:rsid w:val="00780233"/>
    <w:rsid w:val="007803FA"/>
    <w:rsid w:val="007804D5"/>
    <w:rsid w:val="00780650"/>
    <w:rsid w:val="00781726"/>
    <w:rsid w:val="00781B8F"/>
    <w:rsid w:val="00781CDE"/>
    <w:rsid w:val="00781E83"/>
    <w:rsid w:val="00782ACF"/>
    <w:rsid w:val="00783173"/>
    <w:rsid w:val="0078324A"/>
    <w:rsid w:val="00783910"/>
    <w:rsid w:val="00783A25"/>
    <w:rsid w:val="00783D87"/>
    <w:rsid w:val="00783E0D"/>
    <w:rsid w:val="00784B30"/>
    <w:rsid w:val="00784BBD"/>
    <w:rsid w:val="00784D1D"/>
    <w:rsid w:val="00784F58"/>
    <w:rsid w:val="007857AF"/>
    <w:rsid w:val="00785A3A"/>
    <w:rsid w:val="00785E5C"/>
    <w:rsid w:val="00785E7F"/>
    <w:rsid w:val="00785FEA"/>
    <w:rsid w:val="007861C1"/>
    <w:rsid w:val="00786874"/>
    <w:rsid w:val="00786B49"/>
    <w:rsid w:val="00786E63"/>
    <w:rsid w:val="00787033"/>
    <w:rsid w:val="00790A4E"/>
    <w:rsid w:val="00790DB5"/>
    <w:rsid w:val="00791009"/>
    <w:rsid w:val="007910FD"/>
    <w:rsid w:val="0079163F"/>
    <w:rsid w:val="00791CCA"/>
    <w:rsid w:val="00791D0D"/>
    <w:rsid w:val="007921F7"/>
    <w:rsid w:val="007924C8"/>
    <w:rsid w:val="00792EA9"/>
    <w:rsid w:val="00793D15"/>
    <w:rsid w:val="007941A7"/>
    <w:rsid w:val="007945DB"/>
    <w:rsid w:val="00795596"/>
    <w:rsid w:val="007959B0"/>
    <w:rsid w:val="00796037"/>
    <w:rsid w:val="00796129"/>
    <w:rsid w:val="0079682B"/>
    <w:rsid w:val="00796E41"/>
    <w:rsid w:val="007970A4"/>
    <w:rsid w:val="007978F1"/>
    <w:rsid w:val="00797AD0"/>
    <w:rsid w:val="00797BA9"/>
    <w:rsid w:val="00797DB2"/>
    <w:rsid w:val="00797ED6"/>
    <w:rsid w:val="007A0244"/>
    <w:rsid w:val="007A02A2"/>
    <w:rsid w:val="007A0BE8"/>
    <w:rsid w:val="007A0CD6"/>
    <w:rsid w:val="007A0FCF"/>
    <w:rsid w:val="007A1651"/>
    <w:rsid w:val="007A1A25"/>
    <w:rsid w:val="007A1A99"/>
    <w:rsid w:val="007A1B51"/>
    <w:rsid w:val="007A21E6"/>
    <w:rsid w:val="007A33F4"/>
    <w:rsid w:val="007A37BA"/>
    <w:rsid w:val="007A40C5"/>
    <w:rsid w:val="007A41C5"/>
    <w:rsid w:val="007A4627"/>
    <w:rsid w:val="007A4D95"/>
    <w:rsid w:val="007A56BE"/>
    <w:rsid w:val="007A5750"/>
    <w:rsid w:val="007A5830"/>
    <w:rsid w:val="007A58AA"/>
    <w:rsid w:val="007A5A42"/>
    <w:rsid w:val="007A654C"/>
    <w:rsid w:val="007A7C2C"/>
    <w:rsid w:val="007B0347"/>
    <w:rsid w:val="007B04F0"/>
    <w:rsid w:val="007B059E"/>
    <w:rsid w:val="007B073E"/>
    <w:rsid w:val="007B109C"/>
    <w:rsid w:val="007B13B9"/>
    <w:rsid w:val="007B1518"/>
    <w:rsid w:val="007B1B31"/>
    <w:rsid w:val="007B1B3C"/>
    <w:rsid w:val="007B29A5"/>
    <w:rsid w:val="007B4D86"/>
    <w:rsid w:val="007B5398"/>
    <w:rsid w:val="007B5DC0"/>
    <w:rsid w:val="007B6019"/>
    <w:rsid w:val="007B6CB7"/>
    <w:rsid w:val="007B70C4"/>
    <w:rsid w:val="007B7138"/>
    <w:rsid w:val="007B758C"/>
    <w:rsid w:val="007B79ED"/>
    <w:rsid w:val="007B7E0B"/>
    <w:rsid w:val="007C0470"/>
    <w:rsid w:val="007C0B4E"/>
    <w:rsid w:val="007C1C86"/>
    <w:rsid w:val="007C1CDD"/>
    <w:rsid w:val="007C29DB"/>
    <w:rsid w:val="007C2F54"/>
    <w:rsid w:val="007C3127"/>
    <w:rsid w:val="007C35F3"/>
    <w:rsid w:val="007C3C69"/>
    <w:rsid w:val="007C3E2B"/>
    <w:rsid w:val="007C423A"/>
    <w:rsid w:val="007C4BA7"/>
    <w:rsid w:val="007C4CCB"/>
    <w:rsid w:val="007C4D2B"/>
    <w:rsid w:val="007C512E"/>
    <w:rsid w:val="007C5C54"/>
    <w:rsid w:val="007C5CEE"/>
    <w:rsid w:val="007C5F41"/>
    <w:rsid w:val="007C620E"/>
    <w:rsid w:val="007C6C59"/>
    <w:rsid w:val="007C742B"/>
    <w:rsid w:val="007C788D"/>
    <w:rsid w:val="007D0F23"/>
    <w:rsid w:val="007D16FD"/>
    <w:rsid w:val="007D2787"/>
    <w:rsid w:val="007D2A4B"/>
    <w:rsid w:val="007D2DF5"/>
    <w:rsid w:val="007D2EA0"/>
    <w:rsid w:val="007D369B"/>
    <w:rsid w:val="007D36EE"/>
    <w:rsid w:val="007D3859"/>
    <w:rsid w:val="007D38EE"/>
    <w:rsid w:val="007D3A89"/>
    <w:rsid w:val="007D3BDC"/>
    <w:rsid w:val="007D413C"/>
    <w:rsid w:val="007D44B5"/>
    <w:rsid w:val="007D4B2C"/>
    <w:rsid w:val="007D4E26"/>
    <w:rsid w:val="007D4F5C"/>
    <w:rsid w:val="007D57A9"/>
    <w:rsid w:val="007D5BAC"/>
    <w:rsid w:val="007D5C33"/>
    <w:rsid w:val="007D5E18"/>
    <w:rsid w:val="007D609D"/>
    <w:rsid w:val="007D6418"/>
    <w:rsid w:val="007D7281"/>
    <w:rsid w:val="007D797D"/>
    <w:rsid w:val="007E0B98"/>
    <w:rsid w:val="007E1307"/>
    <w:rsid w:val="007E17FC"/>
    <w:rsid w:val="007E1925"/>
    <w:rsid w:val="007E1B1F"/>
    <w:rsid w:val="007E1B2D"/>
    <w:rsid w:val="007E24DA"/>
    <w:rsid w:val="007E2E08"/>
    <w:rsid w:val="007E2E2C"/>
    <w:rsid w:val="007E35F5"/>
    <w:rsid w:val="007E3C43"/>
    <w:rsid w:val="007E3DC7"/>
    <w:rsid w:val="007E4291"/>
    <w:rsid w:val="007E42AF"/>
    <w:rsid w:val="007E46A8"/>
    <w:rsid w:val="007E4D52"/>
    <w:rsid w:val="007E5104"/>
    <w:rsid w:val="007E567E"/>
    <w:rsid w:val="007E5C0A"/>
    <w:rsid w:val="007E5E73"/>
    <w:rsid w:val="007E6238"/>
    <w:rsid w:val="007E62CE"/>
    <w:rsid w:val="007E62EB"/>
    <w:rsid w:val="007E6385"/>
    <w:rsid w:val="007E6F86"/>
    <w:rsid w:val="007E70BC"/>
    <w:rsid w:val="007E764D"/>
    <w:rsid w:val="007F006F"/>
    <w:rsid w:val="007F010F"/>
    <w:rsid w:val="007F06E9"/>
    <w:rsid w:val="007F0ABF"/>
    <w:rsid w:val="007F1012"/>
    <w:rsid w:val="007F2081"/>
    <w:rsid w:val="007F28AC"/>
    <w:rsid w:val="007F2AFB"/>
    <w:rsid w:val="007F367A"/>
    <w:rsid w:val="007F37BB"/>
    <w:rsid w:val="007F4376"/>
    <w:rsid w:val="007F5018"/>
    <w:rsid w:val="007F58D3"/>
    <w:rsid w:val="007F5C3C"/>
    <w:rsid w:val="007F5DD4"/>
    <w:rsid w:val="007F66C3"/>
    <w:rsid w:val="007F69A5"/>
    <w:rsid w:val="007F6D9B"/>
    <w:rsid w:val="007F7FCE"/>
    <w:rsid w:val="00800583"/>
    <w:rsid w:val="00800D65"/>
    <w:rsid w:val="0080109D"/>
    <w:rsid w:val="00801636"/>
    <w:rsid w:val="008023EB"/>
    <w:rsid w:val="0080263C"/>
    <w:rsid w:val="008029BB"/>
    <w:rsid w:val="00802A33"/>
    <w:rsid w:val="00802F85"/>
    <w:rsid w:val="0080434C"/>
    <w:rsid w:val="008058D0"/>
    <w:rsid w:val="008058D2"/>
    <w:rsid w:val="00805AE5"/>
    <w:rsid w:val="00805BBE"/>
    <w:rsid w:val="00806ABC"/>
    <w:rsid w:val="00806C56"/>
    <w:rsid w:val="00807543"/>
    <w:rsid w:val="0080774F"/>
    <w:rsid w:val="0080786A"/>
    <w:rsid w:val="008079B2"/>
    <w:rsid w:val="00807A25"/>
    <w:rsid w:val="00807CDE"/>
    <w:rsid w:val="008101D8"/>
    <w:rsid w:val="008103D6"/>
    <w:rsid w:val="00810567"/>
    <w:rsid w:val="00810AC1"/>
    <w:rsid w:val="00811688"/>
    <w:rsid w:val="00811CEC"/>
    <w:rsid w:val="00812206"/>
    <w:rsid w:val="008127A1"/>
    <w:rsid w:val="00812A2F"/>
    <w:rsid w:val="00812D9F"/>
    <w:rsid w:val="00812FF9"/>
    <w:rsid w:val="00813440"/>
    <w:rsid w:val="008135EC"/>
    <w:rsid w:val="008136A6"/>
    <w:rsid w:val="00813FFF"/>
    <w:rsid w:val="008141F6"/>
    <w:rsid w:val="00814A50"/>
    <w:rsid w:val="00814D21"/>
    <w:rsid w:val="00814D9B"/>
    <w:rsid w:val="00814E42"/>
    <w:rsid w:val="00815043"/>
    <w:rsid w:val="0081526B"/>
    <w:rsid w:val="008158E7"/>
    <w:rsid w:val="00815E99"/>
    <w:rsid w:val="00815FBE"/>
    <w:rsid w:val="00816333"/>
    <w:rsid w:val="00816440"/>
    <w:rsid w:val="008168E0"/>
    <w:rsid w:val="00816EAE"/>
    <w:rsid w:val="00817723"/>
    <w:rsid w:val="008200AC"/>
    <w:rsid w:val="00820661"/>
    <w:rsid w:val="008206B4"/>
    <w:rsid w:val="00820E1A"/>
    <w:rsid w:val="00821091"/>
    <w:rsid w:val="0082118A"/>
    <w:rsid w:val="00821542"/>
    <w:rsid w:val="0082163D"/>
    <w:rsid w:val="00821CA3"/>
    <w:rsid w:val="008221CD"/>
    <w:rsid w:val="00822565"/>
    <w:rsid w:val="00822620"/>
    <w:rsid w:val="00822D8F"/>
    <w:rsid w:val="008230B7"/>
    <w:rsid w:val="00823159"/>
    <w:rsid w:val="00823631"/>
    <w:rsid w:val="008238A7"/>
    <w:rsid w:val="00823E83"/>
    <w:rsid w:val="0082452B"/>
    <w:rsid w:val="008245BF"/>
    <w:rsid w:val="008249C1"/>
    <w:rsid w:val="00824B32"/>
    <w:rsid w:val="00825009"/>
    <w:rsid w:val="008250DB"/>
    <w:rsid w:val="00825897"/>
    <w:rsid w:val="00826992"/>
    <w:rsid w:val="00826E92"/>
    <w:rsid w:val="00827079"/>
    <w:rsid w:val="00827121"/>
    <w:rsid w:val="00827199"/>
    <w:rsid w:val="0082742F"/>
    <w:rsid w:val="00827C4B"/>
    <w:rsid w:val="00827C5F"/>
    <w:rsid w:val="00827E56"/>
    <w:rsid w:val="00830808"/>
    <w:rsid w:val="008309A8"/>
    <w:rsid w:val="00830A39"/>
    <w:rsid w:val="00831034"/>
    <w:rsid w:val="008311F3"/>
    <w:rsid w:val="008312E4"/>
    <w:rsid w:val="00831FA5"/>
    <w:rsid w:val="0083220E"/>
    <w:rsid w:val="0083237C"/>
    <w:rsid w:val="0083271A"/>
    <w:rsid w:val="00832DC1"/>
    <w:rsid w:val="00833340"/>
    <w:rsid w:val="00833F7A"/>
    <w:rsid w:val="00833FF4"/>
    <w:rsid w:val="008343C3"/>
    <w:rsid w:val="00834475"/>
    <w:rsid w:val="00834F71"/>
    <w:rsid w:val="008354E9"/>
    <w:rsid w:val="00835502"/>
    <w:rsid w:val="008355FD"/>
    <w:rsid w:val="00835B4D"/>
    <w:rsid w:val="00835EE9"/>
    <w:rsid w:val="008361FC"/>
    <w:rsid w:val="00836602"/>
    <w:rsid w:val="0083743B"/>
    <w:rsid w:val="0083764D"/>
    <w:rsid w:val="00837E4D"/>
    <w:rsid w:val="00837E79"/>
    <w:rsid w:val="00837ECD"/>
    <w:rsid w:val="00840085"/>
    <w:rsid w:val="00840648"/>
    <w:rsid w:val="00840CF3"/>
    <w:rsid w:val="00840D4D"/>
    <w:rsid w:val="00842415"/>
    <w:rsid w:val="0084245B"/>
    <w:rsid w:val="00842918"/>
    <w:rsid w:val="00842BAF"/>
    <w:rsid w:val="00842C34"/>
    <w:rsid w:val="0084345D"/>
    <w:rsid w:val="00843554"/>
    <w:rsid w:val="0084377F"/>
    <w:rsid w:val="00843CB1"/>
    <w:rsid w:val="00844502"/>
    <w:rsid w:val="0084454E"/>
    <w:rsid w:val="008446A6"/>
    <w:rsid w:val="0084482A"/>
    <w:rsid w:val="008450D0"/>
    <w:rsid w:val="008457A7"/>
    <w:rsid w:val="008458E5"/>
    <w:rsid w:val="0084590D"/>
    <w:rsid w:val="00846593"/>
    <w:rsid w:val="00846AFB"/>
    <w:rsid w:val="00846BFA"/>
    <w:rsid w:val="00846E9B"/>
    <w:rsid w:val="008471FF"/>
    <w:rsid w:val="0084783C"/>
    <w:rsid w:val="00851352"/>
    <w:rsid w:val="008514CA"/>
    <w:rsid w:val="00851B8E"/>
    <w:rsid w:val="00851EE1"/>
    <w:rsid w:val="00852CDB"/>
    <w:rsid w:val="008533C0"/>
    <w:rsid w:val="00853BFC"/>
    <w:rsid w:val="008545A5"/>
    <w:rsid w:val="008548B6"/>
    <w:rsid w:val="008549AE"/>
    <w:rsid w:val="00854D05"/>
    <w:rsid w:val="008556C2"/>
    <w:rsid w:val="00855E52"/>
    <w:rsid w:val="0085640F"/>
    <w:rsid w:val="0085658F"/>
    <w:rsid w:val="00856D0E"/>
    <w:rsid w:val="00857B38"/>
    <w:rsid w:val="00861B55"/>
    <w:rsid w:val="00861D67"/>
    <w:rsid w:val="00861FDC"/>
    <w:rsid w:val="008625B4"/>
    <w:rsid w:val="00862C2F"/>
    <w:rsid w:val="00862C3F"/>
    <w:rsid w:val="00862E28"/>
    <w:rsid w:val="00863037"/>
    <w:rsid w:val="0086335F"/>
    <w:rsid w:val="00863365"/>
    <w:rsid w:val="00863DB7"/>
    <w:rsid w:val="00863E28"/>
    <w:rsid w:val="00864543"/>
    <w:rsid w:val="00864C7A"/>
    <w:rsid w:val="00865A24"/>
    <w:rsid w:val="00865ECE"/>
    <w:rsid w:val="008660C6"/>
    <w:rsid w:val="008666C7"/>
    <w:rsid w:val="00867894"/>
    <w:rsid w:val="00867F24"/>
    <w:rsid w:val="00870212"/>
    <w:rsid w:val="00870648"/>
    <w:rsid w:val="00870BC2"/>
    <w:rsid w:val="00870E9F"/>
    <w:rsid w:val="00870ED8"/>
    <w:rsid w:val="008714ED"/>
    <w:rsid w:val="0087154C"/>
    <w:rsid w:val="00871615"/>
    <w:rsid w:val="00871A00"/>
    <w:rsid w:val="00871E51"/>
    <w:rsid w:val="008725A7"/>
    <w:rsid w:val="00872A91"/>
    <w:rsid w:val="00872B0B"/>
    <w:rsid w:val="00872F86"/>
    <w:rsid w:val="008732FD"/>
    <w:rsid w:val="00873401"/>
    <w:rsid w:val="008742FB"/>
    <w:rsid w:val="00874982"/>
    <w:rsid w:val="00874D4C"/>
    <w:rsid w:val="00875267"/>
    <w:rsid w:val="00875603"/>
    <w:rsid w:val="0087572C"/>
    <w:rsid w:val="00875914"/>
    <w:rsid w:val="00876A9C"/>
    <w:rsid w:val="00876AB4"/>
    <w:rsid w:val="00876E59"/>
    <w:rsid w:val="00877446"/>
    <w:rsid w:val="008775B8"/>
    <w:rsid w:val="00877A8A"/>
    <w:rsid w:val="00877B95"/>
    <w:rsid w:val="00877E73"/>
    <w:rsid w:val="008802F4"/>
    <w:rsid w:val="00880426"/>
    <w:rsid w:val="008805C8"/>
    <w:rsid w:val="00880881"/>
    <w:rsid w:val="00880AFE"/>
    <w:rsid w:val="00881305"/>
    <w:rsid w:val="00881363"/>
    <w:rsid w:val="008813C7"/>
    <w:rsid w:val="00881D9E"/>
    <w:rsid w:val="00881EE3"/>
    <w:rsid w:val="00882E7C"/>
    <w:rsid w:val="00883143"/>
    <w:rsid w:val="0088388B"/>
    <w:rsid w:val="00883BCA"/>
    <w:rsid w:val="00884072"/>
    <w:rsid w:val="00884567"/>
    <w:rsid w:val="00884E38"/>
    <w:rsid w:val="00884EFE"/>
    <w:rsid w:val="00885024"/>
    <w:rsid w:val="008853A0"/>
    <w:rsid w:val="008859C7"/>
    <w:rsid w:val="00885DFD"/>
    <w:rsid w:val="00886217"/>
    <w:rsid w:val="008863E2"/>
    <w:rsid w:val="00886661"/>
    <w:rsid w:val="008871C0"/>
    <w:rsid w:val="00887256"/>
    <w:rsid w:val="008873E4"/>
    <w:rsid w:val="00887958"/>
    <w:rsid w:val="0089035D"/>
    <w:rsid w:val="008906AD"/>
    <w:rsid w:val="00890C2E"/>
    <w:rsid w:val="00891CC2"/>
    <w:rsid w:val="008929F5"/>
    <w:rsid w:val="00892A24"/>
    <w:rsid w:val="00893082"/>
    <w:rsid w:val="00893280"/>
    <w:rsid w:val="00893D0E"/>
    <w:rsid w:val="00893ED0"/>
    <w:rsid w:val="0089402A"/>
    <w:rsid w:val="0089411E"/>
    <w:rsid w:val="008943FB"/>
    <w:rsid w:val="00894DF3"/>
    <w:rsid w:val="0089576F"/>
    <w:rsid w:val="008959E7"/>
    <w:rsid w:val="00896734"/>
    <w:rsid w:val="008975FF"/>
    <w:rsid w:val="00897B94"/>
    <w:rsid w:val="00897D81"/>
    <w:rsid w:val="008A01B8"/>
    <w:rsid w:val="008A054C"/>
    <w:rsid w:val="008A0707"/>
    <w:rsid w:val="008A0815"/>
    <w:rsid w:val="008A0870"/>
    <w:rsid w:val="008A0C5A"/>
    <w:rsid w:val="008A1EFB"/>
    <w:rsid w:val="008A2F1B"/>
    <w:rsid w:val="008A3596"/>
    <w:rsid w:val="008A37E8"/>
    <w:rsid w:val="008A404F"/>
    <w:rsid w:val="008A4803"/>
    <w:rsid w:val="008A4A3A"/>
    <w:rsid w:val="008A4BD7"/>
    <w:rsid w:val="008A50C1"/>
    <w:rsid w:val="008A55B0"/>
    <w:rsid w:val="008A5F72"/>
    <w:rsid w:val="008A61B6"/>
    <w:rsid w:val="008A6C3B"/>
    <w:rsid w:val="008A72E6"/>
    <w:rsid w:val="008A7DDD"/>
    <w:rsid w:val="008A7EA1"/>
    <w:rsid w:val="008A7EBA"/>
    <w:rsid w:val="008B0698"/>
    <w:rsid w:val="008B06DF"/>
    <w:rsid w:val="008B0876"/>
    <w:rsid w:val="008B0A37"/>
    <w:rsid w:val="008B0AEA"/>
    <w:rsid w:val="008B1A9B"/>
    <w:rsid w:val="008B1D83"/>
    <w:rsid w:val="008B1DB4"/>
    <w:rsid w:val="008B1EBE"/>
    <w:rsid w:val="008B2716"/>
    <w:rsid w:val="008B28AE"/>
    <w:rsid w:val="008B2D9C"/>
    <w:rsid w:val="008B2ED3"/>
    <w:rsid w:val="008B35E1"/>
    <w:rsid w:val="008B3D31"/>
    <w:rsid w:val="008B3FC5"/>
    <w:rsid w:val="008B45E7"/>
    <w:rsid w:val="008B4A57"/>
    <w:rsid w:val="008B4EAC"/>
    <w:rsid w:val="008B5711"/>
    <w:rsid w:val="008B5781"/>
    <w:rsid w:val="008B5808"/>
    <w:rsid w:val="008B5C72"/>
    <w:rsid w:val="008B70A6"/>
    <w:rsid w:val="008B7128"/>
    <w:rsid w:val="008B71D8"/>
    <w:rsid w:val="008B7C01"/>
    <w:rsid w:val="008C0321"/>
    <w:rsid w:val="008C043D"/>
    <w:rsid w:val="008C0878"/>
    <w:rsid w:val="008C0E35"/>
    <w:rsid w:val="008C0FCE"/>
    <w:rsid w:val="008C148B"/>
    <w:rsid w:val="008C1678"/>
    <w:rsid w:val="008C1999"/>
    <w:rsid w:val="008C2446"/>
    <w:rsid w:val="008C2646"/>
    <w:rsid w:val="008C266D"/>
    <w:rsid w:val="008C2904"/>
    <w:rsid w:val="008C31FD"/>
    <w:rsid w:val="008C3582"/>
    <w:rsid w:val="008C3FAD"/>
    <w:rsid w:val="008C4116"/>
    <w:rsid w:val="008C4531"/>
    <w:rsid w:val="008C4884"/>
    <w:rsid w:val="008C4B0D"/>
    <w:rsid w:val="008C4CE2"/>
    <w:rsid w:val="008C4DBC"/>
    <w:rsid w:val="008C4DBF"/>
    <w:rsid w:val="008C5A41"/>
    <w:rsid w:val="008C5B92"/>
    <w:rsid w:val="008C5EE7"/>
    <w:rsid w:val="008C6519"/>
    <w:rsid w:val="008C69D2"/>
    <w:rsid w:val="008C73A8"/>
    <w:rsid w:val="008C75DE"/>
    <w:rsid w:val="008C7B5C"/>
    <w:rsid w:val="008C7B84"/>
    <w:rsid w:val="008D001D"/>
    <w:rsid w:val="008D03AE"/>
    <w:rsid w:val="008D07EA"/>
    <w:rsid w:val="008D089A"/>
    <w:rsid w:val="008D0CE8"/>
    <w:rsid w:val="008D11EE"/>
    <w:rsid w:val="008D1D19"/>
    <w:rsid w:val="008D278D"/>
    <w:rsid w:val="008D3200"/>
    <w:rsid w:val="008D33E2"/>
    <w:rsid w:val="008D4095"/>
    <w:rsid w:val="008D4BE2"/>
    <w:rsid w:val="008D4F62"/>
    <w:rsid w:val="008D5244"/>
    <w:rsid w:val="008D53C0"/>
    <w:rsid w:val="008D5474"/>
    <w:rsid w:val="008D5626"/>
    <w:rsid w:val="008D5ABE"/>
    <w:rsid w:val="008D5B9D"/>
    <w:rsid w:val="008D680D"/>
    <w:rsid w:val="008D77BD"/>
    <w:rsid w:val="008D7F1D"/>
    <w:rsid w:val="008E027E"/>
    <w:rsid w:val="008E07CC"/>
    <w:rsid w:val="008E0A60"/>
    <w:rsid w:val="008E0BCA"/>
    <w:rsid w:val="008E150C"/>
    <w:rsid w:val="008E32C0"/>
    <w:rsid w:val="008E33B3"/>
    <w:rsid w:val="008E3D66"/>
    <w:rsid w:val="008E40AD"/>
    <w:rsid w:val="008E44F7"/>
    <w:rsid w:val="008E4F84"/>
    <w:rsid w:val="008E54CB"/>
    <w:rsid w:val="008E54DD"/>
    <w:rsid w:val="008E5564"/>
    <w:rsid w:val="008E5648"/>
    <w:rsid w:val="008E57CC"/>
    <w:rsid w:val="008E57CF"/>
    <w:rsid w:val="008E644A"/>
    <w:rsid w:val="008E7056"/>
    <w:rsid w:val="008E7931"/>
    <w:rsid w:val="008E7AAB"/>
    <w:rsid w:val="008E7B37"/>
    <w:rsid w:val="008F07D3"/>
    <w:rsid w:val="008F0D7A"/>
    <w:rsid w:val="008F1005"/>
    <w:rsid w:val="008F1081"/>
    <w:rsid w:val="008F12A9"/>
    <w:rsid w:val="008F1434"/>
    <w:rsid w:val="008F1AA7"/>
    <w:rsid w:val="008F20B9"/>
    <w:rsid w:val="008F2601"/>
    <w:rsid w:val="008F2A3E"/>
    <w:rsid w:val="008F2D9B"/>
    <w:rsid w:val="008F2EE0"/>
    <w:rsid w:val="008F2FBA"/>
    <w:rsid w:val="008F3212"/>
    <w:rsid w:val="008F34A7"/>
    <w:rsid w:val="008F4C19"/>
    <w:rsid w:val="008F4EB7"/>
    <w:rsid w:val="008F5351"/>
    <w:rsid w:val="008F5911"/>
    <w:rsid w:val="008F59FF"/>
    <w:rsid w:val="008F72ED"/>
    <w:rsid w:val="008F7429"/>
    <w:rsid w:val="008F74CF"/>
    <w:rsid w:val="008F76C5"/>
    <w:rsid w:val="008F7967"/>
    <w:rsid w:val="008F798F"/>
    <w:rsid w:val="008F7BDB"/>
    <w:rsid w:val="008F7BDD"/>
    <w:rsid w:val="00900018"/>
    <w:rsid w:val="00900543"/>
    <w:rsid w:val="009007A9"/>
    <w:rsid w:val="00900A5A"/>
    <w:rsid w:val="00900D0A"/>
    <w:rsid w:val="0090106F"/>
    <w:rsid w:val="0090134F"/>
    <w:rsid w:val="00901520"/>
    <w:rsid w:val="00901807"/>
    <w:rsid w:val="009022CC"/>
    <w:rsid w:val="00902457"/>
    <w:rsid w:val="00903004"/>
    <w:rsid w:val="0090356A"/>
    <w:rsid w:val="0090358C"/>
    <w:rsid w:val="00903A30"/>
    <w:rsid w:val="00903B65"/>
    <w:rsid w:val="00903C6D"/>
    <w:rsid w:val="009043AF"/>
    <w:rsid w:val="009044D5"/>
    <w:rsid w:val="009047CE"/>
    <w:rsid w:val="00904F4D"/>
    <w:rsid w:val="00905608"/>
    <w:rsid w:val="00905A68"/>
    <w:rsid w:val="00905AB4"/>
    <w:rsid w:val="00906AB2"/>
    <w:rsid w:val="00906F72"/>
    <w:rsid w:val="009077C6"/>
    <w:rsid w:val="00907AAF"/>
    <w:rsid w:val="00907C06"/>
    <w:rsid w:val="00910B9E"/>
    <w:rsid w:val="00910F4A"/>
    <w:rsid w:val="00911244"/>
    <w:rsid w:val="0091131E"/>
    <w:rsid w:val="00911576"/>
    <w:rsid w:val="0091256E"/>
    <w:rsid w:val="00912642"/>
    <w:rsid w:val="009126B4"/>
    <w:rsid w:val="00912AD0"/>
    <w:rsid w:val="00912B05"/>
    <w:rsid w:val="00912E35"/>
    <w:rsid w:val="0091387A"/>
    <w:rsid w:val="009139D1"/>
    <w:rsid w:val="00913A61"/>
    <w:rsid w:val="00913B4E"/>
    <w:rsid w:val="00913DC8"/>
    <w:rsid w:val="00913E4A"/>
    <w:rsid w:val="009140F4"/>
    <w:rsid w:val="0091483A"/>
    <w:rsid w:val="00914A2F"/>
    <w:rsid w:val="00914B74"/>
    <w:rsid w:val="00914FAA"/>
    <w:rsid w:val="00914FFC"/>
    <w:rsid w:val="00915414"/>
    <w:rsid w:val="00915752"/>
    <w:rsid w:val="0091576A"/>
    <w:rsid w:val="009158EB"/>
    <w:rsid w:val="0091592A"/>
    <w:rsid w:val="00916234"/>
    <w:rsid w:val="00916702"/>
    <w:rsid w:val="00917A36"/>
    <w:rsid w:val="00917B4E"/>
    <w:rsid w:val="00917BE7"/>
    <w:rsid w:val="009203E2"/>
    <w:rsid w:val="00920429"/>
    <w:rsid w:val="00920758"/>
    <w:rsid w:val="009208BE"/>
    <w:rsid w:val="00920C65"/>
    <w:rsid w:val="00920F57"/>
    <w:rsid w:val="0092192C"/>
    <w:rsid w:val="00922745"/>
    <w:rsid w:val="009227F0"/>
    <w:rsid w:val="00922808"/>
    <w:rsid w:val="00922AA4"/>
    <w:rsid w:val="00923F43"/>
    <w:rsid w:val="0092473C"/>
    <w:rsid w:val="00924A6D"/>
    <w:rsid w:val="00924DA6"/>
    <w:rsid w:val="00924E5D"/>
    <w:rsid w:val="0092555A"/>
    <w:rsid w:val="009255C6"/>
    <w:rsid w:val="00925C45"/>
    <w:rsid w:val="00926E22"/>
    <w:rsid w:val="00927149"/>
    <w:rsid w:val="0092746A"/>
    <w:rsid w:val="0092780B"/>
    <w:rsid w:val="00927E88"/>
    <w:rsid w:val="009300ED"/>
    <w:rsid w:val="00930E51"/>
    <w:rsid w:val="00930FDE"/>
    <w:rsid w:val="0093137F"/>
    <w:rsid w:val="00931F4E"/>
    <w:rsid w:val="009324E2"/>
    <w:rsid w:val="009327F4"/>
    <w:rsid w:val="00932ACD"/>
    <w:rsid w:val="00932C25"/>
    <w:rsid w:val="00933175"/>
    <w:rsid w:val="00933410"/>
    <w:rsid w:val="00934046"/>
    <w:rsid w:val="0093552A"/>
    <w:rsid w:val="009356A0"/>
    <w:rsid w:val="009357C7"/>
    <w:rsid w:val="009358B2"/>
    <w:rsid w:val="00935956"/>
    <w:rsid w:val="00935ECE"/>
    <w:rsid w:val="009369AD"/>
    <w:rsid w:val="00936BB8"/>
    <w:rsid w:val="00936E67"/>
    <w:rsid w:val="0093773C"/>
    <w:rsid w:val="00937BDA"/>
    <w:rsid w:val="00937E85"/>
    <w:rsid w:val="009409B5"/>
    <w:rsid w:val="00940E33"/>
    <w:rsid w:val="009410BE"/>
    <w:rsid w:val="009410F5"/>
    <w:rsid w:val="009425A4"/>
    <w:rsid w:val="0094268B"/>
    <w:rsid w:val="00942C9C"/>
    <w:rsid w:val="00942EBB"/>
    <w:rsid w:val="009430E0"/>
    <w:rsid w:val="009433BF"/>
    <w:rsid w:val="009437C9"/>
    <w:rsid w:val="009437D0"/>
    <w:rsid w:val="009439DC"/>
    <w:rsid w:val="00943AA5"/>
    <w:rsid w:val="00943CDD"/>
    <w:rsid w:val="00943DD8"/>
    <w:rsid w:val="00944049"/>
    <w:rsid w:val="009447BF"/>
    <w:rsid w:val="00944B18"/>
    <w:rsid w:val="00945516"/>
    <w:rsid w:val="009455D2"/>
    <w:rsid w:val="0094667A"/>
    <w:rsid w:val="00947F0E"/>
    <w:rsid w:val="0095049B"/>
    <w:rsid w:val="00950527"/>
    <w:rsid w:val="00951146"/>
    <w:rsid w:val="009519B8"/>
    <w:rsid w:val="00951D0D"/>
    <w:rsid w:val="00951D79"/>
    <w:rsid w:val="00951F63"/>
    <w:rsid w:val="00951FF6"/>
    <w:rsid w:val="00952533"/>
    <w:rsid w:val="009529E5"/>
    <w:rsid w:val="00952DC9"/>
    <w:rsid w:val="00952F38"/>
    <w:rsid w:val="00953509"/>
    <w:rsid w:val="009535FA"/>
    <w:rsid w:val="00953C55"/>
    <w:rsid w:val="00954BB7"/>
    <w:rsid w:val="009550CA"/>
    <w:rsid w:val="0095532A"/>
    <w:rsid w:val="00955673"/>
    <w:rsid w:val="009558A0"/>
    <w:rsid w:val="00955909"/>
    <w:rsid w:val="009559E6"/>
    <w:rsid w:val="00955C4A"/>
    <w:rsid w:val="00955D0A"/>
    <w:rsid w:val="00956AAF"/>
    <w:rsid w:val="0095709B"/>
    <w:rsid w:val="00957496"/>
    <w:rsid w:val="00957643"/>
    <w:rsid w:val="00957886"/>
    <w:rsid w:val="009578EB"/>
    <w:rsid w:val="00960179"/>
    <w:rsid w:val="00960BA0"/>
    <w:rsid w:val="00961301"/>
    <w:rsid w:val="00961562"/>
    <w:rsid w:val="009615B3"/>
    <w:rsid w:val="00961918"/>
    <w:rsid w:val="00961AFC"/>
    <w:rsid w:val="00961B03"/>
    <w:rsid w:val="00961CF7"/>
    <w:rsid w:val="009620A2"/>
    <w:rsid w:val="009621F1"/>
    <w:rsid w:val="009622D9"/>
    <w:rsid w:val="009624E5"/>
    <w:rsid w:val="00962508"/>
    <w:rsid w:val="00962DDB"/>
    <w:rsid w:val="009631C9"/>
    <w:rsid w:val="009633D4"/>
    <w:rsid w:val="009633FB"/>
    <w:rsid w:val="009634CD"/>
    <w:rsid w:val="00963A8E"/>
    <w:rsid w:val="00963BBB"/>
    <w:rsid w:val="009642BC"/>
    <w:rsid w:val="0096475D"/>
    <w:rsid w:val="00964A98"/>
    <w:rsid w:val="0096524A"/>
    <w:rsid w:val="00965548"/>
    <w:rsid w:val="009655A1"/>
    <w:rsid w:val="009661B9"/>
    <w:rsid w:val="00966334"/>
    <w:rsid w:val="00966718"/>
    <w:rsid w:val="0096671E"/>
    <w:rsid w:val="009668F4"/>
    <w:rsid w:val="00966931"/>
    <w:rsid w:val="00966B68"/>
    <w:rsid w:val="00967B85"/>
    <w:rsid w:val="00970F0E"/>
    <w:rsid w:val="00970F6C"/>
    <w:rsid w:val="00970FCE"/>
    <w:rsid w:val="00971663"/>
    <w:rsid w:val="00971735"/>
    <w:rsid w:val="009720C0"/>
    <w:rsid w:val="009725CC"/>
    <w:rsid w:val="00972FCD"/>
    <w:rsid w:val="009737FD"/>
    <w:rsid w:val="00973C69"/>
    <w:rsid w:val="00973D1B"/>
    <w:rsid w:val="00973E5F"/>
    <w:rsid w:val="00974064"/>
    <w:rsid w:val="009740E8"/>
    <w:rsid w:val="00974751"/>
    <w:rsid w:val="00974C81"/>
    <w:rsid w:val="00974F9E"/>
    <w:rsid w:val="00974FAA"/>
    <w:rsid w:val="00975020"/>
    <w:rsid w:val="00975BAE"/>
    <w:rsid w:val="00976027"/>
    <w:rsid w:val="009764EE"/>
    <w:rsid w:val="00976748"/>
    <w:rsid w:val="00976CE4"/>
    <w:rsid w:val="00976DB9"/>
    <w:rsid w:val="00976EE1"/>
    <w:rsid w:val="0097745C"/>
    <w:rsid w:val="00980507"/>
    <w:rsid w:val="00980633"/>
    <w:rsid w:val="00980B62"/>
    <w:rsid w:val="00981B25"/>
    <w:rsid w:val="00982163"/>
    <w:rsid w:val="009821B6"/>
    <w:rsid w:val="00982D5F"/>
    <w:rsid w:val="00983A41"/>
    <w:rsid w:val="00983CAD"/>
    <w:rsid w:val="00983D9F"/>
    <w:rsid w:val="00984315"/>
    <w:rsid w:val="00984789"/>
    <w:rsid w:val="0098499F"/>
    <w:rsid w:val="009854C1"/>
    <w:rsid w:val="00986214"/>
    <w:rsid w:val="009862F8"/>
    <w:rsid w:val="0098726E"/>
    <w:rsid w:val="009873DA"/>
    <w:rsid w:val="00987C8A"/>
    <w:rsid w:val="009906ED"/>
    <w:rsid w:val="009907A5"/>
    <w:rsid w:val="00990950"/>
    <w:rsid w:val="00990E39"/>
    <w:rsid w:val="00991142"/>
    <w:rsid w:val="00991D72"/>
    <w:rsid w:val="009921FE"/>
    <w:rsid w:val="009925B6"/>
    <w:rsid w:val="00992777"/>
    <w:rsid w:val="00992F36"/>
    <w:rsid w:val="00993040"/>
    <w:rsid w:val="009930AD"/>
    <w:rsid w:val="009934BE"/>
    <w:rsid w:val="0099392B"/>
    <w:rsid w:val="00993A33"/>
    <w:rsid w:val="00993B39"/>
    <w:rsid w:val="00993BA0"/>
    <w:rsid w:val="00993D7F"/>
    <w:rsid w:val="00993E99"/>
    <w:rsid w:val="00994275"/>
    <w:rsid w:val="0099448B"/>
    <w:rsid w:val="00994A3D"/>
    <w:rsid w:val="00995105"/>
    <w:rsid w:val="009953E6"/>
    <w:rsid w:val="009957A3"/>
    <w:rsid w:val="009966F5"/>
    <w:rsid w:val="00997215"/>
    <w:rsid w:val="0099788E"/>
    <w:rsid w:val="009A006C"/>
    <w:rsid w:val="009A0109"/>
    <w:rsid w:val="009A02B0"/>
    <w:rsid w:val="009A07A6"/>
    <w:rsid w:val="009A0A08"/>
    <w:rsid w:val="009A0A65"/>
    <w:rsid w:val="009A0C39"/>
    <w:rsid w:val="009A0EAD"/>
    <w:rsid w:val="009A0EFF"/>
    <w:rsid w:val="009A1268"/>
    <w:rsid w:val="009A1B16"/>
    <w:rsid w:val="009A21A2"/>
    <w:rsid w:val="009A22B9"/>
    <w:rsid w:val="009A286B"/>
    <w:rsid w:val="009A2BCE"/>
    <w:rsid w:val="009A2C41"/>
    <w:rsid w:val="009A3872"/>
    <w:rsid w:val="009A3B30"/>
    <w:rsid w:val="009A3FCE"/>
    <w:rsid w:val="009A415B"/>
    <w:rsid w:val="009A4369"/>
    <w:rsid w:val="009A4444"/>
    <w:rsid w:val="009A4B61"/>
    <w:rsid w:val="009A5142"/>
    <w:rsid w:val="009A5530"/>
    <w:rsid w:val="009A56D0"/>
    <w:rsid w:val="009A5B14"/>
    <w:rsid w:val="009A5C2A"/>
    <w:rsid w:val="009A5CBE"/>
    <w:rsid w:val="009A5DD4"/>
    <w:rsid w:val="009A600C"/>
    <w:rsid w:val="009A6477"/>
    <w:rsid w:val="009A6658"/>
    <w:rsid w:val="009A67F0"/>
    <w:rsid w:val="009A6975"/>
    <w:rsid w:val="009A70B6"/>
    <w:rsid w:val="009A7623"/>
    <w:rsid w:val="009A7A9A"/>
    <w:rsid w:val="009A7F37"/>
    <w:rsid w:val="009A7F6A"/>
    <w:rsid w:val="009B05C5"/>
    <w:rsid w:val="009B072D"/>
    <w:rsid w:val="009B09D7"/>
    <w:rsid w:val="009B0DFD"/>
    <w:rsid w:val="009B1314"/>
    <w:rsid w:val="009B1946"/>
    <w:rsid w:val="009B1B2F"/>
    <w:rsid w:val="009B1B5E"/>
    <w:rsid w:val="009B1CD5"/>
    <w:rsid w:val="009B1FEB"/>
    <w:rsid w:val="009B2068"/>
    <w:rsid w:val="009B20C0"/>
    <w:rsid w:val="009B21BB"/>
    <w:rsid w:val="009B2279"/>
    <w:rsid w:val="009B29BA"/>
    <w:rsid w:val="009B375F"/>
    <w:rsid w:val="009B3863"/>
    <w:rsid w:val="009B3BF5"/>
    <w:rsid w:val="009B4471"/>
    <w:rsid w:val="009B4929"/>
    <w:rsid w:val="009B4E4D"/>
    <w:rsid w:val="009B52DD"/>
    <w:rsid w:val="009B5395"/>
    <w:rsid w:val="009B5A85"/>
    <w:rsid w:val="009B5C5C"/>
    <w:rsid w:val="009B63BB"/>
    <w:rsid w:val="009B644B"/>
    <w:rsid w:val="009B7551"/>
    <w:rsid w:val="009B7580"/>
    <w:rsid w:val="009B7A4D"/>
    <w:rsid w:val="009B7E2D"/>
    <w:rsid w:val="009C0067"/>
    <w:rsid w:val="009C04C3"/>
    <w:rsid w:val="009C04CD"/>
    <w:rsid w:val="009C0ABD"/>
    <w:rsid w:val="009C0BFE"/>
    <w:rsid w:val="009C159A"/>
    <w:rsid w:val="009C16D0"/>
    <w:rsid w:val="009C17E4"/>
    <w:rsid w:val="009C1E2D"/>
    <w:rsid w:val="009C21E0"/>
    <w:rsid w:val="009C2875"/>
    <w:rsid w:val="009C2968"/>
    <w:rsid w:val="009C2C9E"/>
    <w:rsid w:val="009C2E19"/>
    <w:rsid w:val="009C2EE0"/>
    <w:rsid w:val="009C302B"/>
    <w:rsid w:val="009C316E"/>
    <w:rsid w:val="009C34E9"/>
    <w:rsid w:val="009C3687"/>
    <w:rsid w:val="009C4019"/>
    <w:rsid w:val="009C409C"/>
    <w:rsid w:val="009C4AD9"/>
    <w:rsid w:val="009C4B80"/>
    <w:rsid w:val="009C53FA"/>
    <w:rsid w:val="009C585B"/>
    <w:rsid w:val="009C5F7B"/>
    <w:rsid w:val="009C62CD"/>
    <w:rsid w:val="009C648D"/>
    <w:rsid w:val="009C78FB"/>
    <w:rsid w:val="009D019E"/>
    <w:rsid w:val="009D028D"/>
    <w:rsid w:val="009D0CAA"/>
    <w:rsid w:val="009D1092"/>
    <w:rsid w:val="009D11EE"/>
    <w:rsid w:val="009D177B"/>
    <w:rsid w:val="009D1843"/>
    <w:rsid w:val="009D18C1"/>
    <w:rsid w:val="009D1C2C"/>
    <w:rsid w:val="009D1EE0"/>
    <w:rsid w:val="009D204F"/>
    <w:rsid w:val="009D27F6"/>
    <w:rsid w:val="009D41DB"/>
    <w:rsid w:val="009D5169"/>
    <w:rsid w:val="009D53B6"/>
    <w:rsid w:val="009D63CE"/>
    <w:rsid w:val="009D69BD"/>
    <w:rsid w:val="009D7126"/>
    <w:rsid w:val="009E0165"/>
    <w:rsid w:val="009E026E"/>
    <w:rsid w:val="009E02A3"/>
    <w:rsid w:val="009E02BD"/>
    <w:rsid w:val="009E05ED"/>
    <w:rsid w:val="009E08B0"/>
    <w:rsid w:val="009E0D64"/>
    <w:rsid w:val="009E1378"/>
    <w:rsid w:val="009E1FB0"/>
    <w:rsid w:val="009E2711"/>
    <w:rsid w:val="009E3060"/>
    <w:rsid w:val="009E331B"/>
    <w:rsid w:val="009E3371"/>
    <w:rsid w:val="009E3494"/>
    <w:rsid w:val="009E3567"/>
    <w:rsid w:val="009E3670"/>
    <w:rsid w:val="009E3DD7"/>
    <w:rsid w:val="009E457D"/>
    <w:rsid w:val="009E4C98"/>
    <w:rsid w:val="009E4E50"/>
    <w:rsid w:val="009E510E"/>
    <w:rsid w:val="009E5D9C"/>
    <w:rsid w:val="009E6164"/>
    <w:rsid w:val="009E6347"/>
    <w:rsid w:val="009E66CC"/>
    <w:rsid w:val="009E66EC"/>
    <w:rsid w:val="009E67FE"/>
    <w:rsid w:val="009E6AB7"/>
    <w:rsid w:val="009E6CF7"/>
    <w:rsid w:val="009E7154"/>
    <w:rsid w:val="009E7228"/>
    <w:rsid w:val="009E785A"/>
    <w:rsid w:val="009E7AB0"/>
    <w:rsid w:val="009F0AFA"/>
    <w:rsid w:val="009F14C6"/>
    <w:rsid w:val="009F1768"/>
    <w:rsid w:val="009F1B55"/>
    <w:rsid w:val="009F1EEA"/>
    <w:rsid w:val="009F263D"/>
    <w:rsid w:val="009F27B5"/>
    <w:rsid w:val="009F2882"/>
    <w:rsid w:val="009F289D"/>
    <w:rsid w:val="009F2B45"/>
    <w:rsid w:val="009F3262"/>
    <w:rsid w:val="009F3738"/>
    <w:rsid w:val="009F39A5"/>
    <w:rsid w:val="009F4723"/>
    <w:rsid w:val="009F4791"/>
    <w:rsid w:val="009F4E35"/>
    <w:rsid w:val="009F4EA7"/>
    <w:rsid w:val="009F4F16"/>
    <w:rsid w:val="009F5131"/>
    <w:rsid w:val="009F54B6"/>
    <w:rsid w:val="009F5E19"/>
    <w:rsid w:val="009F62C8"/>
    <w:rsid w:val="009F6481"/>
    <w:rsid w:val="009F650C"/>
    <w:rsid w:val="009F660B"/>
    <w:rsid w:val="009F6658"/>
    <w:rsid w:val="009F6899"/>
    <w:rsid w:val="009F6C60"/>
    <w:rsid w:val="009F6EE0"/>
    <w:rsid w:val="009F7A8B"/>
    <w:rsid w:val="009F7E58"/>
    <w:rsid w:val="00A000E1"/>
    <w:rsid w:val="00A00162"/>
    <w:rsid w:val="00A00A0E"/>
    <w:rsid w:val="00A00F00"/>
    <w:rsid w:val="00A0115F"/>
    <w:rsid w:val="00A01B21"/>
    <w:rsid w:val="00A020B4"/>
    <w:rsid w:val="00A02732"/>
    <w:rsid w:val="00A02E7C"/>
    <w:rsid w:val="00A02F6E"/>
    <w:rsid w:val="00A02F90"/>
    <w:rsid w:val="00A03461"/>
    <w:rsid w:val="00A0356A"/>
    <w:rsid w:val="00A039E6"/>
    <w:rsid w:val="00A03E7D"/>
    <w:rsid w:val="00A03FC8"/>
    <w:rsid w:val="00A042AB"/>
    <w:rsid w:val="00A046F5"/>
    <w:rsid w:val="00A04AB1"/>
    <w:rsid w:val="00A055E4"/>
    <w:rsid w:val="00A05832"/>
    <w:rsid w:val="00A05A18"/>
    <w:rsid w:val="00A05A95"/>
    <w:rsid w:val="00A060C9"/>
    <w:rsid w:val="00A06370"/>
    <w:rsid w:val="00A06D5F"/>
    <w:rsid w:val="00A06E09"/>
    <w:rsid w:val="00A0727F"/>
    <w:rsid w:val="00A075FD"/>
    <w:rsid w:val="00A078FA"/>
    <w:rsid w:val="00A07B75"/>
    <w:rsid w:val="00A07F4A"/>
    <w:rsid w:val="00A1096F"/>
    <w:rsid w:val="00A109BF"/>
    <w:rsid w:val="00A10DA9"/>
    <w:rsid w:val="00A113A5"/>
    <w:rsid w:val="00A11933"/>
    <w:rsid w:val="00A12726"/>
    <w:rsid w:val="00A127B8"/>
    <w:rsid w:val="00A1289F"/>
    <w:rsid w:val="00A12DB9"/>
    <w:rsid w:val="00A12EF2"/>
    <w:rsid w:val="00A13024"/>
    <w:rsid w:val="00A13284"/>
    <w:rsid w:val="00A13531"/>
    <w:rsid w:val="00A13C77"/>
    <w:rsid w:val="00A13D30"/>
    <w:rsid w:val="00A13E6C"/>
    <w:rsid w:val="00A13EE9"/>
    <w:rsid w:val="00A142B4"/>
    <w:rsid w:val="00A14AE6"/>
    <w:rsid w:val="00A14CCF"/>
    <w:rsid w:val="00A14D8D"/>
    <w:rsid w:val="00A155F3"/>
    <w:rsid w:val="00A15D17"/>
    <w:rsid w:val="00A172CD"/>
    <w:rsid w:val="00A17B20"/>
    <w:rsid w:val="00A17C1F"/>
    <w:rsid w:val="00A17F30"/>
    <w:rsid w:val="00A204CD"/>
    <w:rsid w:val="00A20A54"/>
    <w:rsid w:val="00A20DDA"/>
    <w:rsid w:val="00A2102D"/>
    <w:rsid w:val="00A211FB"/>
    <w:rsid w:val="00A221C9"/>
    <w:rsid w:val="00A23065"/>
    <w:rsid w:val="00A23645"/>
    <w:rsid w:val="00A23C4D"/>
    <w:rsid w:val="00A23F00"/>
    <w:rsid w:val="00A24265"/>
    <w:rsid w:val="00A2426A"/>
    <w:rsid w:val="00A249A0"/>
    <w:rsid w:val="00A2593D"/>
    <w:rsid w:val="00A25BAC"/>
    <w:rsid w:val="00A25CD7"/>
    <w:rsid w:val="00A26294"/>
    <w:rsid w:val="00A26A59"/>
    <w:rsid w:val="00A2707D"/>
    <w:rsid w:val="00A271C6"/>
    <w:rsid w:val="00A27A60"/>
    <w:rsid w:val="00A27B59"/>
    <w:rsid w:val="00A300CC"/>
    <w:rsid w:val="00A30129"/>
    <w:rsid w:val="00A30411"/>
    <w:rsid w:val="00A307C9"/>
    <w:rsid w:val="00A30ED0"/>
    <w:rsid w:val="00A318E3"/>
    <w:rsid w:val="00A31A09"/>
    <w:rsid w:val="00A31C73"/>
    <w:rsid w:val="00A323FB"/>
    <w:rsid w:val="00A325E3"/>
    <w:rsid w:val="00A325F6"/>
    <w:rsid w:val="00A32808"/>
    <w:rsid w:val="00A328AB"/>
    <w:rsid w:val="00A32B4A"/>
    <w:rsid w:val="00A32B68"/>
    <w:rsid w:val="00A32BCA"/>
    <w:rsid w:val="00A33AE6"/>
    <w:rsid w:val="00A33D02"/>
    <w:rsid w:val="00A33F51"/>
    <w:rsid w:val="00A3430F"/>
    <w:rsid w:val="00A34553"/>
    <w:rsid w:val="00A3504E"/>
    <w:rsid w:val="00A352A1"/>
    <w:rsid w:val="00A35515"/>
    <w:rsid w:val="00A357DE"/>
    <w:rsid w:val="00A35870"/>
    <w:rsid w:val="00A358E6"/>
    <w:rsid w:val="00A35AC8"/>
    <w:rsid w:val="00A360E1"/>
    <w:rsid w:val="00A369F8"/>
    <w:rsid w:val="00A36F25"/>
    <w:rsid w:val="00A374B4"/>
    <w:rsid w:val="00A374D7"/>
    <w:rsid w:val="00A37921"/>
    <w:rsid w:val="00A41435"/>
    <w:rsid w:val="00A41816"/>
    <w:rsid w:val="00A41C29"/>
    <w:rsid w:val="00A421DF"/>
    <w:rsid w:val="00A429AF"/>
    <w:rsid w:val="00A42CB0"/>
    <w:rsid w:val="00A42FDD"/>
    <w:rsid w:val="00A43517"/>
    <w:rsid w:val="00A43979"/>
    <w:rsid w:val="00A43C7B"/>
    <w:rsid w:val="00A43D5A"/>
    <w:rsid w:val="00A43F66"/>
    <w:rsid w:val="00A43F92"/>
    <w:rsid w:val="00A43FE9"/>
    <w:rsid w:val="00A44402"/>
    <w:rsid w:val="00A4449D"/>
    <w:rsid w:val="00A44688"/>
    <w:rsid w:val="00A44842"/>
    <w:rsid w:val="00A448E6"/>
    <w:rsid w:val="00A449DE"/>
    <w:rsid w:val="00A44D10"/>
    <w:rsid w:val="00A45023"/>
    <w:rsid w:val="00A451D7"/>
    <w:rsid w:val="00A45236"/>
    <w:rsid w:val="00A45D34"/>
    <w:rsid w:val="00A45E98"/>
    <w:rsid w:val="00A45EB0"/>
    <w:rsid w:val="00A4634F"/>
    <w:rsid w:val="00A468AD"/>
    <w:rsid w:val="00A469CE"/>
    <w:rsid w:val="00A46A6C"/>
    <w:rsid w:val="00A471A9"/>
    <w:rsid w:val="00A47287"/>
    <w:rsid w:val="00A47A95"/>
    <w:rsid w:val="00A47C34"/>
    <w:rsid w:val="00A5010C"/>
    <w:rsid w:val="00A501C4"/>
    <w:rsid w:val="00A506AA"/>
    <w:rsid w:val="00A50FA7"/>
    <w:rsid w:val="00A518E6"/>
    <w:rsid w:val="00A51C96"/>
    <w:rsid w:val="00A52F89"/>
    <w:rsid w:val="00A539D6"/>
    <w:rsid w:val="00A53A67"/>
    <w:rsid w:val="00A53DE2"/>
    <w:rsid w:val="00A543A0"/>
    <w:rsid w:val="00A54470"/>
    <w:rsid w:val="00A54573"/>
    <w:rsid w:val="00A54957"/>
    <w:rsid w:val="00A54A5F"/>
    <w:rsid w:val="00A54A6D"/>
    <w:rsid w:val="00A54ACC"/>
    <w:rsid w:val="00A54CB1"/>
    <w:rsid w:val="00A5505A"/>
    <w:rsid w:val="00A55612"/>
    <w:rsid w:val="00A5598A"/>
    <w:rsid w:val="00A55B6A"/>
    <w:rsid w:val="00A56942"/>
    <w:rsid w:val="00A5700D"/>
    <w:rsid w:val="00A57179"/>
    <w:rsid w:val="00A57441"/>
    <w:rsid w:val="00A600BD"/>
    <w:rsid w:val="00A6070E"/>
    <w:rsid w:val="00A60A53"/>
    <w:rsid w:val="00A60FCB"/>
    <w:rsid w:val="00A610BA"/>
    <w:rsid w:val="00A612C9"/>
    <w:rsid w:val="00A617F9"/>
    <w:rsid w:val="00A61D43"/>
    <w:rsid w:val="00A6207A"/>
    <w:rsid w:val="00A628DE"/>
    <w:rsid w:val="00A62B0D"/>
    <w:rsid w:val="00A62DEF"/>
    <w:rsid w:val="00A63251"/>
    <w:rsid w:val="00A63309"/>
    <w:rsid w:val="00A6357C"/>
    <w:rsid w:val="00A63F7B"/>
    <w:rsid w:val="00A6413F"/>
    <w:rsid w:val="00A644EB"/>
    <w:rsid w:val="00A64BBD"/>
    <w:rsid w:val="00A64D9E"/>
    <w:rsid w:val="00A65625"/>
    <w:rsid w:val="00A6576D"/>
    <w:rsid w:val="00A65C29"/>
    <w:rsid w:val="00A661B8"/>
    <w:rsid w:val="00A6631F"/>
    <w:rsid w:val="00A6688A"/>
    <w:rsid w:val="00A67041"/>
    <w:rsid w:val="00A67257"/>
    <w:rsid w:val="00A678E6"/>
    <w:rsid w:val="00A679EE"/>
    <w:rsid w:val="00A70462"/>
    <w:rsid w:val="00A70667"/>
    <w:rsid w:val="00A70F2F"/>
    <w:rsid w:val="00A7110F"/>
    <w:rsid w:val="00A7112C"/>
    <w:rsid w:val="00A71C91"/>
    <w:rsid w:val="00A71CAE"/>
    <w:rsid w:val="00A720D9"/>
    <w:rsid w:val="00A723B3"/>
    <w:rsid w:val="00A7279D"/>
    <w:rsid w:val="00A7376D"/>
    <w:rsid w:val="00A737E9"/>
    <w:rsid w:val="00A73C91"/>
    <w:rsid w:val="00A74486"/>
    <w:rsid w:val="00A75B4D"/>
    <w:rsid w:val="00A75CAD"/>
    <w:rsid w:val="00A760BA"/>
    <w:rsid w:val="00A7619A"/>
    <w:rsid w:val="00A7678D"/>
    <w:rsid w:val="00A76994"/>
    <w:rsid w:val="00A77EBD"/>
    <w:rsid w:val="00A8019D"/>
    <w:rsid w:val="00A8019F"/>
    <w:rsid w:val="00A808D6"/>
    <w:rsid w:val="00A80AAA"/>
    <w:rsid w:val="00A81881"/>
    <w:rsid w:val="00A81979"/>
    <w:rsid w:val="00A81BF8"/>
    <w:rsid w:val="00A81C0C"/>
    <w:rsid w:val="00A8241B"/>
    <w:rsid w:val="00A83231"/>
    <w:rsid w:val="00A83692"/>
    <w:rsid w:val="00A83906"/>
    <w:rsid w:val="00A83A0A"/>
    <w:rsid w:val="00A84A56"/>
    <w:rsid w:val="00A84B9C"/>
    <w:rsid w:val="00A84BD0"/>
    <w:rsid w:val="00A84F73"/>
    <w:rsid w:val="00A85358"/>
    <w:rsid w:val="00A856F1"/>
    <w:rsid w:val="00A85B3E"/>
    <w:rsid w:val="00A85DE5"/>
    <w:rsid w:val="00A86A57"/>
    <w:rsid w:val="00A8724C"/>
    <w:rsid w:val="00A8759D"/>
    <w:rsid w:val="00A87C72"/>
    <w:rsid w:val="00A87ED9"/>
    <w:rsid w:val="00A900D2"/>
    <w:rsid w:val="00A9015A"/>
    <w:rsid w:val="00A92515"/>
    <w:rsid w:val="00A9273F"/>
    <w:rsid w:val="00A9309F"/>
    <w:rsid w:val="00A938D2"/>
    <w:rsid w:val="00A93930"/>
    <w:rsid w:val="00A93C39"/>
    <w:rsid w:val="00A93C76"/>
    <w:rsid w:val="00A93ECD"/>
    <w:rsid w:val="00A946EB"/>
    <w:rsid w:val="00A95B4F"/>
    <w:rsid w:val="00A95C95"/>
    <w:rsid w:val="00A95DD4"/>
    <w:rsid w:val="00A96B30"/>
    <w:rsid w:val="00A97164"/>
    <w:rsid w:val="00A97289"/>
    <w:rsid w:val="00A9745A"/>
    <w:rsid w:val="00A97517"/>
    <w:rsid w:val="00A976E9"/>
    <w:rsid w:val="00A97828"/>
    <w:rsid w:val="00A97C47"/>
    <w:rsid w:val="00AA03AD"/>
    <w:rsid w:val="00AA103C"/>
    <w:rsid w:val="00AA16AB"/>
    <w:rsid w:val="00AA1854"/>
    <w:rsid w:val="00AA1B34"/>
    <w:rsid w:val="00AA3350"/>
    <w:rsid w:val="00AA350F"/>
    <w:rsid w:val="00AA38B3"/>
    <w:rsid w:val="00AA4058"/>
    <w:rsid w:val="00AA47D4"/>
    <w:rsid w:val="00AA4C65"/>
    <w:rsid w:val="00AA4F34"/>
    <w:rsid w:val="00AA507F"/>
    <w:rsid w:val="00AA50A9"/>
    <w:rsid w:val="00AA6623"/>
    <w:rsid w:val="00AA6832"/>
    <w:rsid w:val="00AA6966"/>
    <w:rsid w:val="00AA6ADB"/>
    <w:rsid w:val="00AA6DDE"/>
    <w:rsid w:val="00AA72B8"/>
    <w:rsid w:val="00AA73F0"/>
    <w:rsid w:val="00AA7EB6"/>
    <w:rsid w:val="00AB004A"/>
    <w:rsid w:val="00AB0340"/>
    <w:rsid w:val="00AB097B"/>
    <w:rsid w:val="00AB13BE"/>
    <w:rsid w:val="00AB1A12"/>
    <w:rsid w:val="00AB20FB"/>
    <w:rsid w:val="00AB22E5"/>
    <w:rsid w:val="00AB25FE"/>
    <w:rsid w:val="00AB27B0"/>
    <w:rsid w:val="00AB2C57"/>
    <w:rsid w:val="00AB2F0E"/>
    <w:rsid w:val="00AB3944"/>
    <w:rsid w:val="00AB39F7"/>
    <w:rsid w:val="00AB3BCB"/>
    <w:rsid w:val="00AB420C"/>
    <w:rsid w:val="00AB4B04"/>
    <w:rsid w:val="00AB4C76"/>
    <w:rsid w:val="00AB4DEF"/>
    <w:rsid w:val="00AB6165"/>
    <w:rsid w:val="00AB6BD2"/>
    <w:rsid w:val="00AB6C91"/>
    <w:rsid w:val="00AC01E3"/>
    <w:rsid w:val="00AC0462"/>
    <w:rsid w:val="00AC0591"/>
    <w:rsid w:val="00AC10C3"/>
    <w:rsid w:val="00AC1399"/>
    <w:rsid w:val="00AC1564"/>
    <w:rsid w:val="00AC1575"/>
    <w:rsid w:val="00AC15F7"/>
    <w:rsid w:val="00AC1DD4"/>
    <w:rsid w:val="00AC1E13"/>
    <w:rsid w:val="00AC1E36"/>
    <w:rsid w:val="00AC2702"/>
    <w:rsid w:val="00AC2A24"/>
    <w:rsid w:val="00AC2AB9"/>
    <w:rsid w:val="00AC2B3C"/>
    <w:rsid w:val="00AC2C67"/>
    <w:rsid w:val="00AC2D94"/>
    <w:rsid w:val="00AC2E5A"/>
    <w:rsid w:val="00AC3475"/>
    <w:rsid w:val="00AC36BB"/>
    <w:rsid w:val="00AC4816"/>
    <w:rsid w:val="00AC54B0"/>
    <w:rsid w:val="00AC564D"/>
    <w:rsid w:val="00AC5DD6"/>
    <w:rsid w:val="00AC5EF5"/>
    <w:rsid w:val="00AC5F12"/>
    <w:rsid w:val="00AC650A"/>
    <w:rsid w:val="00AC7241"/>
    <w:rsid w:val="00AD016E"/>
    <w:rsid w:val="00AD0612"/>
    <w:rsid w:val="00AD0B96"/>
    <w:rsid w:val="00AD0C97"/>
    <w:rsid w:val="00AD104A"/>
    <w:rsid w:val="00AD112C"/>
    <w:rsid w:val="00AD11D0"/>
    <w:rsid w:val="00AD1280"/>
    <w:rsid w:val="00AD34A9"/>
    <w:rsid w:val="00AD3951"/>
    <w:rsid w:val="00AD437C"/>
    <w:rsid w:val="00AD4ACD"/>
    <w:rsid w:val="00AD4BBE"/>
    <w:rsid w:val="00AD58E7"/>
    <w:rsid w:val="00AD5A57"/>
    <w:rsid w:val="00AD5D13"/>
    <w:rsid w:val="00AD5EA8"/>
    <w:rsid w:val="00AD7389"/>
    <w:rsid w:val="00AD77FE"/>
    <w:rsid w:val="00AD7BB5"/>
    <w:rsid w:val="00AD7D2F"/>
    <w:rsid w:val="00AE0D31"/>
    <w:rsid w:val="00AE0E28"/>
    <w:rsid w:val="00AE205A"/>
    <w:rsid w:val="00AE222C"/>
    <w:rsid w:val="00AE2AB4"/>
    <w:rsid w:val="00AE3268"/>
    <w:rsid w:val="00AE397D"/>
    <w:rsid w:val="00AE3AFE"/>
    <w:rsid w:val="00AE42E0"/>
    <w:rsid w:val="00AE4605"/>
    <w:rsid w:val="00AE4E6A"/>
    <w:rsid w:val="00AE545B"/>
    <w:rsid w:val="00AE6480"/>
    <w:rsid w:val="00AE6613"/>
    <w:rsid w:val="00AE6F0C"/>
    <w:rsid w:val="00AE6FB5"/>
    <w:rsid w:val="00AE711D"/>
    <w:rsid w:val="00AE7667"/>
    <w:rsid w:val="00AE7B63"/>
    <w:rsid w:val="00AE7EA2"/>
    <w:rsid w:val="00AE7FA2"/>
    <w:rsid w:val="00AF004D"/>
    <w:rsid w:val="00AF08A2"/>
    <w:rsid w:val="00AF0909"/>
    <w:rsid w:val="00AF09B4"/>
    <w:rsid w:val="00AF12F8"/>
    <w:rsid w:val="00AF13C0"/>
    <w:rsid w:val="00AF1582"/>
    <w:rsid w:val="00AF1C4E"/>
    <w:rsid w:val="00AF271E"/>
    <w:rsid w:val="00AF28F5"/>
    <w:rsid w:val="00AF2CB4"/>
    <w:rsid w:val="00AF30A6"/>
    <w:rsid w:val="00AF40C7"/>
    <w:rsid w:val="00AF4E36"/>
    <w:rsid w:val="00AF505F"/>
    <w:rsid w:val="00AF5094"/>
    <w:rsid w:val="00AF5A1D"/>
    <w:rsid w:val="00AF5C00"/>
    <w:rsid w:val="00AF5D66"/>
    <w:rsid w:val="00AF5EEA"/>
    <w:rsid w:val="00AF6050"/>
    <w:rsid w:val="00AF721E"/>
    <w:rsid w:val="00AF77C4"/>
    <w:rsid w:val="00AF7A11"/>
    <w:rsid w:val="00B0032C"/>
    <w:rsid w:val="00B00825"/>
    <w:rsid w:val="00B01639"/>
    <w:rsid w:val="00B017F8"/>
    <w:rsid w:val="00B01CC0"/>
    <w:rsid w:val="00B02262"/>
    <w:rsid w:val="00B024D0"/>
    <w:rsid w:val="00B0253E"/>
    <w:rsid w:val="00B03257"/>
    <w:rsid w:val="00B03DCE"/>
    <w:rsid w:val="00B03F47"/>
    <w:rsid w:val="00B044D4"/>
    <w:rsid w:val="00B0467F"/>
    <w:rsid w:val="00B048C8"/>
    <w:rsid w:val="00B04EFE"/>
    <w:rsid w:val="00B05789"/>
    <w:rsid w:val="00B05A5B"/>
    <w:rsid w:val="00B05E54"/>
    <w:rsid w:val="00B05FF7"/>
    <w:rsid w:val="00B06033"/>
    <w:rsid w:val="00B060F4"/>
    <w:rsid w:val="00B068A3"/>
    <w:rsid w:val="00B06D5F"/>
    <w:rsid w:val="00B06EB4"/>
    <w:rsid w:val="00B0701A"/>
    <w:rsid w:val="00B07086"/>
    <w:rsid w:val="00B07131"/>
    <w:rsid w:val="00B072E1"/>
    <w:rsid w:val="00B07B43"/>
    <w:rsid w:val="00B10BAA"/>
    <w:rsid w:val="00B123BF"/>
    <w:rsid w:val="00B124BB"/>
    <w:rsid w:val="00B1255C"/>
    <w:rsid w:val="00B12606"/>
    <w:rsid w:val="00B127FC"/>
    <w:rsid w:val="00B137F1"/>
    <w:rsid w:val="00B137F5"/>
    <w:rsid w:val="00B13B84"/>
    <w:rsid w:val="00B13DC1"/>
    <w:rsid w:val="00B13DC4"/>
    <w:rsid w:val="00B13E43"/>
    <w:rsid w:val="00B14133"/>
    <w:rsid w:val="00B159EE"/>
    <w:rsid w:val="00B16071"/>
    <w:rsid w:val="00B1682E"/>
    <w:rsid w:val="00B16A49"/>
    <w:rsid w:val="00B17061"/>
    <w:rsid w:val="00B1768D"/>
    <w:rsid w:val="00B17A00"/>
    <w:rsid w:val="00B17E5C"/>
    <w:rsid w:val="00B20916"/>
    <w:rsid w:val="00B20A69"/>
    <w:rsid w:val="00B20F3E"/>
    <w:rsid w:val="00B2108F"/>
    <w:rsid w:val="00B21432"/>
    <w:rsid w:val="00B21A84"/>
    <w:rsid w:val="00B21B31"/>
    <w:rsid w:val="00B2210C"/>
    <w:rsid w:val="00B221A1"/>
    <w:rsid w:val="00B222FF"/>
    <w:rsid w:val="00B22404"/>
    <w:rsid w:val="00B224F8"/>
    <w:rsid w:val="00B22DB7"/>
    <w:rsid w:val="00B23384"/>
    <w:rsid w:val="00B23666"/>
    <w:rsid w:val="00B245A9"/>
    <w:rsid w:val="00B245BF"/>
    <w:rsid w:val="00B24800"/>
    <w:rsid w:val="00B250BC"/>
    <w:rsid w:val="00B2516B"/>
    <w:rsid w:val="00B257F4"/>
    <w:rsid w:val="00B25842"/>
    <w:rsid w:val="00B25C28"/>
    <w:rsid w:val="00B25F66"/>
    <w:rsid w:val="00B260F0"/>
    <w:rsid w:val="00B26502"/>
    <w:rsid w:val="00B26561"/>
    <w:rsid w:val="00B265F1"/>
    <w:rsid w:val="00B26762"/>
    <w:rsid w:val="00B26C5B"/>
    <w:rsid w:val="00B272B3"/>
    <w:rsid w:val="00B27858"/>
    <w:rsid w:val="00B2793A"/>
    <w:rsid w:val="00B27B88"/>
    <w:rsid w:val="00B27C5C"/>
    <w:rsid w:val="00B27F9C"/>
    <w:rsid w:val="00B3010E"/>
    <w:rsid w:val="00B3035A"/>
    <w:rsid w:val="00B30C5A"/>
    <w:rsid w:val="00B30DB7"/>
    <w:rsid w:val="00B312BA"/>
    <w:rsid w:val="00B3168B"/>
    <w:rsid w:val="00B31A1B"/>
    <w:rsid w:val="00B31E91"/>
    <w:rsid w:val="00B32159"/>
    <w:rsid w:val="00B32321"/>
    <w:rsid w:val="00B3246E"/>
    <w:rsid w:val="00B331F5"/>
    <w:rsid w:val="00B333D8"/>
    <w:rsid w:val="00B351BD"/>
    <w:rsid w:val="00B35838"/>
    <w:rsid w:val="00B36077"/>
    <w:rsid w:val="00B36096"/>
    <w:rsid w:val="00B36129"/>
    <w:rsid w:val="00B36285"/>
    <w:rsid w:val="00B36744"/>
    <w:rsid w:val="00B36D37"/>
    <w:rsid w:val="00B3705D"/>
    <w:rsid w:val="00B3797E"/>
    <w:rsid w:val="00B37D72"/>
    <w:rsid w:val="00B37E69"/>
    <w:rsid w:val="00B4029A"/>
    <w:rsid w:val="00B402BF"/>
    <w:rsid w:val="00B40DD9"/>
    <w:rsid w:val="00B40E53"/>
    <w:rsid w:val="00B41433"/>
    <w:rsid w:val="00B417CD"/>
    <w:rsid w:val="00B41AEC"/>
    <w:rsid w:val="00B41BA8"/>
    <w:rsid w:val="00B42420"/>
    <w:rsid w:val="00B42FA4"/>
    <w:rsid w:val="00B43277"/>
    <w:rsid w:val="00B43CA6"/>
    <w:rsid w:val="00B44392"/>
    <w:rsid w:val="00B44B46"/>
    <w:rsid w:val="00B44D69"/>
    <w:rsid w:val="00B45452"/>
    <w:rsid w:val="00B468CD"/>
    <w:rsid w:val="00B46D9E"/>
    <w:rsid w:val="00B46E93"/>
    <w:rsid w:val="00B470BF"/>
    <w:rsid w:val="00B47153"/>
    <w:rsid w:val="00B47F38"/>
    <w:rsid w:val="00B47FD4"/>
    <w:rsid w:val="00B5033F"/>
    <w:rsid w:val="00B504B1"/>
    <w:rsid w:val="00B50688"/>
    <w:rsid w:val="00B519D2"/>
    <w:rsid w:val="00B519ED"/>
    <w:rsid w:val="00B51A63"/>
    <w:rsid w:val="00B51B7C"/>
    <w:rsid w:val="00B51D75"/>
    <w:rsid w:val="00B5244C"/>
    <w:rsid w:val="00B5295E"/>
    <w:rsid w:val="00B52FFB"/>
    <w:rsid w:val="00B5310E"/>
    <w:rsid w:val="00B532D4"/>
    <w:rsid w:val="00B534B0"/>
    <w:rsid w:val="00B53827"/>
    <w:rsid w:val="00B53AE0"/>
    <w:rsid w:val="00B53CF5"/>
    <w:rsid w:val="00B54615"/>
    <w:rsid w:val="00B54631"/>
    <w:rsid w:val="00B546DF"/>
    <w:rsid w:val="00B54AE6"/>
    <w:rsid w:val="00B54CCC"/>
    <w:rsid w:val="00B54CFA"/>
    <w:rsid w:val="00B5528B"/>
    <w:rsid w:val="00B55527"/>
    <w:rsid w:val="00B55AC9"/>
    <w:rsid w:val="00B55B16"/>
    <w:rsid w:val="00B55D0B"/>
    <w:rsid w:val="00B55E9D"/>
    <w:rsid w:val="00B56520"/>
    <w:rsid w:val="00B6031E"/>
    <w:rsid w:val="00B607E8"/>
    <w:rsid w:val="00B61093"/>
    <w:rsid w:val="00B616A7"/>
    <w:rsid w:val="00B61924"/>
    <w:rsid w:val="00B61BA1"/>
    <w:rsid w:val="00B61FF3"/>
    <w:rsid w:val="00B62CF7"/>
    <w:rsid w:val="00B6361A"/>
    <w:rsid w:val="00B63B25"/>
    <w:rsid w:val="00B63E92"/>
    <w:rsid w:val="00B6442F"/>
    <w:rsid w:val="00B66321"/>
    <w:rsid w:val="00B663A1"/>
    <w:rsid w:val="00B6657A"/>
    <w:rsid w:val="00B66807"/>
    <w:rsid w:val="00B668CE"/>
    <w:rsid w:val="00B66DDF"/>
    <w:rsid w:val="00B675A1"/>
    <w:rsid w:val="00B677CB"/>
    <w:rsid w:val="00B67BE3"/>
    <w:rsid w:val="00B67EBF"/>
    <w:rsid w:val="00B7090F"/>
    <w:rsid w:val="00B70FA7"/>
    <w:rsid w:val="00B715E7"/>
    <w:rsid w:val="00B71B6C"/>
    <w:rsid w:val="00B71F53"/>
    <w:rsid w:val="00B7270C"/>
    <w:rsid w:val="00B72C9E"/>
    <w:rsid w:val="00B73265"/>
    <w:rsid w:val="00B733C5"/>
    <w:rsid w:val="00B73A18"/>
    <w:rsid w:val="00B73A99"/>
    <w:rsid w:val="00B73FBB"/>
    <w:rsid w:val="00B741B3"/>
    <w:rsid w:val="00B745CF"/>
    <w:rsid w:val="00B7490D"/>
    <w:rsid w:val="00B75334"/>
    <w:rsid w:val="00B755D4"/>
    <w:rsid w:val="00B75ED1"/>
    <w:rsid w:val="00B76221"/>
    <w:rsid w:val="00B762C3"/>
    <w:rsid w:val="00B76802"/>
    <w:rsid w:val="00B770A5"/>
    <w:rsid w:val="00B775A5"/>
    <w:rsid w:val="00B777A6"/>
    <w:rsid w:val="00B77DF6"/>
    <w:rsid w:val="00B77F51"/>
    <w:rsid w:val="00B8002A"/>
    <w:rsid w:val="00B80253"/>
    <w:rsid w:val="00B80455"/>
    <w:rsid w:val="00B80E6E"/>
    <w:rsid w:val="00B80F60"/>
    <w:rsid w:val="00B8102A"/>
    <w:rsid w:val="00B81793"/>
    <w:rsid w:val="00B81E99"/>
    <w:rsid w:val="00B8219B"/>
    <w:rsid w:val="00B82263"/>
    <w:rsid w:val="00B82B29"/>
    <w:rsid w:val="00B82E87"/>
    <w:rsid w:val="00B8333B"/>
    <w:rsid w:val="00B8381A"/>
    <w:rsid w:val="00B8402F"/>
    <w:rsid w:val="00B84818"/>
    <w:rsid w:val="00B84A85"/>
    <w:rsid w:val="00B84D22"/>
    <w:rsid w:val="00B859F6"/>
    <w:rsid w:val="00B85F09"/>
    <w:rsid w:val="00B86513"/>
    <w:rsid w:val="00B86921"/>
    <w:rsid w:val="00B8692C"/>
    <w:rsid w:val="00B86C00"/>
    <w:rsid w:val="00B879BA"/>
    <w:rsid w:val="00B87B96"/>
    <w:rsid w:val="00B87F72"/>
    <w:rsid w:val="00B87FF3"/>
    <w:rsid w:val="00B910DE"/>
    <w:rsid w:val="00B91127"/>
    <w:rsid w:val="00B911F8"/>
    <w:rsid w:val="00B915DC"/>
    <w:rsid w:val="00B91744"/>
    <w:rsid w:val="00B91F21"/>
    <w:rsid w:val="00B930AF"/>
    <w:rsid w:val="00B9435C"/>
    <w:rsid w:val="00B951A9"/>
    <w:rsid w:val="00B9544F"/>
    <w:rsid w:val="00B95B9E"/>
    <w:rsid w:val="00B95E40"/>
    <w:rsid w:val="00B960F4"/>
    <w:rsid w:val="00B962D5"/>
    <w:rsid w:val="00B96401"/>
    <w:rsid w:val="00B96A83"/>
    <w:rsid w:val="00B96D38"/>
    <w:rsid w:val="00B96D9C"/>
    <w:rsid w:val="00B96FFE"/>
    <w:rsid w:val="00B972CC"/>
    <w:rsid w:val="00B974C1"/>
    <w:rsid w:val="00B9763D"/>
    <w:rsid w:val="00B976DF"/>
    <w:rsid w:val="00B97DFB"/>
    <w:rsid w:val="00BA0427"/>
    <w:rsid w:val="00BA0732"/>
    <w:rsid w:val="00BA0BF0"/>
    <w:rsid w:val="00BA0FC6"/>
    <w:rsid w:val="00BA23A4"/>
    <w:rsid w:val="00BA2CA9"/>
    <w:rsid w:val="00BA2EC7"/>
    <w:rsid w:val="00BA2F27"/>
    <w:rsid w:val="00BA31B1"/>
    <w:rsid w:val="00BA33B9"/>
    <w:rsid w:val="00BA39B3"/>
    <w:rsid w:val="00BA3F93"/>
    <w:rsid w:val="00BA42D5"/>
    <w:rsid w:val="00BA45C7"/>
    <w:rsid w:val="00BA4BA6"/>
    <w:rsid w:val="00BA4D64"/>
    <w:rsid w:val="00BA4E14"/>
    <w:rsid w:val="00BA5097"/>
    <w:rsid w:val="00BA5FB9"/>
    <w:rsid w:val="00BA6A50"/>
    <w:rsid w:val="00BA7508"/>
    <w:rsid w:val="00BA7A67"/>
    <w:rsid w:val="00BA7A8D"/>
    <w:rsid w:val="00BA7AF8"/>
    <w:rsid w:val="00BB00C5"/>
    <w:rsid w:val="00BB09FA"/>
    <w:rsid w:val="00BB0B4D"/>
    <w:rsid w:val="00BB1294"/>
    <w:rsid w:val="00BB130A"/>
    <w:rsid w:val="00BB133F"/>
    <w:rsid w:val="00BB2784"/>
    <w:rsid w:val="00BB28F4"/>
    <w:rsid w:val="00BB28FF"/>
    <w:rsid w:val="00BB2D5B"/>
    <w:rsid w:val="00BB2D66"/>
    <w:rsid w:val="00BB31AE"/>
    <w:rsid w:val="00BB3BDD"/>
    <w:rsid w:val="00BB440C"/>
    <w:rsid w:val="00BB4623"/>
    <w:rsid w:val="00BB5069"/>
    <w:rsid w:val="00BB5DD8"/>
    <w:rsid w:val="00BB6296"/>
    <w:rsid w:val="00BB681F"/>
    <w:rsid w:val="00BC0256"/>
    <w:rsid w:val="00BC0341"/>
    <w:rsid w:val="00BC069A"/>
    <w:rsid w:val="00BC09B9"/>
    <w:rsid w:val="00BC0AD6"/>
    <w:rsid w:val="00BC0B3C"/>
    <w:rsid w:val="00BC0CCD"/>
    <w:rsid w:val="00BC0D37"/>
    <w:rsid w:val="00BC12FD"/>
    <w:rsid w:val="00BC1D9A"/>
    <w:rsid w:val="00BC245B"/>
    <w:rsid w:val="00BC2943"/>
    <w:rsid w:val="00BC299F"/>
    <w:rsid w:val="00BC2B91"/>
    <w:rsid w:val="00BC2D9C"/>
    <w:rsid w:val="00BC3CCA"/>
    <w:rsid w:val="00BC3F75"/>
    <w:rsid w:val="00BC3FEA"/>
    <w:rsid w:val="00BC56A6"/>
    <w:rsid w:val="00BC56EC"/>
    <w:rsid w:val="00BC596C"/>
    <w:rsid w:val="00BC5BC9"/>
    <w:rsid w:val="00BC68A2"/>
    <w:rsid w:val="00BC6B00"/>
    <w:rsid w:val="00BC7028"/>
    <w:rsid w:val="00BC7029"/>
    <w:rsid w:val="00BC7311"/>
    <w:rsid w:val="00BD0068"/>
    <w:rsid w:val="00BD0645"/>
    <w:rsid w:val="00BD0F63"/>
    <w:rsid w:val="00BD1368"/>
    <w:rsid w:val="00BD25F0"/>
    <w:rsid w:val="00BD2698"/>
    <w:rsid w:val="00BD286C"/>
    <w:rsid w:val="00BD2D89"/>
    <w:rsid w:val="00BD2E20"/>
    <w:rsid w:val="00BD30E1"/>
    <w:rsid w:val="00BD33E6"/>
    <w:rsid w:val="00BD3563"/>
    <w:rsid w:val="00BD361C"/>
    <w:rsid w:val="00BD372E"/>
    <w:rsid w:val="00BD3BB1"/>
    <w:rsid w:val="00BD46FD"/>
    <w:rsid w:val="00BD4C67"/>
    <w:rsid w:val="00BD55E9"/>
    <w:rsid w:val="00BD5927"/>
    <w:rsid w:val="00BD68B0"/>
    <w:rsid w:val="00BD6CF9"/>
    <w:rsid w:val="00BD6D4A"/>
    <w:rsid w:val="00BD762D"/>
    <w:rsid w:val="00BD76FF"/>
    <w:rsid w:val="00BD7C07"/>
    <w:rsid w:val="00BD7FE5"/>
    <w:rsid w:val="00BE04ED"/>
    <w:rsid w:val="00BE09BA"/>
    <w:rsid w:val="00BE14EB"/>
    <w:rsid w:val="00BE1A6F"/>
    <w:rsid w:val="00BE1A73"/>
    <w:rsid w:val="00BE1C36"/>
    <w:rsid w:val="00BE2220"/>
    <w:rsid w:val="00BE2511"/>
    <w:rsid w:val="00BE2567"/>
    <w:rsid w:val="00BE265D"/>
    <w:rsid w:val="00BE27D5"/>
    <w:rsid w:val="00BE2A80"/>
    <w:rsid w:val="00BE33FB"/>
    <w:rsid w:val="00BE3438"/>
    <w:rsid w:val="00BE3925"/>
    <w:rsid w:val="00BE41D7"/>
    <w:rsid w:val="00BE5F98"/>
    <w:rsid w:val="00BE68E6"/>
    <w:rsid w:val="00BE692A"/>
    <w:rsid w:val="00BE6D93"/>
    <w:rsid w:val="00BE6F40"/>
    <w:rsid w:val="00BE722E"/>
    <w:rsid w:val="00BE7F23"/>
    <w:rsid w:val="00BF0A86"/>
    <w:rsid w:val="00BF0AB0"/>
    <w:rsid w:val="00BF0ADC"/>
    <w:rsid w:val="00BF0EF9"/>
    <w:rsid w:val="00BF1003"/>
    <w:rsid w:val="00BF1F45"/>
    <w:rsid w:val="00BF2503"/>
    <w:rsid w:val="00BF2A17"/>
    <w:rsid w:val="00BF30EA"/>
    <w:rsid w:val="00BF39C5"/>
    <w:rsid w:val="00BF3AE3"/>
    <w:rsid w:val="00BF462E"/>
    <w:rsid w:val="00BF46E6"/>
    <w:rsid w:val="00BF4C5A"/>
    <w:rsid w:val="00BF54C4"/>
    <w:rsid w:val="00BF563E"/>
    <w:rsid w:val="00BF58BA"/>
    <w:rsid w:val="00BF5BCD"/>
    <w:rsid w:val="00BF615F"/>
    <w:rsid w:val="00BF650D"/>
    <w:rsid w:val="00BF75E5"/>
    <w:rsid w:val="00BF7807"/>
    <w:rsid w:val="00BF7F30"/>
    <w:rsid w:val="00C000C8"/>
    <w:rsid w:val="00C005B4"/>
    <w:rsid w:val="00C006AF"/>
    <w:rsid w:val="00C00DC6"/>
    <w:rsid w:val="00C00F44"/>
    <w:rsid w:val="00C012CD"/>
    <w:rsid w:val="00C0173A"/>
    <w:rsid w:val="00C0180B"/>
    <w:rsid w:val="00C01BCA"/>
    <w:rsid w:val="00C02F5D"/>
    <w:rsid w:val="00C03483"/>
    <w:rsid w:val="00C036F4"/>
    <w:rsid w:val="00C03908"/>
    <w:rsid w:val="00C05C0C"/>
    <w:rsid w:val="00C06034"/>
    <w:rsid w:val="00C06CD6"/>
    <w:rsid w:val="00C06FEF"/>
    <w:rsid w:val="00C079A1"/>
    <w:rsid w:val="00C079DE"/>
    <w:rsid w:val="00C10236"/>
    <w:rsid w:val="00C10DC0"/>
    <w:rsid w:val="00C11BEE"/>
    <w:rsid w:val="00C11E92"/>
    <w:rsid w:val="00C1329D"/>
    <w:rsid w:val="00C13679"/>
    <w:rsid w:val="00C13B94"/>
    <w:rsid w:val="00C14F3F"/>
    <w:rsid w:val="00C15203"/>
    <w:rsid w:val="00C15498"/>
    <w:rsid w:val="00C158FF"/>
    <w:rsid w:val="00C16AE5"/>
    <w:rsid w:val="00C17238"/>
    <w:rsid w:val="00C174C3"/>
    <w:rsid w:val="00C174DE"/>
    <w:rsid w:val="00C17DDE"/>
    <w:rsid w:val="00C17E4E"/>
    <w:rsid w:val="00C20B90"/>
    <w:rsid w:val="00C20C2E"/>
    <w:rsid w:val="00C20ECA"/>
    <w:rsid w:val="00C21185"/>
    <w:rsid w:val="00C218CD"/>
    <w:rsid w:val="00C21F1C"/>
    <w:rsid w:val="00C22AC7"/>
    <w:rsid w:val="00C22F65"/>
    <w:rsid w:val="00C22F81"/>
    <w:rsid w:val="00C23AEB"/>
    <w:rsid w:val="00C23BFB"/>
    <w:rsid w:val="00C23EB2"/>
    <w:rsid w:val="00C243C8"/>
    <w:rsid w:val="00C2449E"/>
    <w:rsid w:val="00C244F4"/>
    <w:rsid w:val="00C24566"/>
    <w:rsid w:val="00C245A0"/>
    <w:rsid w:val="00C25855"/>
    <w:rsid w:val="00C25C5A"/>
    <w:rsid w:val="00C25E3E"/>
    <w:rsid w:val="00C26178"/>
    <w:rsid w:val="00C262D7"/>
    <w:rsid w:val="00C26363"/>
    <w:rsid w:val="00C263AB"/>
    <w:rsid w:val="00C26DAF"/>
    <w:rsid w:val="00C2702B"/>
    <w:rsid w:val="00C270B0"/>
    <w:rsid w:val="00C27199"/>
    <w:rsid w:val="00C27331"/>
    <w:rsid w:val="00C30753"/>
    <w:rsid w:val="00C308E6"/>
    <w:rsid w:val="00C30C33"/>
    <w:rsid w:val="00C31791"/>
    <w:rsid w:val="00C31C9F"/>
    <w:rsid w:val="00C323F1"/>
    <w:rsid w:val="00C33457"/>
    <w:rsid w:val="00C33588"/>
    <w:rsid w:val="00C3380F"/>
    <w:rsid w:val="00C33970"/>
    <w:rsid w:val="00C33D9B"/>
    <w:rsid w:val="00C3406D"/>
    <w:rsid w:val="00C341B4"/>
    <w:rsid w:val="00C34A6F"/>
    <w:rsid w:val="00C34F8A"/>
    <w:rsid w:val="00C354BB"/>
    <w:rsid w:val="00C35924"/>
    <w:rsid w:val="00C360B5"/>
    <w:rsid w:val="00C361A4"/>
    <w:rsid w:val="00C36340"/>
    <w:rsid w:val="00C36529"/>
    <w:rsid w:val="00C36857"/>
    <w:rsid w:val="00C3717B"/>
    <w:rsid w:val="00C37213"/>
    <w:rsid w:val="00C3725B"/>
    <w:rsid w:val="00C37314"/>
    <w:rsid w:val="00C37F79"/>
    <w:rsid w:val="00C402BF"/>
    <w:rsid w:val="00C408DC"/>
    <w:rsid w:val="00C410AE"/>
    <w:rsid w:val="00C41D80"/>
    <w:rsid w:val="00C4223F"/>
    <w:rsid w:val="00C427E1"/>
    <w:rsid w:val="00C42C69"/>
    <w:rsid w:val="00C438BA"/>
    <w:rsid w:val="00C43CDF"/>
    <w:rsid w:val="00C451D5"/>
    <w:rsid w:val="00C45A85"/>
    <w:rsid w:val="00C4669A"/>
    <w:rsid w:val="00C46720"/>
    <w:rsid w:val="00C47500"/>
    <w:rsid w:val="00C47C37"/>
    <w:rsid w:val="00C47E10"/>
    <w:rsid w:val="00C50DDA"/>
    <w:rsid w:val="00C5124C"/>
    <w:rsid w:val="00C51AB6"/>
    <w:rsid w:val="00C52BB7"/>
    <w:rsid w:val="00C52C63"/>
    <w:rsid w:val="00C534CF"/>
    <w:rsid w:val="00C53640"/>
    <w:rsid w:val="00C5373F"/>
    <w:rsid w:val="00C5399A"/>
    <w:rsid w:val="00C540CC"/>
    <w:rsid w:val="00C54243"/>
    <w:rsid w:val="00C54530"/>
    <w:rsid w:val="00C54EAA"/>
    <w:rsid w:val="00C5696A"/>
    <w:rsid w:val="00C56ABB"/>
    <w:rsid w:val="00C56DD4"/>
    <w:rsid w:val="00C56F6C"/>
    <w:rsid w:val="00C571F2"/>
    <w:rsid w:val="00C572B0"/>
    <w:rsid w:val="00C574C4"/>
    <w:rsid w:val="00C57724"/>
    <w:rsid w:val="00C579B0"/>
    <w:rsid w:val="00C60C93"/>
    <w:rsid w:val="00C60DF6"/>
    <w:rsid w:val="00C6140F"/>
    <w:rsid w:val="00C61D0B"/>
    <w:rsid w:val="00C62163"/>
    <w:rsid w:val="00C626C5"/>
    <w:rsid w:val="00C630F4"/>
    <w:rsid w:val="00C63480"/>
    <w:rsid w:val="00C63604"/>
    <w:rsid w:val="00C63701"/>
    <w:rsid w:val="00C63838"/>
    <w:rsid w:val="00C64775"/>
    <w:rsid w:val="00C6500A"/>
    <w:rsid w:val="00C653D9"/>
    <w:rsid w:val="00C656D3"/>
    <w:rsid w:val="00C65B4C"/>
    <w:rsid w:val="00C65C1A"/>
    <w:rsid w:val="00C6633A"/>
    <w:rsid w:val="00C66389"/>
    <w:rsid w:val="00C66A17"/>
    <w:rsid w:val="00C6715A"/>
    <w:rsid w:val="00C677E7"/>
    <w:rsid w:val="00C70362"/>
    <w:rsid w:val="00C70808"/>
    <w:rsid w:val="00C72125"/>
    <w:rsid w:val="00C72254"/>
    <w:rsid w:val="00C722B0"/>
    <w:rsid w:val="00C734F5"/>
    <w:rsid w:val="00C7385A"/>
    <w:rsid w:val="00C73F5C"/>
    <w:rsid w:val="00C74DE7"/>
    <w:rsid w:val="00C75767"/>
    <w:rsid w:val="00C758DA"/>
    <w:rsid w:val="00C76540"/>
    <w:rsid w:val="00C7672B"/>
    <w:rsid w:val="00C76763"/>
    <w:rsid w:val="00C76816"/>
    <w:rsid w:val="00C76ADC"/>
    <w:rsid w:val="00C76C0A"/>
    <w:rsid w:val="00C76DDF"/>
    <w:rsid w:val="00C77C85"/>
    <w:rsid w:val="00C8026B"/>
    <w:rsid w:val="00C8067D"/>
    <w:rsid w:val="00C8151C"/>
    <w:rsid w:val="00C81EB1"/>
    <w:rsid w:val="00C825F1"/>
    <w:rsid w:val="00C82D0D"/>
    <w:rsid w:val="00C82E46"/>
    <w:rsid w:val="00C83A69"/>
    <w:rsid w:val="00C84183"/>
    <w:rsid w:val="00C8460C"/>
    <w:rsid w:val="00C8475B"/>
    <w:rsid w:val="00C8481F"/>
    <w:rsid w:val="00C8492A"/>
    <w:rsid w:val="00C84DF5"/>
    <w:rsid w:val="00C853F2"/>
    <w:rsid w:val="00C85991"/>
    <w:rsid w:val="00C866BC"/>
    <w:rsid w:val="00C872B6"/>
    <w:rsid w:val="00C87A2F"/>
    <w:rsid w:val="00C87F03"/>
    <w:rsid w:val="00C90807"/>
    <w:rsid w:val="00C90993"/>
    <w:rsid w:val="00C90F36"/>
    <w:rsid w:val="00C912A2"/>
    <w:rsid w:val="00C91871"/>
    <w:rsid w:val="00C9192D"/>
    <w:rsid w:val="00C91D4F"/>
    <w:rsid w:val="00C92B5B"/>
    <w:rsid w:val="00C92F89"/>
    <w:rsid w:val="00C931CD"/>
    <w:rsid w:val="00C94356"/>
    <w:rsid w:val="00C94641"/>
    <w:rsid w:val="00C946B5"/>
    <w:rsid w:val="00C94FA6"/>
    <w:rsid w:val="00C95E79"/>
    <w:rsid w:val="00C96834"/>
    <w:rsid w:val="00C968F6"/>
    <w:rsid w:val="00C96965"/>
    <w:rsid w:val="00C96AC7"/>
    <w:rsid w:val="00C96B24"/>
    <w:rsid w:val="00C96FCA"/>
    <w:rsid w:val="00C977EB"/>
    <w:rsid w:val="00C97B1E"/>
    <w:rsid w:val="00C97FB8"/>
    <w:rsid w:val="00CA0EA4"/>
    <w:rsid w:val="00CA11CA"/>
    <w:rsid w:val="00CA1282"/>
    <w:rsid w:val="00CA136C"/>
    <w:rsid w:val="00CA22DB"/>
    <w:rsid w:val="00CA2593"/>
    <w:rsid w:val="00CA276B"/>
    <w:rsid w:val="00CA31E8"/>
    <w:rsid w:val="00CA3851"/>
    <w:rsid w:val="00CA3B81"/>
    <w:rsid w:val="00CA3C63"/>
    <w:rsid w:val="00CA4231"/>
    <w:rsid w:val="00CA43A9"/>
    <w:rsid w:val="00CA46D3"/>
    <w:rsid w:val="00CA479C"/>
    <w:rsid w:val="00CA4841"/>
    <w:rsid w:val="00CA52F0"/>
    <w:rsid w:val="00CA5787"/>
    <w:rsid w:val="00CA5A6C"/>
    <w:rsid w:val="00CA5D0C"/>
    <w:rsid w:val="00CA6192"/>
    <w:rsid w:val="00CA63B4"/>
    <w:rsid w:val="00CA64E9"/>
    <w:rsid w:val="00CA6837"/>
    <w:rsid w:val="00CA69A3"/>
    <w:rsid w:val="00CA7145"/>
    <w:rsid w:val="00CA76A6"/>
    <w:rsid w:val="00CA789C"/>
    <w:rsid w:val="00CB0566"/>
    <w:rsid w:val="00CB0605"/>
    <w:rsid w:val="00CB06AF"/>
    <w:rsid w:val="00CB08BB"/>
    <w:rsid w:val="00CB10F4"/>
    <w:rsid w:val="00CB1416"/>
    <w:rsid w:val="00CB15A1"/>
    <w:rsid w:val="00CB1D48"/>
    <w:rsid w:val="00CB1F01"/>
    <w:rsid w:val="00CB2107"/>
    <w:rsid w:val="00CB2881"/>
    <w:rsid w:val="00CB2D32"/>
    <w:rsid w:val="00CB303C"/>
    <w:rsid w:val="00CB356D"/>
    <w:rsid w:val="00CB3658"/>
    <w:rsid w:val="00CB3B12"/>
    <w:rsid w:val="00CB489F"/>
    <w:rsid w:val="00CB4E33"/>
    <w:rsid w:val="00CB4F4C"/>
    <w:rsid w:val="00CB57F8"/>
    <w:rsid w:val="00CB5B67"/>
    <w:rsid w:val="00CB67B0"/>
    <w:rsid w:val="00CB783C"/>
    <w:rsid w:val="00CC0165"/>
    <w:rsid w:val="00CC0B2F"/>
    <w:rsid w:val="00CC0C06"/>
    <w:rsid w:val="00CC1E00"/>
    <w:rsid w:val="00CC212F"/>
    <w:rsid w:val="00CC2B27"/>
    <w:rsid w:val="00CC2F77"/>
    <w:rsid w:val="00CC33F0"/>
    <w:rsid w:val="00CC3D00"/>
    <w:rsid w:val="00CC3D03"/>
    <w:rsid w:val="00CC3D92"/>
    <w:rsid w:val="00CC5132"/>
    <w:rsid w:val="00CC52B2"/>
    <w:rsid w:val="00CC594B"/>
    <w:rsid w:val="00CC6064"/>
    <w:rsid w:val="00CC659F"/>
    <w:rsid w:val="00CC6D5B"/>
    <w:rsid w:val="00CC736C"/>
    <w:rsid w:val="00CC766C"/>
    <w:rsid w:val="00CC7B6E"/>
    <w:rsid w:val="00CC7DA4"/>
    <w:rsid w:val="00CD02E2"/>
    <w:rsid w:val="00CD0D97"/>
    <w:rsid w:val="00CD0FE3"/>
    <w:rsid w:val="00CD13B7"/>
    <w:rsid w:val="00CD1918"/>
    <w:rsid w:val="00CD199F"/>
    <w:rsid w:val="00CD19F1"/>
    <w:rsid w:val="00CD1E50"/>
    <w:rsid w:val="00CD2016"/>
    <w:rsid w:val="00CD2588"/>
    <w:rsid w:val="00CD297C"/>
    <w:rsid w:val="00CD2CC9"/>
    <w:rsid w:val="00CD2F86"/>
    <w:rsid w:val="00CD3691"/>
    <w:rsid w:val="00CD3D8D"/>
    <w:rsid w:val="00CD3E22"/>
    <w:rsid w:val="00CD3E60"/>
    <w:rsid w:val="00CD40F0"/>
    <w:rsid w:val="00CD40F3"/>
    <w:rsid w:val="00CD4868"/>
    <w:rsid w:val="00CD4962"/>
    <w:rsid w:val="00CD49AB"/>
    <w:rsid w:val="00CD4CA5"/>
    <w:rsid w:val="00CD4DC8"/>
    <w:rsid w:val="00CD4FCD"/>
    <w:rsid w:val="00CD531F"/>
    <w:rsid w:val="00CD5898"/>
    <w:rsid w:val="00CD5C84"/>
    <w:rsid w:val="00CD62C0"/>
    <w:rsid w:val="00CD7954"/>
    <w:rsid w:val="00CE03A3"/>
    <w:rsid w:val="00CE0619"/>
    <w:rsid w:val="00CE0B35"/>
    <w:rsid w:val="00CE0B9A"/>
    <w:rsid w:val="00CE0D42"/>
    <w:rsid w:val="00CE0E75"/>
    <w:rsid w:val="00CE0F6F"/>
    <w:rsid w:val="00CE1558"/>
    <w:rsid w:val="00CE1CF8"/>
    <w:rsid w:val="00CE1D2F"/>
    <w:rsid w:val="00CE1E49"/>
    <w:rsid w:val="00CE2292"/>
    <w:rsid w:val="00CE24FF"/>
    <w:rsid w:val="00CE2926"/>
    <w:rsid w:val="00CE2C92"/>
    <w:rsid w:val="00CE2D36"/>
    <w:rsid w:val="00CE2DDE"/>
    <w:rsid w:val="00CE31D4"/>
    <w:rsid w:val="00CE3979"/>
    <w:rsid w:val="00CE40CB"/>
    <w:rsid w:val="00CE4BEA"/>
    <w:rsid w:val="00CE4DAD"/>
    <w:rsid w:val="00CE51D1"/>
    <w:rsid w:val="00CE5935"/>
    <w:rsid w:val="00CE59D3"/>
    <w:rsid w:val="00CE5A37"/>
    <w:rsid w:val="00CE62DF"/>
    <w:rsid w:val="00CE67AE"/>
    <w:rsid w:val="00CE692E"/>
    <w:rsid w:val="00CE6ADF"/>
    <w:rsid w:val="00CE6BAD"/>
    <w:rsid w:val="00CE6E2E"/>
    <w:rsid w:val="00CE7429"/>
    <w:rsid w:val="00CE752B"/>
    <w:rsid w:val="00CE77ED"/>
    <w:rsid w:val="00CE7DCB"/>
    <w:rsid w:val="00CF0830"/>
    <w:rsid w:val="00CF0DC7"/>
    <w:rsid w:val="00CF1958"/>
    <w:rsid w:val="00CF1AE2"/>
    <w:rsid w:val="00CF2224"/>
    <w:rsid w:val="00CF3596"/>
    <w:rsid w:val="00CF406A"/>
    <w:rsid w:val="00CF41A3"/>
    <w:rsid w:val="00CF492B"/>
    <w:rsid w:val="00CF49F2"/>
    <w:rsid w:val="00CF5A38"/>
    <w:rsid w:val="00CF5CAA"/>
    <w:rsid w:val="00CF6292"/>
    <w:rsid w:val="00CF63C5"/>
    <w:rsid w:val="00CF66C0"/>
    <w:rsid w:val="00CF68AF"/>
    <w:rsid w:val="00CF6A0C"/>
    <w:rsid w:val="00CF6B60"/>
    <w:rsid w:val="00CF6D77"/>
    <w:rsid w:val="00CF7E9C"/>
    <w:rsid w:val="00D00391"/>
    <w:rsid w:val="00D00701"/>
    <w:rsid w:val="00D012D5"/>
    <w:rsid w:val="00D01797"/>
    <w:rsid w:val="00D020A2"/>
    <w:rsid w:val="00D026DF"/>
    <w:rsid w:val="00D02E87"/>
    <w:rsid w:val="00D0302F"/>
    <w:rsid w:val="00D031C5"/>
    <w:rsid w:val="00D032A0"/>
    <w:rsid w:val="00D03470"/>
    <w:rsid w:val="00D034F7"/>
    <w:rsid w:val="00D03A70"/>
    <w:rsid w:val="00D042A9"/>
    <w:rsid w:val="00D0469C"/>
    <w:rsid w:val="00D04F7A"/>
    <w:rsid w:val="00D050E3"/>
    <w:rsid w:val="00D05B5A"/>
    <w:rsid w:val="00D05D37"/>
    <w:rsid w:val="00D05FC2"/>
    <w:rsid w:val="00D067DE"/>
    <w:rsid w:val="00D06A8E"/>
    <w:rsid w:val="00D06BD1"/>
    <w:rsid w:val="00D06EDE"/>
    <w:rsid w:val="00D07BE3"/>
    <w:rsid w:val="00D07CB0"/>
    <w:rsid w:val="00D102C8"/>
    <w:rsid w:val="00D104C2"/>
    <w:rsid w:val="00D10626"/>
    <w:rsid w:val="00D10C05"/>
    <w:rsid w:val="00D11030"/>
    <w:rsid w:val="00D11101"/>
    <w:rsid w:val="00D114B3"/>
    <w:rsid w:val="00D118CA"/>
    <w:rsid w:val="00D11A6F"/>
    <w:rsid w:val="00D12029"/>
    <w:rsid w:val="00D1283C"/>
    <w:rsid w:val="00D12971"/>
    <w:rsid w:val="00D13022"/>
    <w:rsid w:val="00D133A9"/>
    <w:rsid w:val="00D13A8E"/>
    <w:rsid w:val="00D13BF6"/>
    <w:rsid w:val="00D1445C"/>
    <w:rsid w:val="00D149B1"/>
    <w:rsid w:val="00D149B7"/>
    <w:rsid w:val="00D151B1"/>
    <w:rsid w:val="00D154CC"/>
    <w:rsid w:val="00D1566F"/>
    <w:rsid w:val="00D15768"/>
    <w:rsid w:val="00D15949"/>
    <w:rsid w:val="00D16110"/>
    <w:rsid w:val="00D16BD3"/>
    <w:rsid w:val="00D16D00"/>
    <w:rsid w:val="00D17173"/>
    <w:rsid w:val="00D1768C"/>
    <w:rsid w:val="00D176A3"/>
    <w:rsid w:val="00D17CD1"/>
    <w:rsid w:val="00D205B6"/>
    <w:rsid w:val="00D2083C"/>
    <w:rsid w:val="00D20846"/>
    <w:rsid w:val="00D209A7"/>
    <w:rsid w:val="00D20E62"/>
    <w:rsid w:val="00D21357"/>
    <w:rsid w:val="00D21B44"/>
    <w:rsid w:val="00D21BB6"/>
    <w:rsid w:val="00D220CE"/>
    <w:rsid w:val="00D226B6"/>
    <w:rsid w:val="00D22A51"/>
    <w:rsid w:val="00D22CA2"/>
    <w:rsid w:val="00D22D65"/>
    <w:rsid w:val="00D23014"/>
    <w:rsid w:val="00D234D7"/>
    <w:rsid w:val="00D23AEE"/>
    <w:rsid w:val="00D23AEF"/>
    <w:rsid w:val="00D23B7C"/>
    <w:rsid w:val="00D23CE5"/>
    <w:rsid w:val="00D23F80"/>
    <w:rsid w:val="00D2445C"/>
    <w:rsid w:val="00D2448A"/>
    <w:rsid w:val="00D24B18"/>
    <w:rsid w:val="00D24CEC"/>
    <w:rsid w:val="00D24D13"/>
    <w:rsid w:val="00D24DCF"/>
    <w:rsid w:val="00D25613"/>
    <w:rsid w:val="00D25FB2"/>
    <w:rsid w:val="00D26479"/>
    <w:rsid w:val="00D267DF"/>
    <w:rsid w:val="00D26B43"/>
    <w:rsid w:val="00D26D31"/>
    <w:rsid w:val="00D278B1"/>
    <w:rsid w:val="00D27A34"/>
    <w:rsid w:val="00D27AF2"/>
    <w:rsid w:val="00D30719"/>
    <w:rsid w:val="00D30984"/>
    <w:rsid w:val="00D3173F"/>
    <w:rsid w:val="00D31943"/>
    <w:rsid w:val="00D31B97"/>
    <w:rsid w:val="00D31DF0"/>
    <w:rsid w:val="00D32F93"/>
    <w:rsid w:val="00D32FD3"/>
    <w:rsid w:val="00D333EA"/>
    <w:rsid w:val="00D33847"/>
    <w:rsid w:val="00D338EB"/>
    <w:rsid w:val="00D33F4A"/>
    <w:rsid w:val="00D344B5"/>
    <w:rsid w:val="00D3570C"/>
    <w:rsid w:val="00D35947"/>
    <w:rsid w:val="00D359C6"/>
    <w:rsid w:val="00D3601D"/>
    <w:rsid w:val="00D36201"/>
    <w:rsid w:val="00D36F7B"/>
    <w:rsid w:val="00D36FAC"/>
    <w:rsid w:val="00D36FB4"/>
    <w:rsid w:val="00D37078"/>
    <w:rsid w:val="00D37AA2"/>
    <w:rsid w:val="00D400F9"/>
    <w:rsid w:val="00D40773"/>
    <w:rsid w:val="00D407A6"/>
    <w:rsid w:val="00D4090E"/>
    <w:rsid w:val="00D41942"/>
    <w:rsid w:val="00D41AC1"/>
    <w:rsid w:val="00D41D76"/>
    <w:rsid w:val="00D424E8"/>
    <w:rsid w:val="00D425A3"/>
    <w:rsid w:val="00D4265B"/>
    <w:rsid w:val="00D4282C"/>
    <w:rsid w:val="00D42E4F"/>
    <w:rsid w:val="00D42EEC"/>
    <w:rsid w:val="00D43FD5"/>
    <w:rsid w:val="00D44044"/>
    <w:rsid w:val="00D44106"/>
    <w:rsid w:val="00D441D1"/>
    <w:rsid w:val="00D44503"/>
    <w:rsid w:val="00D44DAF"/>
    <w:rsid w:val="00D452F4"/>
    <w:rsid w:val="00D45475"/>
    <w:rsid w:val="00D45983"/>
    <w:rsid w:val="00D459CE"/>
    <w:rsid w:val="00D460CD"/>
    <w:rsid w:val="00D464F3"/>
    <w:rsid w:val="00D474C0"/>
    <w:rsid w:val="00D47611"/>
    <w:rsid w:val="00D50352"/>
    <w:rsid w:val="00D503B4"/>
    <w:rsid w:val="00D505AB"/>
    <w:rsid w:val="00D5075A"/>
    <w:rsid w:val="00D5092A"/>
    <w:rsid w:val="00D50DBB"/>
    <w:rsid w:val="00D50FDD"/>
    <w:rsid w:val="00D5117A"/>
    <w:rsid w:val="00D51B17"/>
    <w:rsid w:val="00D52BDE"/>
    <w:rsid w:val="00D52F05"/>
    <w:rsid w:val="00D53A60"/>
    <w:rsid w:val="00D54790"/>
    <w:rsid w:val="00D54870"/>
    <w:rsid w:val="00D55067"/>
    <w:rsid w:val="00D55677"/>
    <w:rsid w:val="00D55FB1"/>
    <w:rsid w:val="00D5653F"/>
    <w:rsid w:val="00D5658B"/>
    <w:rsid w:val="00D56679"/>
    <w:rsid w:val="00D568A3"/>
    <w:rsid w:val="00D56999"/>
    <w:rsid w:val="00D56EA9"/>
    <w:rsid w:val="00D56F3F"/>
    <w:rsid w:val="00D571A1"/>
    <w:rsid w:val="00D574AD"/>
    <w:rsid w:val="00D57546"/>
    <w:rsid w:val="00D57879"/>
    <w:rsid w:val="00D57BC3"/>
    <w:rsid w:val="00D57CC7"/>
    <w:rsid w:val="00D57EFC"/>
    <w:rsid w:val="00D60B6A"/>
    <w:rsid w:val="00D61640"/>
    <w:rsid w:val="00D61682"/>
    <w:rsid w:val="00D61962"/>
    <w:rsid w:val="00D619BA"/>
    <w:rsid w:val="00D61D26"/>
    <w:rsid w:val="00D6226E"/>
    <w:rsid w:val="00D64623"/>
    <w:rsid w:val="00D646A4"/>
    <w:rsid w:val="00D64A78"/>
    <w:rsid w:val="00D64AA8"/>
    <w:rsid w:val="00D64DA9"/>
    <w:rsid w:val="00D6515B"/>
    <w:rsid w:val="00D6529A"/>
    <w:rsid w:val="00D6535C"/>
    <w:rsid w:val="00D654CE"/>
    <w:rsid w:val="00D65779"/>
    <w:rsid w:val="00D65BDD"/>
    <w:rsid w:val="00D66278"/>
    <w:rsid w:val="00D66B45"/>
    <w:rsid w:val="00D66BB6"/>
    <w:rsid w:val="00D66F49"/>
    <w:rsid w:val="00D678FD"/>
    <w:rsid w:val="00D67F1F"/>
    <w:rsid w:val="00D70111"/>
    <w:rsid w:val="00D7059D"/>
    <w:rsid w:val="00D70CC3"/>
    <w:rsid w:val="00D71200"/>
    <w:rsid w:val="00D7151F"/>
    <w:rsid w:val="00D71679"/>
    <w:rsid w:val="00D718E2"/>
    <w:rsid w:val="00D72668"/>
    <w:rsid w:val="00D729B6"/>
    <w:rsid w:val="00D729B8"/>
    <w:rsid w:val="00D72AB7"/>
    <w:rsid w:val="00D7339D"/>
    <w:rsid w:val="00D737F0"/>
    <w:rsid w:val="00D7476A"/>
    <w:rsid w:val="00D751F3"/>
    <w:rsid w:val="00D75345"/>
    <w:rsid w:val="00D75854"/>
    <w:rsid w:val="00D75897"/>
    <w:rsid w:val="00D75BB8"/>
    <w:rsid w:val="00D76236"/>
    <w:rsid w:val="00D762FB"/>
    <w:rsid w:val="00D76401"/>
    <w:rsid w:val="00D765A9"/>
    <w:rsid w:val="00D76917"/>
    <w:rsid w:val="00D76930"/>
    <w:rsid w:val="00D76BA0"/>
    <w:rsid w:val="00D777F1"/>
    <w:rsid w:val="00D778CE"/>
    <w:rsid w:val="00D805A3"/>
    <w:rsid w:val="00D806FF"/>
    <w:rsid w:val="00D8090B"/>
    <w:rsid w:val="00D80B8B"/>
    <w:rsid w:val="00D81B88"/>
    <w:rsid w:val="00D822CA"/>
    <w:rsid w:val="00D82312"/>
    <w:rsid w:val="00D82320"/>
    <w:rsid w:val="00D8243F"/>
    <w:rsid w:val="00D82678"/>
    <w:rsid w:val="00D8271C"/>
    <w:rsid w:val="00D82908"/>
    <w:rsid w:val="00D82938"/>
    <w:rsid w:val="00D82C80"/>
    <w:rsid w:val="00D82D98"/>
    <w:rsid w:val="00D837B8"/>
    <w:rsid w:val="00D842E0"/>
    <w:rsid w:val="00D844F6"/>
    <w:rsid w:val="00D84711"/>
    <w:rsid w:val="00D84821"/>
    <w:rsid w:val="00D8493F"/>
    <w:rsid w:val="00D84B1E"/>
    <w:rsid w:val="00D858B1"/>
    <w:rsid w:val="00D86184"/>
    <w:rsid w:val="00D8649C"/>
    <w:rsid w:val="00D8673F"/>
    <w:rsid w:val="00D86BAD"/>
    <w:rsid w:val="00D86D10"/>
    <w:rsid w:val="00D878FB"/>
    <w:rsid w:val="00D87AF8"/>
    <w:rsid w:val="00D87D86"/>
    <w:rsid w:val="00D87E0C"/>
    <w:rsid w:val="00D904C6"/>
    <w:rsid w:val="00D90CDD"/>
    <w:rsid w:val="00D91C23"/>
    <w:rsid w:val="00D9253B"/>
    <w:rsid w:val="00D9317D"/>
    <w:rsid w:val="00D936D6"/>
    <w:rsid w:val="00D93CD1"/>
    <w:rsid w:val="00D93DF3"/>
    <w:rsid w:val="00D9451E"/>
    <w:rsid w:val="00D9470D"/>
    <w:rsid w:val="00D94D28"/>
    <w:rsid w:val="00D94F3C"/>
    <w:rsid w:val="00D95687"/>
    <w:rsid w:val="00D956EE"/>
    <w:rsid w:val="00D95A47"/>
    <w:rsid w:val="00D960BD"/>
    <w:rsid w:val="00D96266"/>
    <w:rsid w:val="00D962EC"/>
    <w:rsid w:val="00D96435"/>
    <w:rsid w:val="00D96645"/>
    <w:rsid w:val="00D96937"/>
    <w:rsid w:val="00D96A76"/>
    <w:rsid w:val="00D96E50"/>
    <w:rsid w:val="00D96FE9"/>
    <w:rsid w:val="00D96FF3"/>
    <w:rsid w:val="00D971E0"/>
    <w:rsid w:val="00D97433"/>
    <w:rsid w:val="00D97C5D"/>
    <w:rsid w:val="00DA04D3"/>
    <w:rsid w:val="00DA04DF"/>
    <w:rsid w:val="00DA0AC5"/>
    <w:rsid w:val="00DA11B7"/>
    <w:rsid w:val="00DA127B"/>
    <w:rsid w:val="00DA16AC"/>
    <w:rsid w:val="00DA19E9"/>
    <w:rsid w:val="00DA1BA1"/>
    <w:rsid w:val="00DA23AB"/>
    <w:rsid w:val="00DA2BBD"/>
    <w:rsid w:val="00DA389F"/>
    <w:rsid w:val="00DA39BC"/>
    <w:rsid w:val="00DA3A59"/>
    <w:rsid w:val="00DA44CF"/>
    <w:rsid w:val="00DA4730"/>
    <w:rsid w:val="00DA48C7"/>
    <w:rsid w:val="00DA4DED"/>
    <w:rsid w:val="00DA4EB4"/>
    <w:rsid w:val="00DA532E"/>
    <w:rsid w:val="00DA5F5F"/>
    <w:rsid w:val="00DA6024"/>
    <w:rsid w:val="00DA602C"/>
    <w:rsid w:val="00DA628D"/>
    <w:rsid w:val="00DA6488"/>
    <w:rsid w:val="00DA6589"/>
    <w:rsid w:val="00DA66F0"/>
    <w:rsid w:val="00DA697F"/>
    <w:rsid w:val="00DA7165"/>
    <w:rsid w:val="00DA79C9"/>
    <w:rsid w:val="00DA7F47"/>
    <w:rsid w:val="00DA7F57"/>
    <w:rsid w:val="00DB00A0"/>
    <w:rsid w:val="00DB04C4"/>
    <w:rsid w:val="00DB0C66"/>
    <w:rsid w:val="00DB2382"/>
    <w:rsid w:val="00DB29C9"/>
    <w:rsid w:val="00DB2F30"/>
    <w:rsid w:val="00DB322C"/>
    <w:rsid w:val="00DB3D7C"/>
    <w:rsid w:val="00DB3E08"/>
    <w:rsid w:val="00DB451E"/>
    <w:rsid w:val="00DB476E"/>
    <w:rsid w:val="00DB4F60"/>
    <w:rsid w:val="00DB56F5"/>
    <w:rsid w:val="00DB5944"/>
    <w:rsid w:val="00DB5F96"/>
    <w:rsid w:val="00DB5FD0"/>
    <w:rsid w:val="00DB62AF"/>
    <w:rsid w:val="00DB673A"/>
    <w:rsid w:val="00DB752E"/>
    <w:rsid w:val="00DB7D44"/>
    <w:rsid w:val="00DB7E19"/>
    <w:rsid w:val="00DC0017"/>
    <w:rsid w:val="00DC0404"/>
    <w:rsid w:val="00DC08D5"/>
    <w:rsid w:val="00DC0907"/>
    <w:rsid w:val="00DC1031"/>
    <w:rsid w:val="00DC1045"/>
    <w:rsid w:val="00DC133B"/>
    <w:rsid w:val="00DC165D"/>
    <w:rsid w:val="00DC19A3"/>
    <w:rsid w:val="00DC19B0"/>
    <w:rsid w:val="00DC2295"/>
    <w:rsid w:val="00DC24E8"/>
    <w:rsid w:val="00DC36C9"/>
    <w:rsid w:val="00DC39AC"/>
    <w:rsid w:val="00DC3D81"/>
    <w:rsid w:val="00DC491A"/>
    <w:rsid w:val="00DC5C34"/>
    <w:rsid w:val="00DC601E"/>
    <w:rsid w:val="00DC61F3"/>
    <w:rsid w:val="00DC635F"/>
    <w:rsid w:val="00DC65BE"/>
    <w:rsid w:val="00DC6872"/>
    <w:rsid w:val="00DC6F85"/>
    <w:rsid w:val="00DC71F8"/>
    <w:rsid w:val="00DC72F8"/>
    <w:rsid w:val="00DC79BB"/>
    <w:rsid w:val="00DC7BA3"/>
    <w:rsid w:val="00DC7D0C"/>
    <w:rsid w:val="00DC7DA5"/>
    <w:rsid w:val="00DD0277"/>
    <w:rsid w:val="00DD08FE"/>
    <w:rsid w:val="00DD0B86"/>
    <w:rsid w:val="00DD1422"/>
    <w:rsid w:val="00DD1463"/>
    <w:rsid w:val="00DD18A6"/>
    <w:rsid w:val="00DD1949"/>
    <w:rsid w:val="00DD20EA"/>
    <w:rsid w:val="00DD21E1"/>
    <w:rsid w:val="00DD261B"/>
    <w:rsid w:val="00DD261E"/>
    <w:rsid w:val="00DD2AC6"/>
    <w:rsid w:val="00DD2C8F"/>
    <w:rsid w:val="00DD348B"/>
    <w:rsid w:val="00DD3865"/>
    <w:rsid w:val="00DD3C54"/>
    <w:rsid w:val="00DD3C7D"/>
    <w:rsid w:val="00DD453C"/>
    <w:rsid w:val="00DD45D4"/>
    <w:rsid w:val="00DD489F"/>
    <w:rsid w:val="00DD4A21"/>
    <w:rsid w:val="00DD5343"/>
    <w:rsid w:val="00DD5938"/>
    <w:rsid w:val="00DD5A7E"/>
    <w:rsid w:val="00DD5D76"/>
    <w:rsid w:val="00DD6159"/>
    <w:rsid w:val="00DD6459"/>
    <w:rsid w:val="00DD65E3"/>
    <w:rsid w:val="00DD6C14"/>
    <w:rsid w:val="00DD6CEB"/>
    <w:rsid w:val="00DD6DAB"/>
    <w:rsid w:val="00DD6FE9"/>
    <w:rsid w:val="00DD71D0"/>
    <w:rsid w:val="00DD71D8"/>
    <w:rsid w:val="00DD724C"/>
    <w:rsid w:val="00DD733B"/>
    <w:rsid w:val="00DD77B9"/>
    <w:rsid w:val="00DE02AF"/>
    <w:rsid w:val="00DE0CC4"/>
    <w:rsid w:val="00DE1538"/>
    <w:rsid w:val="00DE240D"/>
    <w:rsid w:val="00DE2513"/>
    <w:rsid w:val="00DE3BEF"/>
    <w:rsid w:val="00DE3CCD"/>
    <w:rsid w:val="00DE42EA"/>
    <w:rsid w:val="00DE4BDF"/>
    <w:rsid w:val="00DE4F61"/>
    <w:rsid w:val="00DE66F5"/>
    <w:rsid w:val="00DE6856"/>
    <w:rsid w:val="00DE6874"/>
    <w:rsid w:val="00DE6B30"/>
    <w:rsid w:val="00DE6B6D"/>
    <w:rsid w:val="00DE725B"/>
    <w:rsid w:val="00DE7503"/>
    <w:rsid w:val="00DE7866"/>
    <w:rsid w:val="00DE7AA4"/>
    <w:rsid w:val="00DF006A"/>
    <w:rsid w:val="00DF0086"/>
    <w:rsid w:val="00DF052E"/>
    <w:rsid w:val="00DF0B87"/>
    <w:rsid w:val="00DF1556"/>
    <w:rsid w:val="00DF16C0"/>
    <w:rsid w:val="00DF1745"/>
    <w:rsid w:val="00DF1A97"/>
    <w:rsid w:val="00DF1F60"/>
    <w:rsid w:val="00DF2238"/>
    <w:rsid w:val="00DF2600"/>
    <w:rsid w:val="00DF26FF"/>
    <w:rsid w:val="00DF27C3"/>
    <w:rsid w:val="00DF2D67"/>
    <w:rsid w:val="00DF2E52"/>
    <w:rsid w:val="00DF301B"/>
    <w:rsid w:val="00DF3085"/>
    <w:rsid w:val="00DF375F"/>
    <w:rsid w:val="00DF3960"/>
    <w:rsid w:val="00DF3B40"/>
    <w:rsid w:val="00DF3D5A"/>
    <w:rsid w:val="00DF432A"/>
    <w:rsid w:val="00DF4468"/>
    <w:rsid w:val="00DF47B0"/>
    <w:rsid w:val="00DF5412"/>
    <w:rsid w:val="00DF5984"/>
    <w:rsid w:val="00DF5A5A"/>
    <w:rsid w:val="00DF6049"/>
    <w:rsid w:val="00DF66CB"/>
    <w:rsid w:val="00DF6A35"/>
    <w:rsid w:val="00DF7020"/>
    <w:rsid w:val="00DF7431"/>
    <w:rsid w:val="00DF783D"/>
    <w:rsid w:val="00DF78AA"/>
    <w:rsid w:val="00DF78D6"/>
    <w:rsid w:val="00DF7934"/>
    <w:rsid w:val="00DF7F8F"/>
    <w:rsid w:val="00E001CE"/>
    <w:rsid w:val="00E00C7E"/>
    <w:rsid w:val="00E0177E"/>
    <w:rsid w:val="00E017DD"/>
    <w:rsid w:val="00E01EED"/>
    <w:rsid w:val="00E026E1"/>
    <w:rsid w:val="00E02E82"/>
    <w:rsid w:val="00E03C88"/>
    <w:rsid w:val="00E03CA4"/>
    <w:rsid w:val="00E03D42"/>
    <w:rsid w:val="00E03E51"/>
    <w:rsid w:val="00E03F24"/>
    <w:rsid w:val="00E04249"/>
    <w:rsid w:val="00E046C6"/>
    <w:rsid w:val="00E047A5"/>
    <w:rsid w:val="00E047F5"/>
    <w:rsid w:val="00E04A1D"/>
    <w:rsid w:val="00E04F68"/>
    <w:rsid w:val="00E05036"/>
    <w:rsid w:val="00E051CE"/>
    <w:rsid w:val="00E052C2"/>
    <w:rsid w:val="00E05553"/>
    <w:rsid w:val="00E057F7"/>
    <w:rsid w:val="00E05898"/>
    <w:rsid w:val="00E05AD9"/>
    <w:rsid w:val="00E06167"/>
    <w:rsid w:val="00E06619"/>
    <w:rsid w:val="00E066AD"/>
    <w:rsid w:val="00E0685E"/>
    <w:rsid w:val="00E0711D"/>
    <w:rsid w:val="00E07F9C"/>
    <w:rsid w:val="00E11497"/>
    <w:rsid w:val="00E11560"/>
    <w:rsid w:val="00E11E0A"/>
    <w:rsid w:val="00E11F3E"/>
    <w:rsid w:val="00E11F6E"/>
    <w:rsid w:val="00E12306"/>
    <w:rsid w:val="00E124BD"/>
    <w:rsid w:val="00E126C8"/>
    <w:rsid w:val="00E135FA"/>
    <w:rsid w:val="00E13A85"/>
    <w:rsid w:val="00E13D64"/>
    <w:rsid w:val="00E14106"/>
    <w:rsid w:val="00E141C1"/>
    <w:rsid w:val="00E1483C"/>
    <w:rsid w:val="00E14B39"/>
    <w:rsid w:val="00E14D10"/>
    <w:rsid w:val="00E14F90"/>
    <w:rsid w:val="00E1511F"/>
    <w:rsid w:val="00E15454"/>
    <w:rsid w:val="00E15465"/>
    <w:rsid w:val="00E1568A"/>
    <w:rsid w:val="00E165AD"/>
    <w:rsid w:val="00E165E3"/>
    <w:rsid w:val="00E16AAB"/>
    <w:rsid w:val="00E171C7"/>
    <w:rsid w:val="00E17AD1"/>
    <w:rsid w:val="00E17B0F"/>
    <w:rsid w:val="00E20003"/>
    <w:rsid w:val="00E200F5"/>
    <w:rsid w:val="00E2034D"/>
    <w:rsid w:val="00E203E2"/>
    <w:rsid w:val="00E21459"/>
    <w:rsid w:val="00E216A8"/>
    <w:rsid w:val="00E21B10"/>
    <w:rsid w:val="00E21FD9"/>
    <w:rsid w:val="00E221C2"/>
    <w:rsid w:val="00E222D4"/>
    <w:rsid w:val="00E23F14"/>
    <w:rsid w:val="00E24076"/>
    <w:rsid w:val="00E241C3"/>
    <w:rsid w:val="00E24430"/>
    <w:rsid w:val="00E2444F"/>
    <w:rsid w:val="00E24526"/>
    <w:rsid w:val="00E24969"/>
    <w:rsid w:val="00E24DD7"/>
    <w:rsid w:val="00E25609"/>
    <w:rsid w:val="00E25E3F"/>
    <w:rsid w:val="00E264C4"/>
    <w:rsid w:val="00E26896"/>
    <w:rsid w:val="00E268D7"/>
    <w:rsid w:val="00E275BE"/>
    <w:rsid w:val="00E27CA9"/>
    <w:rsid w:val="00E307FD"/>
    <w:rsid w:val="00E30899"/>
    <w:rsid w:val="00E30D8F"/>
    <w:rsid w:val="00E316BE"/>
    <w:rsid w:val="00E31C20"/>
    <w:rsid w:val="00E31FD0"/>
    <w:rsid w:val="00E330A5"/>
    <w:rsid w:val="00E33393"/>
    <w:rsid w:val="00E33729"/>
    <w:rsid w:val="00E33815"/>
    <w:rsid w:val="00E33930"/>
    <w:rsid w:val="00E340C2"/>
    <w:rsid w:val="00E34736"/>
    <w:rsid w:val="00E3494E"/>
    <w:rsid w:val="00E34A7D"/>
    <w:rsid w:val="00E34CE3"/>
    <w:rsid w:val="00E34E86"/>
    <w:rsid w:val="00E34F24"/>
    <w:rsid w:val="00E350EC"/>
    <w:rsid w:val="00E3527A"/>
    <w:rsid w:val="00E3576E"/>
    <w:rsid w:val="00E35BF4"/>
    <w:rsid w:val="00E36394"/>
    <w:rsid w:val="00E36511"/>
    <w:rsid w:val="00E36A47"/>
    <w:rsid w:val="00E36AF0"/>
    <w:rsid w:val="00E36B48"/>
    <w:rsid w:val="00E36B70"/>
    <w:rsid w:val="00E36DEF"/>
    <w:rsid w:val="00E371EF"/>
    <w:rsid w:val="00E3792D"/>
    <w:rsid w:val="00E37C65"/>
    <w:rsid w:val="00E40261"/>
    <w:rsid w:val="00E4032C"/>
    <w:rsid w:val="00E4036B"/>
    <w:rsid w:val="00E404E1"/>
    <w:rsid w:val="00E40967"/>
    <w:rsid w:val="00E40DE8"/>
    <w:rsid w:val="00E417AB"/>
    <w:rsid w:val="00E418A3"/>
    <w:rsid w:val="00E41B8C"/>
    <w:rsid w:val="00E422CB"/>
    <w:rsid w:val="00E425AE"/>
    <w:rsid w:val="00E4287B"/>
    <w:rsid w:val="00E42A34"/>
    <w:rsid w:val="00E42DC8"/>
    <w:rsid w:val="00E43460"/>
    <w:rsid w:val="00E43EC0"/>
    <w:rsid w:val="00E441A9"/>
    <w:rsid w:val="00E45090"/>
    <w:rsid w:val="00E4510E"/>
    <w:rsid w:val="00E4568A"/>
    <w:rsid w:val="00E45893"/>
    <w:rsid w:val="00E459F6"/>
    <w:rsid w:val="00E45DFE"/>
    <w:rsid w:val="00E45F16"/>
    <w:rsid w:val="00E469CD"/>
    <w:rsid w:val="00E474F0"/>
    <w:rsid w:val="00E4751E"/>
    <w:rsid w:val="00E47BB7"/>
    <w:rsid w:val="00E47C5C"/>
    <w:rsid w:val="00E50200"/>
    <w:rsid w:val="00E5062C"/>
    <w:rsid w:val="00E50A6C"/>
    <w:rsid w:val="00E50C02"/>
    <w:rsid w:val="00E50D91"/>
    <w:rsid w:val="00E50F93"/>
    <w:rsid w:val="00E515B9"/>
    <w:rsid w:val="00E51A70"/>
    <w:rsid w:val="00E51D64"/>
    <w:rsid w:val="00E5228A"/>
    <w:rsid w:val="00E52410"/>
    <w:rsid w:val="00E52A23"/>
    <w:rsid w:val="00E530BF"/>
    <w:rsid w:val="00E5335A"/>
    <w:rsid w:val="00E53A0E"/>
    <w:rsid w:val="00E541F8"/>
    <w:rsid w:val="00E542AD"/>
    <w:rsid w:val="00E54423"/>
    <w:rsid w:val="00E54550"/>
    <w:rsid w:val="00E54760"/>
    <w:rsid w:val="00E5505D"/>
    <w:rsid w:val="00E5547D"/>
    <w:rsid w:val="00E55592"/>
    <w:rsid w:val="00E556AB"/>
    <w:rsid w:val="00E5596E"/>
    <w:rsid w:val="00E55A0B"/>
    <w:rsid w:val="00E56108"/>
    <w:rsid w:val="00E564D6"/>
    <w:rsid w:val="00E56722"/>
    <w:rsid w:val="00E568B4"/>
    <w:rsid w:val="00E56B9C"/>
    <w:rsid w:val="00E57482"/>
    <w:rsid w:val="00E574CA"/>
    <w:rsid w:val="00E57904"/>
    <w:rsid w:val="00E61552"/>
    <w:rsid w:val="00E6191E"/>
    <w:rsid w:val="00E61932"/>
    <w:rsid w:val="00E61D8F"/>
    <w:rsid w:val="00E6225D"/>
    <w:rsid w:val="00E62B4B"/>
    <w:rsid w:val="00E62FC4"/>
    <w:rsid w:val="00E631C9"/>
    <w:rsid w:val="00E63222"/>
    <w:rsid w:val="00E636F0"/>
    <w:rsid w:val="00E6387F"/>
    <w:rsid w:val="00E63954"/>
    <w:rsid w:val="00E63BF8"/>
    <w:rsid w:val="00E63CFE"/>
    <w:rsid w:val="00E63E6B"/>
    <w:rsid w:val="00E63F03"/>
    <w:rsid w:val="00E65070"/>
    <w:rsid w:val="00E659E0"/>
    <w:rsid w:val="00E65E6F"/>
    <w:rsid w:val="00E66418"/>
    <w:rsid w:val="00E66618"/>
    <w:rsid w:val="00E666BB"/>
    <w:rsid w:val="00E668C0"/>
    <w:rsid w:val="00E670BA"/>
    <w:rsid w:val="00E671F5"/>
    <w:rsid w:val="00E67247"/>
    <w:rsid w:val="00E70440"/>
    <w:rsid w:val="00E70887"/>
    <w:rsid w:val="00E7089F"/>
    <w:rsid w:val="00E70B59"/>
    <w:rsid w:val="00E70CFB"/>
    <w:rsid w:val="00E718AF"/>
    <w:rsid w:val="00E718D6"/>
    <w:rsid w:val="00E71AE4"/>
    <w:rsid w:val="00E71CE9"/>
    <w:rsid w:val="00E72151"/>
    <w:rsid w:val="00E72432"/>
    <w:rsid w:val="00E72855"/>
    <w:rsid w:val="00E72A0C"/>
    <w:rsid w:val="00E73115"/>
    <w:rsid w:val="00E73365"/>
    <w:rsid w:val="00E73E95"/>
    <w:rsid w:val="00E73F08"/>
    <w:rsid w:val="00E740FB"/>
    <w:rsid w:val="00E7436E"/>
    <w:rsid w:val="00E74590"/>
    <w:rsid w:val="00E7470C"/>
    <w:rsid w:val="00E74756"/>
    <w:rsid w:val="00E74B38"/>
    <w:rsid w:val="00E74FE2"/>
    <w:rsid w:val="00E752E9"/>
    <w:rsid w:val="00E75452"/>
    <w:rsid w:val="00E763AF"/>
    <w:rsid w:val="00E769C5"/>
    <w:rsid w:val="00E76BF2"/>
    <w:rsid w:val="00E771B4"/>
    <w:rsid w:val="00E77450"/>
    <w:rsid w:val="00E80D30"/>
    <w:rsid w:val="00E817B5"/>
    <w:rsid w:val="00E817CF"/>
    <w:rsid w:val="00E81D06"/>
    <w:rsid w:val="00E81FB9"/>
    <w:rsid w:val="00E82841"/>
    <w:rsid w:val="00E82B95"/>
    <w:rsid w:val="00E82EA6"/>
    <w:rsid w:val="00E83FBF"/>
    <w:rsid w:val="00E847E4"/>
    <w:rsid w:val="00E84A6E"/>
    <w:rsid w:val="00E84FDC"/>
    <w:rsid w:val="00E8594A"/>
    <w:rsid w:val="00E86E60"/>
    <w:rsid w:val="00E87182"/>
    <w:rsid w:val="00E87B2D"/>
    <w:rsid w:val="00E9011B"/>
    <w:rsid w:val="00E908BE"/>
    <w:rsid w:val="00E90F5D"/>
    <w:rsid w:val="00E912AC"/>
    <w:rsid w:val="00E9137B"/>
    <w:rsid w:val="00E915D9"/>
    <w:rsid w:val="00E92E77"/>
    <w:rsid w:val="00E9333E"/>
    <w:rsid w:val="00E9366A"/>
    <w:rsid w:val="00E93AA4"/>
    <w:rsid w:val="00E94C2E"/>
    <w:rsid w:val="00E9526D"/>
    <w:rsid w:val="00E952FC"/>
    <w:rsid w:val="00E95398"/>
    <w:rsid w:val="00E95552"/>
    <w:rsid w:val="00E95FDE"/>
    <w:rsid w:val="00E9632E"/>
    <w:rsid w:val="00E9653E"/>
    <w:rsid w:val="00E96792"/>
    <w:rsid w:val="00E96F14"/>
    <w:rsid w:val="00E9719B"/>
    <w:rsid w:val="00E978F9"/>
    <w:rsid w:val="00E9794D"/>
    <w:rsid w:val="00E97A25"/>
    <w:rsid w:val="00EA0290"/>
    <w:rsid w:val="00EA052A"/>
    <w:rsid w:val="00EA0AC2"/>
    <w:rsid w:val="00EA0BD1"/>
    <w:rsid w:val="00EA0C25"/>
    <w:rsid w:val="00EA14F1"/>
    <w:rsid w:val="00EA1C97"/>
    <w:rsid w:val="00EA1F38"/>
    <w:rsid w:val="00EA21D8"/>
    <w:rsid w:val="00EA22C5"/>
    <w:rsid w:val="00EA2A13"/>
    <w:rsid w:val="00EA41A3"/>
    <w:rsid w:val="00EA45F4"/>
    <w:rsid w:val="00EA4692"/>
    <w:rsid w:val="00EA46CD"/>
    <w:rsid w:val="00EA4CA1"/>
    <w:rsid w:val="00EA5838"/>
    <w:rsid w:val="00EA6447"/>
    <w:rsid w:val="00EA666F"/>
    <w:rsid w:val="00EA6840"/>
    <w:rsid w:val="00EA69C2"/>
    <w:rsid w:val="00EA6BD2"/>
    <w:rsid w:val="00EA7041"/>
    <w:rsid w:val="00EA7771"/>
    <w:rsid w:val="00EA7961"/>
    <w:rsid w:val="00EA79D7"/>
    <w:rsid w:val="00EB0C8C"/>
    <w:rsid w:val="00EB0CEB"/>
    <w:rsid w:val="00EB0D0D"/>
    <w:rsid w:val="00EB1044"/>
    <w:rsid w:val="00EB11F2"/>
    <w:rsid w:val="00EB1252"/>
    <w:rsid w:val="00EB2766"/>
    <w:rsid w:val="00EB2C83"/>
    <w:rsid w:val="00EB2D35"/>
    <w:rsid w:val="00EB3529"/>
    <w:rsid w:val="00EB357C"/>
    <w:rsid w:val="00EB37E9"/>
    <w:rsid w:val="00EB39A2"/>
    <w:rsid w:val="00EB39C2"/>
    <w:rsid w:val="00EB3A94"/>
    <w:rsid w:val="00EB3F10"/>
    <w:rsid w:val="00EB466B"/>
    <w:rsid w:val="00EB4D29"/>
    <w:rsid w:val="00EB4E79"/>
    <w:rsid w:val="00EB54C5"/>
    <w:rsid w:val="00EB55FC"/>
    <w:rsid w:val="00EB57A4"/>
    <w:rsid w:val="00EB585F"/>
    <w:rsid w:val="00EB6183"/>
    <w:rsid w:val="00EB6843"/>
    <w:rsid w:val="00EB6AD9"/>
    <w:rsid w:val="00EB72E4"/>
    <w:rsid w:val="00EB7DB8"/>
    <w:rsid w:val="00EC0D95"/>
    <w:rsid w:val="00EC0E85"/>
    <w:rsid w:val="00EC1167"/>
    <w:rsid w:val="00EC12A5"/>
    <w:rsid w:val="00EC14DB"/>
    <w:rsid w:val="00EC1D46"/>
    <w:rsid w:val="00EC1DFC"/>
    <w:rsid w:val="00EC238A"/>
    <w:rsid w:val="00EC2409"/>
    <w:rsid w:val="00EC2584"/>
    <w:rsid w:val="00EC26BC"/>
    <w:rsid w:val="00EC314F"/>
    <w:rsid w:val="00EC31B5"/>
    <w:rsid w:val="00EC3383"/>
    <w:rsid w:val="00EC39C2"/>
    <w:rsid w:val="00EC3C2B"/>
    <w:rsid w:val="00EC4241"/>
    <w:rsid w:val="00EC4A95"/>
    <w:rsid w:val="00EC5289"/>
    <w:rsid w:val="00EC6215"/>
    <w:rsid w:val="00EC64FB"/>
    <w:rsid w:val="00EC6ECE"/>
    <w:rsid w:val="00EC704B"/>
    <w:rsid w:val="00EC707C"/>
    <w:rsid w:val="00EC7839"/>
    <w:rsid w:val="00EC7B38"/>
    <w:rsid w:val="00EC7C96"/>
    <w:rsid w:val="00ED003E"/>
    <w:rsid w:val="00ED0760"/>
    <w:rsid w:val="00ED09F5"/>
    <w:rsid w:val="00ED1643"/>
    <w:rsid w:val="00ED1802"/>
    <w:rsid w:val="00ED1A9A"/>
    <w:rsid w:val="00ED1AB9"/>
    <w:rsid w:val="00ED1D52"/>
    <w:rsid w:val="00ED217A"/>
    <w:rsid w:val="00ED248A"/>
    <w:rsid w:val="00ED29E7"/>
    <w:rsid w:val="00ED2D2A"/>
    <w:rsid w:val="00ED35BB"/>
    <w:rsid w:val="00ED3BD6"/>
    <w:rsid w:val="00ED435D"/>
    <w:rsid w:val="00ED5061"/>
    <w:rsid w:val="00ED66D8"/>
    <w:rsid w:val="00ED69C8"/>
    <w:rsid w:val="00ED6B0B"/>
    <w:rsid w:val="00ED6C59"/>
    <w:rsid w:val="00ED6C92"/>
    <w:rsid w:val="00ED7238"/>
    <w:rsid w:val="00ED730E"/>
    <w:rsid w:val="00ED7B69"/>
    <w:rsid w:val="00ED7FC0"/>
    <w:rsid w:val="00EE0389"/>
    <w:rsid w:val="00EE05E5"/>
    <w:rsid w:val="00EE0A44"/>
    <w:rsid w:val="00EE0B81"/>
    <w:rsid w:val="00EE0CA9"/>
    <w:rsid w:val="00EE0DD4"/>
    <w:rsid w:val="00EE1491"/>
    <w:rsid w:val="00EE14EC"/>
    <w:rsid w:val="00EE1A1A"/>
    <w:rsid w:val="00EE1AEF"/>
    <w:rsid w:val="00EE1DDD"/>
    <w:rsid w:val="00EE1E0F"/>
    <w:rsid w:val="00EE1E71"/>
    <w:rsid w:val="00EE1E9A"/>
    <w:rsid w:val="00EE2850"/>
    <w:rsid w:val="00EE2AB8"/>
    <w:rsid w:val="00EE33B8"/>
    <w:rsid w:val="00EE39E8"/>
    <w:rsid w:val="00EE4B33"/>
    <w:rsid w:val="00EE502F"/>
    <w:rsid w:val="00EE505A"/>
    <w:rsid w:val="00EE5204"/>
    <w:rsid w:val="00EE54E9"/>
    <w:rsid w:val="00EE5DA8"/>
    <w:rsid w:val="00EE61D7"/>
    <w:rsid w:val="00EE6E0D"/>
    <w:rsid w:val="00EE7E7F"/>
    <w:rsid w:val="00EF0081"/>
    <w:rsid w:val="00EF01CD"/>
    <w:rsid w:val="00EF0753"/>
    <w:rsid w:val="00EF0827"/>
    <w:rsid w:val="00EF08B6"/>
    <w:rsid w:val="00EF135A"/>
    <w:rsid w:val="00EF14CF"/>
    <w:rsid w:val="00EF1D90"/>
    <w:rsid w:val="00EF3339"/>
    <w:rsid w:val="00EF3754"/>
    <w:rsid w:val="00EF3B78"/>
    <w:rsid w:val="00EF3C0A"/>
    <w:rsid w:val="00EF3F5D"/>
    <w:rsid w:val="00EF4F54"/>
    <w:rsid w:val="00EF53B8"/>
    <w:rsid w:val="00EF58DA"/>
    <w:rsid w:val="00EF5996"/>
    <w:rsid w:val="00EF5B66"/>
    <w:rsid w:val="00EF5D13"/>
    <w:rsid w:val="00EF6890"/>
    <w:rsid w:val="00EF6F8D"/>
    <w:rsid w:val="00EF7A98"/>
    <w:rsid w:val="00EF7E6B"/>
    <w:rsid w:val="00F004F9"/>
    <w:rsid w:val="00F005CB"/>
    <w:rsid w:val="00F00D22"/>
    <w:rsid w:val="00F00D62"/>
    <w:rsid w:val="00F00F7A"/>
    <w:rsid w:val="00F0121A"/>
    <w:rsid w:val="00F01874"/>
    <w:rsid w:val="00F01CB5"/>
    <w:rsid w:val="00F0201F"/>
    <w:rsid w:val="00F0228C"/>
    <w:rsid w:val="00F02307"/>
    <w:rsid w:val="00F0243F"/>
    <w:rsid w:val="00F025BD"/>
    <w:rsid w:val="00F02823"/>
    <w:rsid w:val="00F030ED"/>
    <w:rsid w:val="00F0393B"/>
    <w:rsid w:val="00F055F8"/>
    <w:rsid w:val="00F05792"/>
    <w:rsid w:val="00F057E7"/>
    <w:rsid w:val="00F05873"/>
    <w:rsid w:val="00F06038"/>
    <w:rsid w:val="00F0633C"/>
    <w:rsid w:val="00F066E3"/>
    <w:rsid w:val="00F066F8"/>
    <w:rsid w:val="00F06DB7"/>
    <w:rsid w:val="00F06DEE"/>
    <w:rsid w:val="00F078BC"/>
    <w:rsid w:val="00F07D68"/>
    <w:rsid w:val="00F1002D"/>
    <w:rsid w:val="00F10611"/>
    <w:rsid w:val="00F110F3"/>
    <w:rsid w:val="00F11EFB"/>
    <w:rsid w:val="00F12945"/>
    <w:rsid w:val="00F12E02"/>
    <w:rsid w:val="00F12F23"/>
    <w:rsid w:val="00F1325A"/>
    <w:rsid w:val="00F135D3"/>
    <w:rsid w:val="00F1395E"/>
    <w:rsid w:val="00F14DD6"/>
    <w:rsid w:val="00F15882"/>
    <w:rsid w:val="00F1589E"/>
    <w:rsid w:val="00F15A8D"/>
    <w:rsid w:val="00F15BCC"/>
    <w:rsid w:val="00F15E38"/>
    <w:rsid w:val="00F16429"/>
    <w:rsid w:val="00F16B9A"/>
    <w:rsid w:val="00F17042"/>
    <w:rsid w:val="00F17260"/>
    <w:rsid w:val="00F179A2"/>
    <w:rsid w:val="00F2019E"/>
    <w:rsid w:val="00F20FCF"/>
    <w:rsid w:val="00F21260"/>
    <w:rsid w:val="00F215B6"/>
    <w:rsid w:val="00F2191D"/>
    <w:rsid w:val="00F224C1"/>
    <w:rsid w:val="00F2279E"/>
    <w:rsid w:val="00F22F99"/>
    <w:rsid w:val="00F23109"/>
    <w:rsid w:val="00F23684"/>
    <w:rsid w:val="00F23D9A"/>
    <w:rsid w:val="00F24BEF"/>
    <w:rsid w:val="00F2587F"/>
    <w:rsid w:val="00F25949"/>
    <w:rsid w:val="00F26203"/>
    <w:rsid w:val="00F2633A"/>
    <w:rsid w:val="00F266ED"/>
    <w:rsid w:val="00F26A68"/>
    <w:rsid w:val="00F272CD"/>
    <w:rsid w:val="00F2732F"/>
    <w:rsid w:val="00F27699"/>
    <w:rsid w:val="00F279C6"/>
    <w:rsid w:val="00F27DDE"/>
    <w:rsid w:val="00F305C7"/>
    <w:rsid w:val="00F30EAC"/>
    <w:rsid w:val="00F31262"/>
    <w:rsid w:val="00F3150D"/>
    <w:rsid w:val="00F31B3B"/>
    <w:rsid w:val="00F31B60"/>
    <w:rsid w:val="00F31BC6"/>
    <w:rsid w:val="00F32091"/>
    <w:rsid w:val="00F32394"/>
    <w:rsid w:val="00F33026"/>
    <w:rsid w:val="00F332CE"/>
    <w:rsid w:val="00F335EF"/>
    <w:rsid w:val="00F33B9E"/>
    <w:rsid w:val="00F34218"/>
    <w:rsid w:val="00F34601"/>
    <w:rsid w:val="00F34DC0"/>
    <w:rsid w:val="00F34FFA"/>
    <w:rsid w:val="00F350C9"/>
    <w:rsid w:val="00F35664"/>
    <w:rsid w:val="00F3608D"/>
    <w:rsid w:val="00F364B5"/>
    <w:rsid w:val="00F3663B"/>
    <w:rsid w:val="00F36A2A"/>
    <w:rsid w:val="00F36AD9"/>
    <w:rsid w:val="00F375E5"/>
    <w:rsid w:val="00F37D34"/>
    <w:rsid w:val="00F37E1A"/>
    <w:rsid w:val="00F4106A"/>
    <w:rsid w:val="00F41113"/>
    <w:rsid w:val="00F41288"/>
    <w:rsid w:val="00F414B7"/>
    <w:rsid w:val="00F415D8"/>
    <w:rsid w:val="00F41A24"/>
    <w:rsid w:val="00F41E73"/>
    <w:rsid w:val="00F42143"/>
    <w:rsid w:val="00F42226"/>
    <w:rsid w:val="00F42DEA"/>
    <w:rsid w:val="00F42E51"/>
    <w:rsid w:val="00F435C8"/>
    <w:rsid w:val="00F4376C"/>
    <w:rsid w:val="00F43DD4"/>
    <w:rsid w:val="00F43E24"/>
    <w:rsid w:val="00F44833"/>
    <w:rsid w:val="00F44D30"/>
    <w:rsid w:val="00F44F55"/>
    <w:rsid w:val="00F45035"/>
    <w:rsid w:val="00F453B1"/>
    <w:rsid w:val="00F456DF"/>
    <w:rsid w:val="00F459E3"/>
    <w:rsid w:val="00F462EA"/>
    <w:rsid w:val="00F462F8"/>
    <w:rsid w:val="00F46442"/>
    <w:rsid w:val="00F46943"/>
    <w:rsid w:val="00F47242"/>
    <w:rsid w:val="00F47244"/>
    <w:rsid w:val="00F47503"/>
    <w:rsid w:val="00F47529"/>
    <w:rsid w:val="00F477A9"/>
    <w:rsid w:val="00F47CE5"/>
    <w:rsid w:val="00F5030E"/>
    <w:rsid w:val="00F506C6"/>
    <w:rsid w:val="00F51066"/>
    <w:rsid w:val="00F5110D"/>
    <w:rsid w:val="00F51FE5"/>
    <w:rsid w:val="00F529BD"/>
    <w:rsid w:val="00F52AFA"/>
    <w:rsid w:val="00F52DB1"/>
    <w:rsid w:val="00F52DCC"/>
    <w:rsid w:val="00F53B79"/>
    <w:rsid w:val="00F53BF6"/>
    <w:rsid w:val="00F542BF"/>
    <w:rsid w:val="00F54597"/>
    <w:rsid w:val="00F54CF9"/>
    <w:rsid w:val="00F5513C"/>
    <w:rsid w:val="00F5537C"/>
    <w:rsid w:val="00F56129"/>
    <w:rsid w:val="00F57042"/>
    <w:rsid w:val="00F57224"/>
    <w:rsid w:val="00F57936"/>
    <w:rsid w:val="00F57C05"/>
    <w:rsid w:val="00F57EF4"/>
    <w:rsid w:val="00F57FEE"/>
    <w:rsid w:val="00F60582"/>
    <w:rsid w:val="00F6118E"/>
    <w:rsid w:val="00F6152E"/>
    <w:rsid w:val="00F61777"/>
    <w:rsid w:val="00F61B62"/>
    <w:rsid w:val="00F62102"/>
    <w:rsid w:val="00F6264A"/>
    <w:rsid w:val="00F6278B"/>
    <w:rsid w:val="00F62C13"/>
    <w:rsid w:val="00F630FC"/>
    <w:rsid w:val="00F6335D"/>
    <w:rsid w:val="00F6350B"/>
    <w:rsid w:val="00F63A37"/>
    <w:rsid w:val="00F63B74"/>
    <w:rsid w:val="00F63CC1"/>
    <w:rsid w:val="00F640E4"/>
    <w:rsid w:val="00F64367"/>
    <w:rsid w:val="00F65130"/>
    <w:rsid w:val="00F662F8"/>
    <w:rsid w:val="00F66300"/>
    <w:rsid w:val="00F666EA"/>
    <w:rsid w:val="00F670B8"/>
    <w:rsid w:val="00F6710B"/>
    <w:rsid w:val="00F6723B"/>
    <w:rsid w:val="00F67BFF"/>
    <w:rsid w:val="00F67CE0"/>
    <w:rsid w:val="00F67DF5"/>
    <w:rsid w:val="00F67ECD"/>
    <w:rsid w:val="00F7003F"/>
    <w:rsid w:val="00F701F0"/>
    <w:rsid w:val="00F7062F"/>
    <w:rsid w:val="00F70E3D"/>
    <w:rsid w:val="00F710CE"/>
    <w:rsid w:val="00F714CE"/>
    <w:rsid w:val="00F7160D"/>
    <w:rsid w:val="00F71CD9"/>
    <w:rsid w:val="00F7264B"/>
    <w:rsid w:val="00F7274C"/>
    <w:rsid w:val="00F72ACE"/>
    <w:rsid w:val="00F72B98"/>
    <w:rsid w:val="00F72EE9"/>
    <w:rsid w:val="00F72F88"/>
    <w:rsid w:val="00F7353B"/>
    <w:rsid w:val="00F7367F"/>
    <w:rsid w:val="00F742C3"/>
    <w:rsid w:val="00F74DF7"/>
    <w:rsid w:val="00F74E7F"/>
    <w:rsid w:val="00F74F4C"/>
    <w:rsid w:val="00F75449"/>
    <w:rsid w:val="00F76394"/>
    <w:rsid w:val="00F764DF"/>
    <w:rsid w:val="00F76538"/>
    <w:rsid w:val="00F76CB1"/>
    <w:rsid w:val="00F77294"/>
    <w:rsid w:val="00F7782D"/>
    <w:rsid w:val="00F77A75"/>
    <w:rsid w:val="00F77CDD"/>
    <w:rsid w:val="00F804E3"/>
    <w:rsid w:val="00F80683"/>
    <w:rsid w:val="00F80897"/>
    <w:rsid w:val="00F80E84"/>
    <w:rsid w:val="00F810DC"/>
    <w:rsid w:val="00F811E4"/>
    <w:rsid w:val="00F81312"/>
    <w:rsid w:val="00F82203"/>
    <w:rsid w:val="00F8224D"/>
    <w:rsid w:val="00F82B69"/>
    <w:rsid w:val="00F82DDE"/>
    <w:rsid w:val="00F82DEB"/>
    <w:rsid w:val="00F82DFE"/>
    <w:rsid w:val="00F82FA4"/>
    <w:rsid w:val="00F83EE1"/>
    <w:rsid w:val="00F8427A"/>
    <w:rsid w:val="00F847D9"/>
    <w:rsid w:val="00F84968"/>
    <w:rsid w:val="00F851A5"/>
    <w:rsid w:val="00F86BA0"/>
    <w:rsid w:val="00F8708F"/>
    <w:rsid w:val="00F87A5F"/>
    <w:rsid w:val="00F87E9A"/>
    <w:rsid w:val="00F87FC0"/>
    <w:rsid w:val="00F90092"/>
    <w:rsid w:val="00F902B5"/>
    <w:rsid w:val="00F908EE"/>
    <w:rsid w:val="00F90A59"/>
    <w:rsid w:val="00F90B69"/>
    <w:rsid w:val="00F90CE3"/>
    <w:rsid w:val="00F9134F"/>
    <w:rsid w:val="00F9136B"/>
    <w:rsid w:val="00F91431"/>
    <w:rsid w:val="00F91506"/>
    <w:rsid w:val="00F9192E"/>
    <w:rsid w:val="00F9194A"/>
    <w:rsid w:val="00F9199D"/>
    <w:rsid w:val="00F91C2B"/>
    <w:rsid w:val="00F91D87"/>
    <w:rsid w:val="00F92846"/>
    <w:rsid w:val="00F92FC4"/>
    <w:rsid w:val="00F93465"/>
    <w:rsid w:val="00F9362D"/>
    <w:rsid w:val="00F93664"/>
    <w:rsid w:val="00F944CA"/>
    <w:rsid w:val="00F95109"/>
    <w:rsid w:val="00F9677A"/>
    <w:rsid w:val="00F96C80"/>
    <w:rsid w:val="00F96D89"/>
    <w:rsid w:val="00F9732D"/>
    <w:rsid w:val="00F9776D"/>
    <w:rsid w:val="00F979C1"/>
    <w:rsid w:val="00FA0017"/>
    <w:rsid w:val="00FA0A1E"/>
    <w:rsid w:val="00FA0C6B"/>
    <w:rsid w:val="00FA0FF0"/>
    <w:rsid w:val="00FA1C95"/>
    <w:rsid w:val="00FA2110"/>
    <w:rsid w:val="00FA25BD"/>
    <w:rsid w:val="00FA281A"/>
    <w:rsid w:val="00FA2DA2"/>
    <w:rsid w:val="00FA346A"/>
    <w:rsid w:val="00FA3ADA"/>
    <w:rsid w:val="00FA3CC2"/>
    <w:rsid w:val="00FA4385"/>
    <w:rsid w:val="00FA453E"/>
    <w:rsid w:val="00FA4CB2"/>
    <w:rsid w:val="00FA4EFF"/>
    <w:rsid w:val="00FA5344"/>
    <w:rsid w:val="00FA55C0"/>
    <w:rsid w:val="00FA56E2"/>
    <w:rsid w:val="00FA6E92"/>
    <w:rsid w:val="00FA72AB"/>
    <w:rsid w:val="00FA770C"/>
    <w:rsid w:val="00FA780A"/>
    <w:rsid w:val="00FA7B6F"/>
    <w:rsid w:val="00FB0B21"/>
    <w:rsid w:val="00FB0E0E"/>
    <w:rsid w:val="00FB1BA0"/>
    <w:rsid w:val="00FB1C95"/>
    <w:rsid w:val="00FB330B"/>
    <w:rsid w:val="00FB3543"/>
    <w:rsid w:val="00FB381E"/>
    <w:rsid w:val="00FB39E2"/>
    <w:rsid w:val="00FB3D41"/>
    <w:rsid w:val="00FB4F91"/>
    <w:rsid w:val="00FB57D5"/>
    <w:rsid w:val="00FB5858"/>
    <w:rsid w:val="00FB58BA"/>
    <w:rsid w:val="00FB5D49"/>
    <w:rsid w:val="00FB62DE"/>
    <w:rsid w:val="00FB68A5"/>
    <w:rsid w:val="00FB7D53"/>
    <w:rsid w:val="00FC0035"/>
    <w:rsid w:val="00FC0722"/>
    <w:rsid w:val="00FC140B"/>
    <w:rsid w:val="00FC1E6C"/>
    <w:rsid w:val="00FC1EA6"/>
    <w:rsid w:val="00FC24E7"/>
    <w:rsid w:val="00FC2A11"/>
    <w:rsid w:val="00FC2D99"/>
    <w:rsid w:val="00FC2E16"/>
    <w:rsid w:val="00FC38D8"/>
    <w:rsid w:val="00FC3C1C"/>
    <w:rsid w:val="00FC42E3"/>
    <w:rsid w:val="00FC44C2"/>
    <w:rsid w:val="00FC4935"/>
    <w:rsid w:val="00FC50DC"/>
    <w:rsid w:val="00FC5552"/>
    <w:rsid w:val="00FC5B64"/>
    <w:rsid w:val="00FC5C0F"/>
    <w:rsid w:val="00FC6108"/>
    <w:rsid w:val="00FC672E"/>
    <w:rsid w:val="00FC6811"/>
    <w:rsid w:val="00FC6A57"/>
    <w:rsid w:val="00FC6C07"/>
    <w:rsid w:val="00FC72F2"/>
    <w:rsid w:val="00FC7BBD"/>
    <w:rsid w:val="00FC7EB1"/>
    <w:rsid w:val="00FD0419"/>
    <w:rsid w:val="00FD0715"/>
    <w:rsid w:val="00FD0A5E"/>
    <w:rsid w:val="00FD1639"/>
    <w:rsid w:val="00FD26F8"/>
    <w:rsid w:val="00FD291C"/>
    <w:rsid w:val="00FD2AB7"/>
    <w:rsid w:val="00FD2FAE"/>
    <w:rsid w:val="00FD2FF7"/>
    <w:rsid w:val="00FD3F63"/>
    <w:rsid w:val="00FD5D44"/>
    <w:rsid w:val="00FD5E55"/>
    <w:rsid w:val="00FD5FFD"/>
    <w:rsid w:val="00FD6AE8"/>
    <w:rsid w:val="00FD6B98"/>
    <w:rsid w:val="00FD707A"/>
    <w:rsid w:val="00FD72C4"/>
    <w:rsid w:val="00FD7324"/>
    <w:rsid w:val="00FD7662"/>
    <w:rsid w:val="00FD7823"/>
    <w:rsid w:val="00FD7B1B"/>
    <w:rsid w:val="00FD7CF5"/>
    <w:rsid w:val="00FD7E5C"/>
    <w:rsid w:val="00FE090C"/>
    <w:rsid w:val="00FE091E"/>
    <w:rsid w:val="00FE0FE0"/>
    <w:rsid w:val="00FE1046"/>
    <w:rsid w:val="00FE1D08"/>
    <w:rsid w:val="00FE1E2B"/>
    <w:rsid w:val="00FE24FE"/>
    <w:rsid w:val="00FE2558"/>
    <w:rsid w:val="00FE27F5"/>
    <w:rsid w:val="00FE3309"/>
    <w:rsid w:val="00FE34BE"/>
    <w:rsid w:val="00FE3EE0"/>
    <w:rsid w:val="00FE405B"/>
    <w:rsid w:val="00FE45DF"/>
    <w:rsid w:val="00FE4C48"/>
    <w:rsid w:val="00FE4E33"/>
    <w:rsid w:val="00FE5382"/>
    <w:rsid w:val="00FE5456"/>
    <w:rsid w:val="00FE5E8A"/>
    <w:rsid w:val="00FE5FB8"/>
    <w:rsid w:val="00FE65CB"/>
    <w:rsid w:val="00FE6977"/>
    <w:rsid w:val="00FE7492"/>
    <w:rsid w:val="00FE76D8"/>
    <w:rsid w:val="00FE7B1D"/>
    <w:rsid w:val="00FE7E1E"/>
    <w:rsid w:val="00FF079B"/>
    <w:rsid w:val="00FF0BF6"/>
    <w:rsid w:val="00FF1247"/>
    <w:rsid w:val="00FF1343"/>
    <w:rsid w:val="00FF1378"/>
    <w:rsid w:val="00FF1696"/>
    <w:rsid w:val="00FF17FE"/>
    <w:rsid w:val="00FF1949"/>
    <w:rsid w:val="00FF1CAF"/>
    <w:rsid w:val="00FF1EF1"/>
    <w:rsid w:val="00FF2072"/>
    <w:rsid w:val="00FF277B"/>
    <w:rsid w:val="00FF2DFD"/>
    <w:rsid w:val="00FF31B8"/>
    <w:rsid w:val="00FF328A"/>
    <w:rsid w:val="00FF3773"/>
    <w:rsid w:val="00FF397B"/>
    <w:rsid w:val="00FF44AB"/>
    <w:rsid w:val="00FF4B9C"/>
    <w:rsid w:val="00FF4F69"/>
    <w:rsid w:val="00FF5209"/>
    <w:rsid w:val="00FF5468"/>
    <w:rsid w:val="00FF5615"/>
    <w:rsid w:val="00FF5A00"/>
    <w:rsid w:val="00FF5EF1"/>
    <w:rsid w:val="00FF61C5"/>
    <w:rsid w:val="00FF6738"/>
    <w:rsid w:val="00FF6D57"/>
    <w:rsid w:val="00FF6D82"/>
    <w:rsid w:val="00FF6F90"/>
    <w:rsid w:val="00FF7171"/>
    <w:rsid w:val="00FF7E50"/>
    <w:rsid w:val="01D628BE"/>
    <w:rsid w:val="025959AB"/>
    <w:rsid w:val="02BA3F8E"/>
    <w:rsid w:val="02CC3C0E"/>
    <w:rsid w:val="02FC6355"/>
    <w:rsid w:val="031C07A5"/>
    <w:rsid w:val="03215DBB"/>
    <w:rsid w:val="03DE5A5A"/>
    <w:rsid w:val="04A171B4"/>
    <w:rsid w:val="04C7146F"/>
    <w:rsid w:val="051824E6"/>
    <w:rsid w:val="05241B93"/>
    <w:rsid w:val="05791EDF"/>
    <w:rsid w:val="05A84572"/>
    <w:rsid w:val="060E6ACB"/>
    <w:rsid w:val="062E5B72"/>
    <w:rsid w:val="0632027F"/>
    <w:rsid w:val="06614055"/>
    <w:rsid w:val="06B01930"/>
    <w:rsid w:val="06D2271F"/>
    <w:rsid w:val="06F537E7"/>
    <w:rsid w:val="07074665"/>
    <w:rsid w:val="075F5104"/>
    <w:rsid w:val="076369A2"/>
    <w:rsid w:val="079F20D2"/>
    <w:rsid w:val="07F817E1"/>
    <w:rsid w:val="081B727D"/>
    <w:rsid w:val="08275C22"/>
    <w:rsid w:val="08831E20"/>
    <w:rsid w:val="08C23ACD"/>
    <w:rsid w:val="08DB07BA"/>
    <w:rsid w:val="08E056F9"/>
    <w:rsid w:val="09030377"/>
    <w:rsid w:val="0946657C"/>
    <w:rsid w:val="0A1F007C"/>
    <w:rsid w:val="0A6F1B02"/>
    <w:rsid w:val="0A894972"/>
    <w:rsid w:val="0A9E0AB9"/>
    <w:rsid w:val="0ADA0F0C"/>
    <w:rsid w:val="0B6A6EFF"/>
    <w:rsid w:val="0CBA3508"/>
    <w:rsid w:val="0CD51A6F"/>
    <w:rsid w:val="0D020A0B"/>
    <w:rsid w:val="0D0C4A71"/>
    <w:rsid w:val="0D0E1AD0"/>
    <w:rsid w:val="0D6E7E4F"/>
    <w:rsid w:val="0D777923"/>
    <w:rsid w:val="0DBB42F2"/>
    <w:rsid w:val="0DED2ECE"/>
    <w:rsid w:val="0E15476E"/>
    <w:rsid w:val="0E337741"/>
    <w:rsid w:val="0ECC12D1"/>
    <w:rsid w:val="0ECC4978"/>
    <w:rsid w:val="0F0312ED"/>
    <w:rsid w:val="0FAC51EB"/>
    <w:rsid w:val="10233173"/>
    <w:rsid w:val="10504DED"/>
    <w:rsid w:val="10541E4E"/>
    <w:rsid w:val="10724E1C"/>
    <w:rsid w:val="10A32505"/>
    <w:rsid w:val="10E54F7A"/>
    <w:rsid w:val="1185106A"/>
    <w:rsid w:val="12080872"/>
    <w:rsid w:val="123A29F6"/>
    <w:rsid w:val="13A47A61"/>
    <w:rsid w:val="13A63124"/>
    <w:rsid w:val="140432BB"/>
    <w:rsid w:val="14233D84"/>
    <w:rsid w:val="146975C2"/>
    <w:rsid w:val="1481490C"/>
    <w:rsid w:val="14A60CCF"/>
    <w:rsid w:val="154C4F1A"/>
    <w:rsid w:val="15973CBB"/>
    <w:rsid w:val="165322D8"/>
    <w:rsid w:val="16646293"/>
    <w:rsid w:val="16676753"/>
    <w:rsid w:val="16B014D8"/>
    <w:rsid w:val="16D50F3F"/>
    <w:rsid w:val="178169D1"/>
    <w:rsid w:val="17B370BF"/>
    <w:rsid w:val="17C510B2"/>
    <w:rsid w:val="1864257A"/>
    <w:rsid w:val="18860743"/>
    <w:rsid w:val="18C461BF"/>
    <w:rsid w:val="18F5252A"/>
    <w:rsid w:val="190D0660"/>
    <w:rsid w:val="19800B03"/>
    <w:rsid w:val="199944A6"/>
    <w:rsid w:val="19C101CC"/>
    <w:rsid w:val="19C5529B"/>
    <w:rsid w:val="1A0A0E60"/>
    <w:rsid w:val="1A750A6F"/>
    <w:rsid w:val="1B1C713C"/>
    <w:rsid w:val="1B3A0FB2"/>
    <w:rsid w:val="1B75624B"/>
    <w:rsid w:val="1BB85BFC"/>
    <w:rsid w:val="1C492FE9"/>
    <w:rsid w:val="1C8E778E"/>
    <w:rsid w:val="1D4961E3"/>
    <w:rsid w:val="1D792624"/>
    <w:rsid w:val="1D882867"/>
    <w:rsid w:val="1DE32193"/>
    <w:rsid w:val="1E06099C"/>
    <w:rsid w:val="1E9948F0"/>
    <w:rsid w:val="1EB524B7"/>
    <w:rsid w:val="1EBB064F"/>
    <w:rsid w:val="1EC94B5F"/>
    <w:rsid w:val="1EFD1033"/>
    <w:rsid w:val="1F226CEB"/>
    <w:rsid w:val="1F5275D0"/>
    <w:rsid w:val="1F9C3647"/>
    <w:rsid w:val="1FCD300A"/>
    <w:rsid w:val="21401F25"/>
    <w:rsid w:val="21F24F3A"/>
    <w:rsid w:val="22A00653"/>
    <w:rsid w:val="22DD4BA5"/>
    <w:rsid w:val="23A070E8"/>
    <w:rsid w:val="24843748"/>
    <w:rsid w:val="25AE12D9"/>
    <w:rsid w:val="25CE54D7"/>
    <w:rsid w:val="25D10748"/>
    <w:rsid w:val="25D845A8"/>
    <w:rsid w:val="25F120E5"/>
    <w:rsid w:val="261E020C"/>
    <w:rsid w:val="2632312D"/>
    <w:rsid w:val="26427D01"/>
    <w:rsid w:val="265B69F8"/>
    <w:rsid w:val="26775B6F"/>
    <w:rsid w:val="26A540E9"/>
    <w:rsid w:val="270513CC"/>
    <w:rsid w:val="27522C5C"/>
    <w:rsid w:val="27B81A94"/>
    <w:rsid w:val="27CE4101"/>
    <w:rsid w:val="285B1E8D"/>
    <w:rsid w:val="28681296"/>
    <w:rsid w:val="28924866"/>
    <w:rsid w:val="28C12F19"/>
    <w:rsid w:val="28CA642A"/>
    <w:rsid w:val="28CB3F50"/>
    <w:rsid w:val="29053906"/>
    <w:rsid w:val="290F02E0"/>
    <w:rsid w:val="29665671"/>
    <w:rsid w:val="29791BFE"/>
    <w:rsid w:val="299E6639"/>
    <w:rsid w:val="29A11F58"/>
    <w:rsid w:val="29BA46F0"/>
    <w:rsid w:val="29F63F49"/>
    <w:rsid w:val="2A472EAA"/>
    <w:rsid w:val="2A70409E"/>
    <w:rsid w:val="2AEB08D9"/>
    <w:rsid w:val="2B37272B"/>
    <w:rsid w:val="2B74267D"/>
    <w:rsid w:val="2B7A33D7"/>
    <w:rsid w:val="2BC929C8"/>
    <w:rsid w:val="2C6D42E9"/>
    <w:rsid w:val="2CAB113B"/>
    <w:rsid w:val="2CBD64F3"/>
    <w:rsid w:val="2D704AE8"/>
    <w:rsid w:val="2D99286E"/>
    <w:rsid w:val="2D9B0395"/>
    <w:rsid w:val="2DC21313"/>
    <w:rsid w:val="2DD80D6B"/>
    <w:rsid w:val="2DF3038D"/>
    <w:rsid w:val="2E077C93"/>
    <w:rsid w:val="2E1F2D74"/>
    <w:rsid w:val="2F8F3F29"/>
    <w:rsid w:val="2F9E416C"/>
    <w:rsid w:val="2FCD4A51"/>
    <w:rsid w:val="30954A7B"/>
    <w:rsid w:val="30C24755"/>
    <w:rsid w:val="30DD084E"/>
    <w:rsid w:val="311A3CC6"/>
    <w:rsid w:val="312D39F9"/>
    <w:rsid w:val="31A9422E"/>
    <w:rsid w:val="31B61C41"/>
    <w:rsid w:val="32124FE3"/>
    <w:rsid w:val="3270603E"/>
    <w:rsid w:val="32D700C1"/>
    <w:rsid w:val="3325198F"/>
    <w:rsid w:val="33712D77"/>
    <w:rsid w:val="33AF6948"/>
    <w:rsid w:val="33BE302F"/>
    <w:rsid w:val="33E86ECF"/>
    <w:rsid w:val="343329B5"/>
    <w:rsid w:val="34473C96"/>
    <w:rsid w:val="34D4418C"/>
    <w:rsid w:val="34EA50C0"/>
    <w:rsid w:val="36193227"/>
    <w:rsid w:val="365C0564"/>
    <w:rsid w:val="37236633"/>
    <w:rsid w:val="374B4BD9"/>
    <w:rsid w:val="379540A7"/>
    <w:rsid w:val="37BD1B71"/>
    <w:rsid w:val="38207E14"/>
    <w:rsid w:val="38327B47"/>
    <w:rsid w:val="3925145A"/>
    <w:rsid w:val="39652112"/>
    <w:rsid w:val="397A4685"/>
    <w:rsid w:val="398C14D9"/>
    <w:rsid w:val="39BC3B6C"/>
    <w:rsid w:val="3AD71B60"/>
    <w:rsid w:val="3B2A71FC"/>
    <w:rsid w:val="3B4F0A10"/>
    <w:rsid w:val="3B5A78E9"/>
    <w:rsid w:val="3B691E37"/>
    <w:rsid w:val="3C1852A6"/>
    <w:rsid w:val="3C4D763F"/>
    <w:rsid w:val="3C51389E"/>
    <w:rsid w:val="3CEF0B3D"/>
    <w:rsid w:val="3D3C7EB5"/>
    <w:rsid w:val="3D840E45"/>
    <w:rsid w:val="3D9279AB"/>
    <w:rsid w:val="3DB91879"/>
    <w:rsid w:val="3E0B7E4C"/>
    <w:rsid w:val="3E8F1850"/>
    <w:rsid w:val="3EAB0654"/>
    <w:rsid w:val="409969B6"/>
    <w:rsid w:val="40A11127"/>
    <w:rsid w:val="40A67324"/>
    <w:rsid w:val="41354935"/>
    <w:rsid w:val="419453CF"/>
    <w:rsid w:val="420741FB"/>
    <w:rsid w:val="421D53C4"/>
    <w:rsid w:val="425236AF"/>
    <w:rsid w:val="4256644E"/>
    <w:rsid w:val="426052B1"/>
    <w:rsid w:val="428828BC"/>
    <w:rsid w:val="42AD6748"/>
    <w:rsid w:val="42E303BC"/>
    <w:rsid w:val="430033F2"/>
    <w:rsid w:val="43324E9F"/>
    <w:rsid w:val="43A21908"/>
    <w:rsid w:val="443C4228"/>
    <w:rsid w:val="444D7A95"/>
    <w:rsid w:val="44B822C8"/>
    <w:rsid w:val="452A22D2"/>
    <w:rsid w:val="45687FE4"/>
    <w:rsid w:val="459E681C"/>
    <w:rsid w:val="45A116B5"/>
    <w:rsid w:val="45DD13F3"/>
    <w:rsid w:val="461A37EA"/>
    <w:rsid w:val="462D0E5D"/>
    <w:rsid w:val="46485FEA"/>
    <w:rsid w:val="46B1257F"/>
    <w:rsid w:val="46FD23FD"/>
    <w:rsid w:val="470E352E"/>
    <w:rsid w:val="47121270"/>
    <w:rsid w:val="47974E95"/>
    <w:rsid w:val="479C2911"/>
    <w:rsid w:val="485D1112"/>
    <w:rsid w:val="48895562"/>
    <w:rsid w:val="48DC6B20"/>
    <w:rsid w:val="491548A9"/>
    <w:rsid w:val="49A87C69"/>
    <w:rsid w:val="49FD0F8E"/>
    <w:rsid w:val="4A01737A"/>
    <w:rsid w:val="4AE90749"/>
    <w:rsid w:val="4AF6067C"/>
    <w:rsid w:val="4B0B29F7"/>
    <w:rsid w:val="4B6825A0"/>
    <w:rsid w:val="4B8015D1"/>
    <w:rsid w:val="4B9366F7"/>
    <w:rsid w:val="4B983D0E"/>
    <w:rsid w:val="4BF30F0E"/>
    <w:rsid w:val="4C052D7B"/>
    <w:rsid w:val="4C15535E"/>
    <w:rsid w:val="4C443323"/>
    <w:rsid w:val="4C4E2BE2"/>
    <w:rsid w:val="4C5D7084"/>
    <w:rsid w:val="4C7E0298"/>
    <w:rsid w:val="4CAE5997"/>
    <w:rsid w:val="4D7B5E6B"/>
    <w:rsid w:val="4DFC67D6"/>
    <w:rsid w:val="4E3C6A57"/>
    <w:rsid w:val="4E97536B"/>
    <w:rsid w:val="4EBE2ACF"/>
    <w:rsid w:val="4EDD03B5"/>
    <w:rsid w:val="4F7F1746"/>
    <w:rsid w:val="4F9019AF"/>
    <w:rsid w:val="50195818"/>
    <w:rsid w:val="50354221"/>
    <w:rsid w:val="504D3319"/>
    <w:rsid w:val="50744D49"/>
    <w:rsid w:val="50E426E8"/>
    <w:rsid w:val="5141620C"/>
    <w:rsid w:val="51C961ED"/>
    <w:rsid w:val="51D737A2"/>
    <w:rsid w:val="51F96C99"/>
    <w:rsid w:val="5238432A"/>
    <w:rsid w:val="539E5939"/>
    <w:rsid w:val="540B32CF"/>
    <w:rsid w:val="544006AE"/>
    <w:rsid w:val="54B268BF"/>
    <w:rsid w:val="54D51B2F"/>
    <w:rsid w:val="55164621"/>
    <w:rsid w:val="55917EF2"/>
    <w:rsid w:val="55AA4D69"/>
    <w:rsid w:val="563173F6"/>
    <w:rsid w:val="56334D5F"/>
    <w:rsid w:val="564C575A"/>
    <w:rsid w:val="56A47A0A"/>
    <w:rsid w:val="5705735C"/>
    <w:rsid w:val="579470F2"/>
    <w:rsid w:val="57B35D3A"/>
    <w:rsid w:val="57EF4CB5"/>
    <w:rsid w:val="5826241E"/>
    <w:rsid w:val="58844F57"/>
    <w:rsid w:val="58B137E2"/>
    <w:rsid w:val="59300276"/>
    <w:rsid w:val="5947124D"/>
    <w:rsid w:val="59DE45E9"/>
    <w:rsid w:val="59DF67B7"/>
    <w:rsid w:val="5A1960FE"/>
    <w:rsid w:val="5A5202B4"/>
    <w:rsid w:val="5A785436"/>
    <w:rsid w:val="5ADF4F83"/>
    <w:rsid w:val="5AFA4F12"/>
    <w:rsid w:val="5B665F9C"/>
    <w:rsid w:val="5B984072"/>
    <w:rsid w:val="5BCE032C"/>
    <w:rsid w:val="5C3D6937"/>
    <w:rsid w:val="5C425CFC"/>
    <w:rsid w:val="5C4B0D46"/>
    <w:rsid w:val="5C933840"/>
    <w:rsid w:val="5D3C7A1F"/>
    <w:rsid w:val="5D9F0F2C"/>
    <w:rsid w:val="5E705A5F"/>
    <w:rsid w:val="5E9B7945"/>
    <w:rsid w:val="5EA20CD3"/>
    <w:rsid w:val="5F1F2324"/>
    <w:rsid w:val="5F6530C0"/>
    <w:rsid w:val="5F926F9A"/>
    <w:rsid w:val="5FAA6092"/>
    <w:rsid w:val="5FC5111D"/>
    <w:rsid w:val="602B2A73"/>
    <w:rsid w:val="608C339B"/>
    <w:rsid w:val="60B85C28"/>
    <w:rsid w:val="614E22E2"/>
    <w:rsid w:val="61810D50"/>
    <w:rsid w:val="61AF32BB"/>
    <w:rsid w:val="621E2A56"/>
    <w:rsid w:val="62262FAD"/>
    <w:rsid w:val="624125B1"/>
    <w:rsid w:val="62995AED"/>
    <w:rsid w:val="62DB5FDE"/>
    <w:rsid w:val="62ED7FFC"/>
    <w:rsid w:val="63133592"/>
    <w:rsid w:val="63610A00"/>
    <w:rsid w:val="63950E07"/>
    <w:rsid w:val="639B21C6"/>
    <w:rsid w:val="63B727D8"/>
    <w:rsid w:val="63EB6C79"/>
    <w:rsid w:val="64927383"/>
    <w:rsid w:val="650E467C"/>
    <w:rsid w:val="65613F94"/>
    <w:rsid w:val="6578278E"/>
    <w:rsid w:val="657F3B1C"/>
    <w:rsid w:val="65B23EF2"/>
    <w:rsid w:val="65C41341"/>
    <w:rsid w:val="662A4EE2"/>
    <w:rsid w:val="66982C0E"/>
    <w:rsid w:val="674844FC"/>
    <w:rsid w:val="675F0B6A"/>
    <w:rsid w:val="67852F40"/>
    <w:rsid w:val="67E54509"/>
    <w:rsid w:val="68963E05"/>
    <w:rsid w:val="69366BE8"/>
    <w:rsid w:val="698C05B6"/>
    <w:rsid w:val="69D02F07"/>
    <w:rsid w:val="6A395BD3"/>
    <w:rsid w:val="6A916014"/>
    <w:rsid w:val="6B896A13"/>
    <w:rsid w:val="6BA95B36"/>
    <w:rsid w:val="6C74560B"/>
    <w:rsid w:val="6CB95B66"/>
    <w:rsid w:val="6D111D04"/>
    <w:rsid w:val="6E575151"/>
    <w:rsid w:val="6E842751"/>
    <w:rsid w:val="6EC97902"/>
    <w:rsid w:val="6F0D5CE5"/>
    <w:rsid w:val="6F1E6154"/>
    <w:rsid w:val="6F83245B"/>
    <w:rsid w:val="6FA10B33"/>
    <w:rsid w:val="6FBA0ED6"/>
    <w:rsid w:val="70601726"/>
    <w:rsid w:val="70AE61DC"/>
    <w:rsid w:val="70D016D0"/>
    <w:rsid w:val="714E24E5"/>
    <w:rsid w:val="7181430F"/>
    <w:rsid w:val="71950224"/>
    <w:rsid w:val="7203003A"/>
    <w:rsid w:val="721B4BCD"/>
    <w:rsid w:val="728E539F"/>
    <w:rsid w:val="73734595"/>
    <w:rsid w:val="73CD0149"/>
    <w:rsid w:val="741E1EE3"/>
    <w:rsid w:val="742970E4"/>
    <w:rsid w:val="749B1FF5"/>
    <w:rsid w:val="74B84955"/>
    <w:rsid w:val="74CE5F27"/>
    <w:rsid w:val="751D0C5C"/>
    <w:rsid w:val="751E591C"/>
    <w:rsid w:val="75BB69C6"/>
    <w:rsid w:val="75DC4F49"/>
    <w:rsid w:val="75E83B07"/>
    <w:rsid w:val="7614205F"/>
    <w:rsid w:val="77980A6E"/>
    <w:rsid w:val="77C70555"/>
    <w:rsid w:val="781C344D"/>
    <w:rsid w:val="785026C0"/>
    <w:rsid w:val="78601E30"/>
    <w:rsid w:val="7866291A"/>
    <w:rsid w:val="7893390B"/>
    <w:rsid w:val="78F9234A"/>
    <w:rsid w:val="79110AD8"/>
    <w:rsid w:val="79964F28"/>
    <w:rsid w:val="79C4530B"/>
    <w:rsid w:val="7A862C03"/>
    <w:rsid w:val="7A877FCB"/>
    <w:rsid w:val="7AF54E89"/>
    <w:rsid w:val="7B191EC6"/>
    <w:rsid w:val="7B1E0BE4"/>
    <w:rsid w:val="7B9C62A6"/>
    <w:rsid w:val="7BFB4F84"/>
    <w:rsid w:val="7C432117"/>
    <w:rsid w:val="7C5728ED"/>
    <w:rsid w:val="7C684EB3"/>
    <w:rsid w:val="7CA91CC9"/>
    <w:rsid w:val="7CB9333B"/>
    <w:rsid w:val="7CCE2EC4"/>
    <w:rsid w:val="7CF82FAC"/>
    <w:rsid w:val="7D0D7808"/>
    <w:rsid w:val="7D2F7D45"/>
    <w:rsid w:val="7D326920"/>
    <w:rsid w:val="7D347E75"/>
    <w:rsid w:val="7D372571"/>
    <w:rsid w:val="7D8B60DC"/>
    <w:rsid w:val="7E290672"/>
    <w:rsid w:val="7EC3792E"/>
    <w:rsid w:val="7F1135E0"/>
    <w:rsid w:val="7F407B93"/>
    <w:rsid w:val="7F4D13A6"/>
    <w:rsid w:val="7FFA22C6"/>
    <w:rsid w:val="DEEF1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3"/>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1"/>
    <w:link w:val="153"/>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4">
    <w:name w:val="heading 3"/>
    <w:basedOn w:val="1"/>
    <w:next w:val="1"/>
    <w:link w:val="164"/>
    <w:qFormat/>
    <w:uiPriority w:val="0"/>
    <w:pPr>
      <w:keepNext/>
      <w:keepLines/>
      <w:widowControl/>
      <w:tabs>
        <w:tab w:val="left" w:pos="425"/>
        <w:tab w:val="left" w:pos="3229"/>
      </w:tabs>
      <w:spacing w:before="120" w:after="120" w:line="360" w:lineRule="auto"/>
      <w:jc w:val="center"/>
      <w:outlineLvl w:val="2"/>
    </w:pPr>
    <w:rPr>
      <w:b/>
      <w:kern w:val="0"/>
      <w:sz w:val="32"/>
      <w:szCs w:val="20"/>
    </w:rPr>
  </w:style>
  <w:style w:type="paragraph" w:styleId="5">
    <w:name w:val="heading 4"/>
    <w:basedOn w:val="1"/>
    <w:next w:val="6"/>
    <w:link w:val="165"/>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5"/>
    <w:basedOn w:val="1"/>
    <w:next w:val="1"/>
    <w:link w:val="155"/>
    <w:qFormat/>
    <w:uiPriority w:val="9"/>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166"/>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167"/>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168"/>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169"/>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12">
    <w:name w:val="toc 7"/>
    <w:basedOn w:val="1"/>
    <w:next w:val="1"/>
    <w:qFormat/>
    <w:uiPriority w:val="39"/>
    <w:pPr>
      <w:ind w:left="1260"/>
      <w:jc w:val="left"/>
    </w:pPr>
    <w:rPr>
      <w:sz w:val="18"/>
      <w:szCs w:val="18"/>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151"/>
    <w:qFormat/>
    <w:uiPriority w:val="0"/>
    <w:rPr>
      <w:rFonts w:ascii="宋体"/>
      <w:sz w:val="18"/>
      <w:szCs w:val="18"/>
    </w:rPr>
  </w:style>
  <w:style w:type="paragraph" w:styleId="15">
    <w:name w:val="annotation text"/>
    <w:basedOn w:val="1"/>
    <w:link w:val="173"/>
    <w:qFormat/>
    <w:uiPriority w:val="0"/>
    <w:pPr>
      <w:jc w:val="left"/>
    </w:pPr>
  </w:style>
  <w:style w:type="paragraph" w:styleId="16">
    <w:name w:val="Salutation"/>
    <w:basedOn w:val="1"/>
    <w:next w:val="1"/>
    <w:link w:val="157"/>
    <w:qFormat/>
    <w:uiPriority w:val="0"/>
    <w:rPr>
      <w:sz w:val="28"/>
      <w:szCs w:val="28"/>
    </w:rPr>
  </w:style>
  <w:style w:type="paragraph" w:styleId="17">
    <w:name w:val="Body Text 3"/>
    <w:basedOn w:val="1"/>
    <w:link w:val="175"/>
    <w:qFormat/>
    <w:uiPriority w:val="0"/>
    <w:rPr>
      <w:rFonts w:ascii="宋体"/>
      <w:sz w:val="24"/>
      <w:szCs w:val="20"/>
    </w:rPr>
  </w:style>
  <w:style w:type="paragraph" w:styleId="18">
    <w:name w:val="Body Text"/>
    <w:basedOn w:val="1"/>
    <w:link w:val="183"/>
    <w:qFormat/>
    <w:uiPriority w:val="0"/>
    <w:pPr>
      <w:spacing w:after="120"/>
    </w:pPr>
  </w:style>
  <w:style w:type="paragraph" w:styleId="19">
    <w:name w:val="Body Text Indent"/>
    <w:basedOn w:val="1"/>
    <w:link w:val="187"/>
    <w:qFormat/>
    <w:uiPriority w:val="0"/>
    <w:pPr>
      <w:spacing w:after="120"/>
      <w:ind w:left="420" w:leftChars="200"/>
    </w:pPr>
  </w:style>
  <w:style w:type="paragraph" w:styleId="20">
    <w:name w:val="List 2"/>
    <w:basedOn w:val="21"/>
    <w:qFormat/>
    <w:uiPriority w:val="0"/>
    <w:pPr>
      <w:ind w:left="1080"/>
    </w:pPr>
  </w:style>
  <w:style w:type="paragraph" w:styleId="21">
    <w:name w:val="List"/>
    <w:basedOn w:val="18"/>
    <w:qFormat/>
    <w:uiPriority w:val="0"/>
    <w:pPr>
      <w:spacing w:after="220" w:line="220" w:lineRule="atLeast"/>
      <w:ind w:left="720" w:hanging="360"/>
    </w:pPr>
    <w:rPr>
      <w:szCs w:val="21"/>
    </w:rPr>
  </w:style>
  <w:style w:type="paragraph" w:styleId="22">
    <w:name w:val="Block Text"/>
    <w:basedOn w:val="1"/>
    <w:qFormat/>
    <w:uiPriority w:val="0"/>
    <w:pPr>
      <w:adjustRightInd w:val="0"/>
      <w:snapToGrid w:val="0"/>
      <w:spacing w:line="380" w:lineRule="atLeast"/>
      <w:ind w:left="48" w:leftChars="20" w:right="98" w:firstLine="1"/>
    </w:pPr>
    <w:rPr>
      <w:sz w:val="24"/>
      <w:szCs w:val="20"/>
    </w:rPr>
  </w:style>
  <w:style w:type="paragraph" w:styleId="23">
    <w:name w:val="toc 5"/>
    <w:basedOn w:val="1"/>
    <w:next w:val="1"/>
    <w:qFormat/>
    <w:uiPriority w:val="39"/>
    <w:pPr>
      <w:ind w:left="840"/>
      <w:jc w:val="left"/>
    </w:pPr>
    <w:rPr>
      <w:sz w:val="18"/>
      <w:szCs w:val="18"/>
    </w:rPr>
  </w:style>
  <w:style w:type="paragraph" w:styleId="24">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25">
    <w:name w:val="Plain Text"/>
    <w:basedOn w:val="1"/>
    <w:link w:val="150"/>
    <w:qFormat/>
    <w:uiPriority w:val="0"/>
    <w:rPr>
      <w:rFonts w:ascii="宋体" w:hAnsi="Courier New"/>
      <w:szCs w:val="20"/>
    </w:rPr>
  </w:style>
  <w:style w:type="paragraph" w:styleId="26">
    <w:name w:val="toc 8"/>
    <w:basedOn w:val="1"/>
    <w:next w:val="1"/>
    <w:qFormat/>
    <w:uiPriority w:val="39"/>
    <w:pPr>
      <w:ind w:left="1470"/>
      <w:jc w:val="left"/>
    </w:pPr>
    <w:rPr>
      <w:sz w:val="18"/>
      <w:szCs w:val="18"/>
    </w:rPr>
  </w:style>
  <w:style w:type="paragraph" w:styleId="27">
    <w:name w:val="Date"/>
    <w:basedOn w:val="1"/>
    <w:next w:val="1"/>
    <w:link w:val="178"/>
    <w:qFormat/>
    <w:uiPriority w:val="0"/>
    <w:rPr>
      <w:sz w:val="24"/>
      <w:szCs w:val="20"/>
    </w:rPr>
  </w:style>
  <w:style w:type="paragraph" w:styleId="28">
    <w:name w:val="Body Text Indent 2"/>
    <w:basedOn w:val="1"/>
    <w:qFormat/>
    <w:uiPriority w:val="0"/>
    <w:pPr>
      <w:spacing w:line="500" w:lineRule="exact"/>
      <w:ind w:firstLine="540" w:firstLineChars="200"/>
    </w:pPr>
    <w:rPr>
      <w:rFonts w:ascii="宋体" w:hAnsi="宋体"/>
      <w:sz w:val="27"/>
      <w:szCs w:val="27"/>
    </w:rPr>
  </w:style>
  <w:style w:type="paragraph" w:styleId="29">
    <w:name w:val="endnote text"/>
    <w:basedOn w:val="1"/>
    <w:link w:val="159"/>
    <w:qFormat/>
    <w:uiPriority w:val="0"/>
    <w:pPr>
      <w:snapToGrid w:val="0"/>
      <w:jc w:val="left"/>
    </w:pPr>
  </w:style>
  <w:style w:type="paragraph" w:styleId="30">
    <w:name w:val="Balloon Text"/>
    <w:basedOn w:val="1"/>
    <w:link w:val="177"/>
    <w:qFormat/>
    <w:uiPriority w:val="0"/>
    <w:rPr>
      <w:sz w:val="18"/>
      <w:szCs w:val="18"/>
    </w:rPr>
  </w:style>
  <w:style w:type="paragraph" w:styleId="31">
    <w:name w:val="footer"/>
    <w:basedOn w:val="1"/>
    <w:link w:val="146"/>
    <w:qFormat/>
    <w:uiPriority w:val="0"/>
    <w:pPr>
      <w:tabs>
        <w:tab w:val="center" w:pos="4153"/>
        <w:tab w:val="right" w:pos="8306"/>
      </w:tabs>
      <w:snapToGrid w:val="0"/>
      <w:jc w:val="left"/>
    </w:pPr>
    <w:rPr>
      <w:sz w:val="18"/>
      <w:szCs w:val="18"/>
    </w:rPr>
  </w:style>
  <w:style w:type="paragraph" w:styleId="32">
    <w:name w:val="header"/>
    <w:basedOn w:val="1"/>
    <w:link w:val="160"/>
    <w:qFormat/>
    <w:uiPriority w:val="0"/>
    <w:pP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805"/>
      </w:tabs>
      <w:spacing w:line="440" w:lineRule="exact"/>
      <w:jc w:val="center"/>
    </w:pPr>
    <w:rPr>
      <w:color w:val="000000"/>
      <w:sz w:val="20"/>
      <w:szCs w:val="20"/>
    </w:rPr>
  </w:style>
  <w:style w:type="paragraph" w:styleId="34">
    <w:name w:val="toc 4"/>
    <w:basedOn w:val="1"/>
    <w:next w:val="1"/>
    <w:qFormat/>
    <w:uiPriority w:val="39"/>
    <w:pPr>
      <w:ind w:left="630"/>
      <w:jc w:val="left"/>
    </w:pPr>
    <w:rPr>
      <w:sz w:val="18"/>
      <w:szCs w:val="18"/>
    </w:rPr>
  </w:style>
  <w:style w:type="paragraph" w:styleId="35">
    <w:name w:val="Subtitle"/>
    <w:basedOn w:val="1"/>
    <w:link w:val="156"/>
    <w:qFormat/>
    <w:uiPriority w:val="0"/>
    <w:pPr>
      <w:spacing w:before="60" w:line="460" w:lineRule="exact"/>
      <w:jc w:val="center"/>
      <w:outlineLvl w:val="1"/>
    </w:pPr>
    <w:rPr>
      <w:rFonts w:ascii="黑体" w:eastAsia="黑体"/>
      <w:kern w:val="28"/>
      <w:sz w:val="24"/>
    </w:rPr>
  </w:style>
  <w:style w:type="paragraph" w:styleId="36">
    <w:name w:val="footnote text"/>
    <w:basedOn w:val="1"/>
    <w:link w:val="152"/>
    <w:qFormat/>
    <w:uiPriority w:val="0"/>
    <w:pPr>
      <w:adjustRightInd w:val="0"/>
      <w:snapToGrid w:val="0"/>
      <w:spacing w:line="420" w:lineRule="atLeast"/>
      <w:ind w:firstLine="454"/>
      <w:jc w:val="left"/>
      <w:textAlignment w:val="baseline"/>
    </w:pPr>
    <w:rPr>
      <w:kern w:val="0"/>
      <w:sz w:val="18"/>
      <w:szCs w:val="20"/>
    </w:rPr>
  </w:style>
  <w:style w:type="paragraph" w:styleId="37">
    <w:name w:val="toc 6"/>
    <w:basedOn w:val="1"/>
    <w:next w:val="1"/>
    <w:qFormat/>
    <w:uiPriority w:val="39"/>
    <w:pPr>
      <w:ind w:left="1050"/>
      <w:jc w:val="left"/>
    </w:pPr>
    <w:rPr>
      <w:sz w:val="18"/>
      <w:szCs w:val="18"/>
    </w:rPr>
  </w:style>
  <w:style w:type="paragraph" w:styleId="38">
    <w:name w:val="Body Text Indent 3"/>
    <w:basedOn w:val="1"/>
    <w:link w:val="176"/>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39"/>
    <w:pPr>
      <w:ind w:left="1680"/>
      <w:jc w:val="left"/>
    </w:pPr>
    <w:rPr>
      <w:sz w:val="18"/>
      <w:szCs w:val="18"/>
    </w:rPr>
  </w:style>
  <w:style w:type="paragraph" w:styleId="41">
    <w:name w:val="Body Text 2"/>
    <w:basedOn w:val="1"/>
    <w:qFormat/>
    <w:uiPriority w:val="0"/>
    <w:pPr>
      <w:spacing w:after="120" w:line="480" w:lineRule="auto"/>
    </w:pPr>
  </w:style>
  <w:style w:type="paragraph" w:styleId="4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1"/>
    </w:rPr>
  </w:style>
  <w:style w:type="paragraph" w:styleId="44">
    <w:name w:val="Title"/>
    <w:basedOn w:val="1"/>
    <w:link w:val="14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5">
    <w:name w:val="annotation subject"/>
    <w:basedOn w:val="15"/>
    <w:next w:val="15"/>
    <w:link w:val="174"/>
    <w:qFormat/>
    <w:uiPriority w:val="0"/>
    <w:rPr>
      <w:b/>
      <w:bCs/>
    </w:rPr>
  </w:style>
  <w:style w:type="paragraph" w:styleId="46">
    <w:name w:val="Body Text First Indent"/>
    <w:basedOn w:val="1"/>
    <w:link w:val="181"/>
    <w:qFormat/>
    <w:uiPriority w:val="0"/>
    <w:pPr>
      <w:spacing w:line="312" w:lineRule="auto"/>
      <w:ind w:firstLine="42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styleId="56">
    <w:name w:val="footnote reference"/>
    <w:qFormat/>
    <w:uiPriority w:val="0"/>
    <w:rPr>
      <w:vertAlign w:val="superscript"/>
    </w:rPr>
  </w:style>
  <w:style w:type="paragraph" w:customStyle="1" w:styleId="57">
    <w:name w:val="1"/>
    <w:basedOn w:val="1"/>
    <w:next w:val="1"/>
    <w:qFormat/>
    <w:uiPriority w:val="0"/>
  </w:style>
  <w:style w:type="paragraph" w:customStyle="1" w:styleId="5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59">
    <w:name w:val="表格"/>
    <w:basedOn w:val="1"/>
    <w:qFormat/>
    <w:uiPriority w:val="0"/>
    <w:pPr>
      <w:jc w:val="center"/>
      <w:textAlignment w:val="center"/>
    </w:pPr>
    <w:rPr>
      <w:rFonts w:ascii="华文细黑" w:hAnsi="华文细黑"/>
      <w:kern w:val="0"/>
      <w:szCs w:val="20"/>
    </w:rPr>
  </w:style>
  <w:style w:type="paragraph" w:customStyle="1" w:styleId="60">
    <w:name w:val="表格文字"/>
    <w:basedOn w:val="1"/>
    <w:qFormat/>
    <w:uiPriority w:val="0"/>
    <w:pPr>
      <w:adjustRightInd w:val="0"/>
      <w:spacing w:line="420" w:lineRule="atLeast"/>
      <w:jc w:val="left"/>
      <w:textAlignment w:val="baseline"/>
    </w:pPr>
    <w:rPr>
      <w:kern w:val="0"/>
      <w:szCs w:val="20"/>
    </w:rPr>
  </w:style>
  <w:style w:type="paragraph" w:customStyle="1" w:styleId="61">
    <w:name w:val="表格方字"/>
    <w:basedOn w:val="1"/>
    <w:qFormat/>
    <w:uiPriority w:val="0"/>
    <w:pPr>
      <w:adjustRightInd w:val="0"/>
      <w:spacing w:before="60" w:after="60" w:line="420" w:lineRule="atLeast"/>
      <w:jc w:val="left"/>
      <w:textAlignment w:val="baseline"/>
    </w:pPr>
    <w:rPr>
      <w:kern w:val="0"/>
      <w:szCs w:val="20"/>
    </w:rPr>
  </w:style>
  <w:style w:type="paragraph" w:customStyle="1" w:styleId="62">
    <w:name w:val="表头"/>
    <w:basedOn w:val="61"/>
    <w:qFormat/>
    <w:uiPriority w:val="0"/>
    <w:rPr>
      <w:rFonts w:ascii="黑体" w:eastAsia="黑体"/>
      <w:b/>
    </w:rPr>
  </w:style>
  <w:style w:type="paragraph" w:customStyle="1" w:styleId="63">
    <w:name w:val="表格1"/>
    <w:basedOn w:val="1"/>
    <w:qFormat/>
    <w:uiPriority w:val="0"/>
    <w:pPr>
      <w:adjustRightInd w:val="0"/>
      <w:spacing w:line="420" w:lineRule="atLeast"/>
      <w:ind w:left="284"/>
      <w:textAlignment w:val="baseline"/>
    </w:pPr>
    <w:rPr>
      <w:kern w:val="0"/>
      <w:szCs w:val="20"/>
    </w:rPr>
  </w:style>
  <w:style w:type="paragraph" w:customStyle="1" w:styleId="64">
    <w:name w:val="表格3"/>
    <w:basedOn w:val="1"/>
    <w:qFormat/>
    <w:uiPriority w:val="0"/>
    <w:pPr>
      <w:adjustRightInd w:val="0"/>
      <w:spacing w:line="420" w:lineRule="atLeast"/>
      <w:textAlignment w:val="baseline"/>
    </w:pPr>
    <w:rPr>
      <w:rFonts w:eastAsia="楷体"/>
      <w:kern w:val="0"/>
      <w:szCs w:val="20"/>
    </w:rPr>
  </w:style>
  <w:style w:type="paragraph" w:customStyle="1" w:styleId="65">
    <w:name w:val="表格5"/>
    <w:basedOn w:val="66"/>
    <w:qFormat/>
    <w:uiPriority w:val="0"/>
    <w:pPr>
      <w:ind w:left="1021" w:hanging="284"/>
    </w:pPr>
    <w:rPr>
      <w:rFonts w:ascii="宋体"/>
    </w:rPr>
  </w:style>
  <w:style w:type="paragraph" w:customStyle="1" w:styleId="66">
    <w:name w:val="表格2"/>
    <w:basedOn w:val="1"/>
    <w:qFormat/>
    <w:uiPriority w:val="0"/>
    <w:pPr>
      <w:adjustRightInd w:val="0"/>
      <w:spacing w:line="420" w:lineRule="atLeast"/>
      <w:ind w:left="284" w:firstLine="454"/>
      <w:textAlignment w:val="baseline"/>
    </w:pPr>
    <w:rPr>
      <w:kern w:val="0"/>
      <w:szCs w:val="20"/>
    </w:rPr>
  </w:style>
  <w:style w:type="paragraph" w:customStyle="1" w:styleId="67">
    <w:name w:val="表格4"/>
    <w:basedOn w:val="1"/>
    <w:qFormat/>
    <w:uiPriority w:val="0"/>
    <w:pPr>
      <w:adjustRightInd w:val="0"/>
      <w:spacing w:line="420" w:lineRule="atLeast"/>
      <w:ind w:left="1021"/>
      <w:textAlignment w:val="baseline"/>
    </w:pPr>
    <w:rPr>
      <w:kern w:val="0"/>
      <w:szCs w:val="20"/>
    </w:rPr>
  </w:style>
  <w:style w:type="paragraph" w:customStyle="1" w:styleId="68">
    <w:name w:val="表格6"/>
    <w:basedOn w:val="65"/>
    <w:qFormat/>
    <w:uiPriority w:val="0"/>
    <w:pPr>
      <w:ind w:left="737" w:firstLine="0"/>
    </w:pPr>
  </w:style>
  <w:style w:type="paragraph" w:customStyle="1" w:styleId="69">
    <w:name w:val="2"/>
    <w:basedOn w:val="1"/>
    <w:qFormat/>
    <w:uiPriority w:val="0"/>
    <w:pPr>
      <w:adjustRightInd w:val="0"/>
      <w:spacing w:line="420" w:lineRule="atLeast"/>
      <w:ind w:left="1134" w:hanging="227"/>
      <w:textAlignment w:val="baseline"/>
    </w:pPr>
    <w:rPr>
      <w:kern w:val="0"/>
      <w:szCs w:val="20"/>
    </w:rPr>
  </w:style>
  <w:style w:type="paragraph" w:customStyle="1" w:styleId="70">
    <w:name w:val="表中"/>
    <w:basedOn w:val="1"/>
    <w:qFormat/>
    <w:uiPriority w:val="0"/>
    <w:pPr>
      <w:adjustRightInd w:val="0"/>
      <w:spacing w:line="360" w:lineRule="atLeast"/>
      <w:jc w:val="center"/>
      <w:textAlignment w:val="baseline"/>
    </w:pPr>
    <w:rPr>
      <w:kern w:val="0"/>
      <w:szCs w:val="20"/>
    </w:rPr>
  </w:style>
  <w:style w:type="paragraph" w:customStyle="1" w:styleId="71">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72">
    <w:name w:val="Char Char Char Char Char Char"/>
    <w:basedOn w:val="1"/>
    <w:qFormat/>
    <w:uiPriority w:val="0"/>
  </w:style>
  <w:style w:type="paragraph" w:customStyle="1" w:styleId="73">
    <w:name w:val="Char"/>
    <w:basedOn w:val="1"/>
    <w:qFormat/>
    <w:uiPriority w:val="0"/>
  </w:style>
  <w:style w:type="paragraph" w:customStyle="1" w:styleId="74">
    <w:name w:val="Char1"/>
    <w:basedOn w:val="1"/>
    <w:qFormat/>
    <w:uiPriority w:val="0"/>
  </w:style>
  <w:style w:type="paragraph" w:customStyle="1" w:styleId="75">
    <w:name w:val="Char2"/>
    <w:basedOn w:val="1"/>
    <w:qFormat/>
    <w:uiPriority w:val="0"/>
  </w:style>
  <w:style w:type="paragraph" w:customStyle="1" w:styleId="76">
    <w:name w:val="Char Char Char Char Char Char Char Char Char Char Char Char Char Char Char Char Char Char1 Char Char Char Char"/>
    <w:basedOn w:val="1"/>
    <w:qFormat/>
    <w:uiPriority w:val="0"/>
  </w:style>
  <w:style w:type="paragraph" w:customStyle="1" w:styleId="77">
    <w:name w:val="_Style 75"/>
    <w:hidden/>
    <w:semiHidden/>
    <w:qFormat/>
    <w:uiPriority w:val="99"/>
    <w:rPr>
      <w:rFonts w:ascii="Times New Roman" w:hAnsi="Times New Roman" w:eastAsia="宋体" w:cs="Times New Roman"/>
      <w:kern w:val="2"/>
      <w:sz w:val="21"/>
      <w:szCs w:val="24"/>
      <w:lang w:val="en-US" w:eastAsia="zh-CN" w:bidi="ar-SA"/>
    </w:rPr>
  </w:style>
  <w:style w:type="paragraph" w:customStyle="1" w:styleId="78">
    <w:name w:val="_Style 76"/>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9">
    <w:name w:val="Char Char Char"/>
    <w:basedOn w:val="1"/>
    <w:qFormat/>
    <w:uiPriority w:val="0"/>
    <w:rPr>
      <w:szCs w:val="20"/>
    </w:rPr>
  </w:style>
  <w:style w:type="paragraph" w:customStyle="1" w:styleId="80">
    <w:name w:val="Char Char Char1"/>
    <w:basedOn w:val="1"/>
    <w:qFormat/>
    <w:uiPriority w:val="0"/>
    <w:rPr>
      <w:szCs w:val="20"/>
    </w:rPr>
  </w:style>
  <w:style w:type="paragraph" w:customStyle="1" w:styleId="81">
    <w:name w:val="H001"/>
    <w:basedOn w:val="2"/>
    <w:link w:val="154"/>
    <w:qFormat/>
    <w:uiPriority w:val="0"/>
    <w:pPr>
      <w:spacing w:before="240" w:after="240" w:line="240" w:lineRule="exact"/>
    </w:pPr>
    <w:rPr>
      <w:rFonts w:eastAsia="黑体"/>
      <w:sz w:val="24"/>
    </w:rPr>
  </w:style>
  <w:style w:type="paragraph" w:customStyle="1" w:styleId="82">
    <w:name w:val="表"/>
    <w:basedOn w:val="1"/>
    <w:qFormat/>
    <w:uiPriority w:val="0"/>
    <w:pPr>
      <w:adjustRightInd w:val="0"/>
      <w:snapToGrid w:val="0"/>
      <w:spacing w:line="360" w:lineRule="exact"/>
    </w:pPr>
    <w:rPr>
      <w:szCs w:val="20"/>
    </w:rPr>
  </w:style>
  <w:style w:type="paragraph" w:customStyle="1" w:styleId="83">
    <w:name w:val="标准"/>
    <w:basedOn w:val="1"/>
    <w:qFormat/>
    <w:uiPriority w:val="0"/>
    <w:pPr>
      <w:adjustRightInd w:val="0"/>
      <w:spacing w:line="360" w:lineRule="auto"/>
      <w:jc w:val="center"/>
      <w:textAlignment w:val="baseline"/>
    </w:pPr>
    <w:rPr>
      <w:kern w:val="0"/>
      <w:sz w:val="24"/>
      <w:szCs w:val="20"/>
    </w:rPr>
  </w:style>
  <w:style w:type="paragraph" w:customStyle="1" w:styleId="84">
    <w:name w:val="表1"/>
    <w:basedOn w:val="1"/>
    <w:qFormat/>
    <w:uiPriority w:val="0"/>
    <w:pPr>
      <w:numPr>
        <w:ilvl w:val="0"/>
        <w:numId w:val="1"/>
      </w:numPr>
      <w:overflowPunct w:val="0"/>
      <w:autoSpaceDE w:val="0"/>
      <w:autoSpaceDN w:val="0"/>
      <w:adjustRightInd w:val="0"/>
      <w:spacing w:before="200" w:line="320" w:lineRule="atLeast"/>
      <w:textAlignment w:val="baseline"/>
    </w:pPr>
    <w:rPr>
      <w:kern w:val="0"/>
      <w:sz w:val="24"/>
      <w:szCs w:val="20"/>
    </w:rPr>
  </w:style>
  <w:style w:type="paragraph" w:customStyle="1" w:styleId="8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86">
    <w:name w:val="font6"/>
    <w:basedOn w:val="1"/>
    <w:qFormat/>
    <w:uiPriority w:val="0"/>
    <w:pPr>
      <w:widowControl/>
      <w:spacing w:before="100" w:beforeAutospacing="1" w:after="100" w:afterAutospacing="1"/>
      <w:jc w:val="left"/>
    </w:pPr>
    <w:rPr>
      <w:rFonts w:hint="eastAsia" w:ascii="黑体" w:hAnsi="宋体" w:eastAsia="黑体"/>
      <w:kern w:val="0"/>
      <w:sz w:val="22"/>
      <w:szCs w:val="22"/>
    </w:rPr>
  </w:style>
  <w:style w:type="paragraph" w:customStyle="1" w:styleId="87">
    <w:name w:val="font7"/>
    <w:basedOn w:val="1"/>
    <w:qFormat/>
    <w:uiPriority w:val="0"/>
    <w:pPr>
      <w:widowControl/>
      <w:spacing w:before="100" w:beforeAutospacing="1" w:after="100" w:afterAutospacing="1"/>
      <w:jc w:val="left"/>
    </w:pPr>
    <w:rPr>
      <w:kern w:val="0"/>
      <w:sz w:val="22"/>
      <w:szCs w:val="22"/>
    </w:rPr>
  </w:style>
  <w:style w:type="paragraph" w:customStyle="1" w:styleId="88">
    <w:name w:val="font8"/>
    <w:basedOn w:val="1"/>
    <w:qFormat/>
    <w:uiPriority w:val="0"/>
    <w:pPr>
      <w:widowControl/>
      <w:spacing w:before="100" w:beforeAutospacing="1" w:after="100" w:afterAutospacing="1"/>
      <w:jc w:val="left"/>
    </w:pPr>
    <w:rPr>
      <w:rFonts w:hint="eastAsia" w:ascii="宋体" w:hAnsi="宋体"/>
      <w:kern w:val="0"/>
      <w:sz w:val="22"/>
      <w:szCs w:val="22"/>
    </w:rPr>
  </w:style>
  <w:style w:type="paragraph" w:customStyle="1" w:styleId="89">
    <w:name w:val="xl32"/>
    <w:basedOn w:val="1"/>
    <w:qFormat/>
    <w:uiPriority w:val="0"/>
    <w:pPr>
      <w:widowControl/>
      <w:spacing w:before="100" w:beforeAutospacing="1" w:after="100" w:afterAutospacing="1"/>
      <w:jc w:val="center"/>
      <w:textAlignment w:val="center"/>
    </w:pPr>
    <w:rPr>
      <w:rFonts w:hint="eastAsia" w:ascii="黑体" w:hAnsi="宋体" w:eastAsia="黑体"/>
      <w:kern w:val="0"/>
      <w:sz w:val="32"/>
      <w:szCs w:val="32"/>
    </w:rPr>
  </w:style>
  <w:style w:type="paragraph" w:customStyle="1" w:styleId="9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91">
    <w:name w:val="xl3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9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93">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94">
    <w:name w:val="xl3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9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9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9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9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0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0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0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03">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04">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0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06">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10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0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09">
    <w:name w:val="xl5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10">
    <w:name w:val="xl5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111">
    <w:name w:val="xl5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112">
    <w:name w:val="xl5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13">
    <w:name w:val="xl5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2"/>
      <w:szCs w:val="22"/>
    </w:rPr>
  </w:style>
  <w:style w:type="paragraph" w:customStyle="1" w:styleId="114">
    <w:name w:val="xl57"/>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15">
    <w:name w:val="xl5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16">
    <w:name w:val="xl5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117">
    <w:name w:val="xl6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18">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119">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20">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21">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122">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2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124">
    <w:name w:val="xl6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2"/>
      <w:szCs w:val="22"/>
    </w:rPr>
  </w:style>
  <w:style w:type="paragraph" w:customStyle="1" w:styleId="125">
    <w:name w:val="xl6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26">
    <w:name w:val="xl6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27">
    <w:name w:val="xl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28">
    <w:name w:val="xl7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2"/>
      <w:szCs w:val="22"/>
    </w:rPr>
  </w:style>
  <w:style w:type="paragraph" w:customStyle="1" w:styleId="129">
    <w:name w:val="xl72"/>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kern w:val="0"/>
      <w:sz w:val="22"/>
      <w:szCs w:val="22"/>
    </w:rPr>
  </w:style>
  <w:style w:type="paragraph" w:customStyle="1" w:styleId="130">
    <w:name w:val="font9"/>
    <w:basedOn w:val="1"/>
    <w:qFormat/>
    <w:uiPriority w:val="0"/>
    <w:pPr>
      <w:widowControl/>
      <w:spacing w:before="100" w:beforeAutospacing="1" w:after="100" w:afterAutospacing="1"/>
      <w:jc w:val="left"/>
    </w:pPr>
    <w:rPr>
      <w:kern w:val="0"/>
      <w:szCs w:val="21"/>
    </w:rPr>
  </w:style>
  <w:style w:type="paragraph" w:customStyle="1" w:styleId="131">
    <w:name w:val="font10"/>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2">
    <w:name w:val="Char Char Char Char"/>
    <w:basedOn w:val="1"/>
    <w:semiHidden/>
    <w:qFormat/>
    <w:uiPriority w:val="0"/>
  </w:style>
  <w:style w:type="paragraph" w:customStyle="1" w:styleId="133">
    <w:name w:val="样式 港珠澳正文 + 首行缩进:  2 字符 段前: 1 行 段后: 1 行"/>
    <w:basedOn w:val="1"/>
    <w:qFormat/>
    <w:uiPriority w:val="0"/>
    <w:pPr>
      <w:spacing w:line="360" w:lineRule="auto"/>
      <w:ind w:firstLine="200" w:firstLineChars="200"/>
      <w:jc w:val="left"/>
    </w:pPr>
    <w:rPr>
      <w:rFonts w:cs="宋体"/>
      <w:color w:val="000000"/>
      <w:sz w:val="24"/>
      <w:szCs w:val="20"/>
    </w:rPr>
  </w:style>
  <w:style w:type="paragraph" w:customStyle="1" w:styleId="134">
    <w:name w:val="正文A"/>
    <w:qFormat/>
    <w:uiPriority w:val="0"/>
    <w:pPr>
      <w:widowControl w:val="0"/>
      <w:tabs>
        <w:tab w:val="left" w:pos="0"/>
      </w:tabs>
      <w:adjustRightInd w:val="0"/>
      <w:spacing w:line="360" w:lineRule="auto"/>
      <w:ind w:firstLine="200" w:firstLineChars="200"/>
      <w:jc w:val="both"/>
      <w:textAlignment w:val="baseline"/>
    </w:pPr>
    <w:rPr>
      <w:rFonts w:ascii="Times New Roman" w:hAnsi="Times New Roman" w:eastAsia="宋体" w:cs="Times New Roman"/>
      <w:snapToGrid w:val="0"/>
      <w:sz w:val="24"/>
      <w:lang w:val="en-US" w:eastAsia="zh-CN" w:bidi="ar-SA"/>
    </w:rPr>
  </w:style>
  <w:style w:type="paragraph" w:customStyle="1" w:styleId="135">
    <w:name w:val="表名A"/>
    <w:basedOn w:val="1"/>
    <w:qFormat/>
    <w:uiPriority w:val="0"/>
    <w:pPr>
      <w:widowControl/>
      <w:tabs>
        <w:tab w:val="left" w:pos="0"/>
      </w:tabs>
      <w:adjustRightInd w:val="0"/>
      <w:snapToGrid w:val="0"/>
      <w:spacing w:beforeLines="80" w:afterLines="20"/>
      <w:jc w:val="center"/>
    </w:pPr>
    <w:rPr>
      <w:b/>
      <w:snapToGrid w:val="0"/>
      <w:kern w:val="0"/>
      <w:szCs w:val="20"/>
    </w:rPr>
  </w:style>
  <w:style w:type="paragraph" w:customStyle="1" w:styleId="136">
    <w:name w:val="表文C"/>
    <w:basedOn w:val="1"/>
    <w:qFormat/>
    <w:uiPriority w:val="0"/>
    <w:pPr>
      <w:widowControl/>
      <w:tabs>
        <w:tab w:val="left" w:pos="0"/>
      </w:tabs>
      <w:adjustRightInd w:val="0"/>
      <w:snapToGrid w:val="0"/>
      <w:jc w:val="center"/>
    </w:pPr>
    <w:rPr>
      <w:snapToGrid w:val="0"/>
      <w:kern w:val="0"/>
      <w:szCs w:val="20"/>
    </w:rPr>
  </w:style>
  <w:style w:type="paragraph" w:customStyle="1" w:styleId="137">
    <w:name w:val="港珠澳表格"/>
    <w:basedOn w:val="1"/>
    <w:qFormat/>
    <w:uiPriority w:val="0"/>
    <w:pPr>
      <w:spacing w:beforeLines="100" w:after="60"/>
      <w:jc w:val="center"/>
    </w:pPr>
    <w:rPr>
      <w:sz w:val="24"/>
    </w:rPr>
  </w:style>
  <w:style w:type="paragraph" w:customStyle="1" w:styleId="138">
    <w:name w:val="样式 标题 3 + 首行缩进:  2 字符1"/>
    <w:basedOn w:val="4"/>
    <w:qFormat/>
    <w:uiPriority w:val="0"/>
    <w:pPr>
      <w:widowControl w:val="0"/>
      <w:spacing w:after="0" w:line="415" w:lineRule="auto"/>
      <w:ind w:firstLine="200" w:firstLineChars="200"/>
      <w:jc w:val="both"/>
    </w:pPr>
    <w:rPr>
      <w:rFonts w:cs="宋体"/>
      <w:bCs/>
      <w:kern w:val="2"/>
      <w:sz w:val="24"/>
    </w:rPr>
  </w:style>
  <w:style w:type="paragraph" w:customStyle="1" w:styleId="139">
    <w:name w:val="样式 标题 2 + Times New Roman 段前: 12 磅"/>
    <w:basedOn w:val="3"/>
    <w:qFormat/>
    <w:uiPriority w:val="0"/>
    <w:pPr>
      <w:snapToGrid w:val="0"/>
      <w:spacing w:before="120" w:after="120" w:line="240" w:lineRule="auto"/>
      <w:jc w:val="both"/>
    </w:pPr>
    <w:rPr>
      <w:rFonts w:ascii="黑体" w:hAnsi="Times New Roman" w:cs="宋体"/>
      <w:b/>
      <w:i w:val="0"/>
      <w:iCs w:val="0"/>
      <w:sz w:val="28"/>
      <w:szCs w:val="28"/>
    </w:rPr>
  </w:style>
  <w:style w:type="paragraph" w:customStyle="1" w:styleId="140">
    <w:name w:val="xl24"/>
    <w:basedOn w:val="1"/>
    <w:qFormat/>
    <w:uiPriority w:val="0"/>
    <w:pPr>
      <w:widowControl/>
      <w:spacing w:before="100" w:beforeAutospacing="1" w:after="100" w:afterAutospacing="1"/>
      <w:jc w:val="center"/>
      <w:textAlignment w:val="center"/>
    </w:pPr>
    <w:rPr>
      <w:rFonts w:ascii="宋体" w:eastAsia="Arial Unicode MS"/>
      <w:kern w:val="0"/>
      <w:sz w:val="24"/>
      <w:szCs w:val="21"/>
    </w:rPr>
  </w:style>
  <w:style w:type="paragraph" w:customStyle="1" w:styleId="141">
    <w:name w:val="Char Char Char Char Char Char Char Char Char Char Char Char Char Char Char Char Char Char Char Char Char Char"/>
    <w:basedOn w:val="1"/>
    <w:qFormat/>
    <w:uiPriority w:val="0"/>
  </w:style>
  <w:style w:type="paragraph" w:customStyle="1" w:styleId="142">
    <w:name w:val="标题C"/>
    <w:qFormat/>
    <w:uiPriority w:val="0"/>
    <w:pPr>
      <w:tabs>
        <w:tab w:val="left" w:pos="0"/>
      </w:tabs>
      <w:adjustRightInd w:val="0"/>
      <w:spacing w:line="600" w:lineRule="auto"/>
      <w:outlineLvl w:val="2"/>
    </w:pPr>
    <w:rPr>
      <w:rFonts w:ascii="Times New Roman" w:hAnsi="Times New Roman" w:eastAsia="宋体" w:cs="Plotter"/>
      <w:b/>
      <w:snapToGrid w:val="0"/>
      <w:sz w:val="28"/>
      <w:lang w:val="en-US" w:eastAsia="zh-CN" w:bidi="ar-SA"/>
    </w:rPr>
  </w:style>
  <w:style w:type="paragraph" w:customStyle="1" w:styleId="143">
    <w:name w:val="标题B"/>
    <w:qFormat/>
    <w:uiPriority w:val="0"/>
    <w:pPr>
      <w:adjustRightInd w:val="0"/>
      <w:spacing w:line="720" w:lineRule="auto"/>
      <w:outlineLvl w:val="1"/>
    </w:pPr>
    <w:rPr>
      <w:rFonts w:ascii="Times New Roman" w:hAnsi="Times New Roman" w:eastAsia="宋体" w:cs="Times New Roman"/>
      <w:b/>
      <w:sz w:val="30"/>
      <w:lang w:val="en-US" w:eastAsia="zh-CN" w:bidi="ar-SA"/>
    </w:rPr>
  </w:style>
  <w:style w:type="paragraph" w:customStyle="1" w:styleId="144">
    <w:name w:val="文章"/>
    <w:link w:val="158"/>
    <w:qFormat/>
    <w:uiPriority w:val="0"/>
    <w:pPr>
      <w:adjustRightInd w:val="0"/>
      <w:snapToGrid w:val="0"/>
      <w:spacing w:line="360" w:lineRule="auto"/>
      <w:ind w:firstLine="520" w:firstLineChars="200"/>
    </w:pPr>
    <w:rPr>
      <w:rFonts w:ascii="Garamond" w:hAnsi="Garamond" w:eastAsia="宋体" w:cs="Times New Roman"/>
      <w:kern w:val="2"/>
      <w:sz w:val="24"/>
      <w:szCs w:val="24"/>
      <w:lang w:val="en-US" w:eastAsia="zh-CN" w:bidi="ar-SA"/>
    </w:rPr>
  </w:style>
  <w:style w:type="paragraph" w:customStyle="1" w:styleId="145">
    <w:name w:val="_Style 143"/>
    <w:basedOn w:val="1"/>
    <w:qFormat/>
    <w:uiPriority w:val="0"/>
    <w:pPr>
      <w:ind w:firstLine="420" w:firstLineChars="200"/>
    </w:pPr>
    <w:rPr>
      <w:rFonts w:ascii="Calibri" w:hAnsi="Calibri"/>
      <w:szCs w:val="22"/>
    </w:rPr>
  </w:style>
  <w:style w:type="character" w:customStyle="1" w:styleId="146">
    <w:name w:val="页脚 Char"/>
    <w:link w:val="31"/>
    <w:qFormat/>
    <w:uiPriority w:val="0"/>
    <w:rPr>
      <w:rFonts w:eastAsia="宋体"/>
      <w:kern w:val="2"/>
      <w:sz w:val="18"/>
      <w:szCs w:val="18"/>
      <w:lang w:val="en-US" w:eastAsia="zh-CN" w:bidi="ar-SA"/>
    </w:rPr>
  </w:style>
  <w:style w:type="character" w:customStyle="1" w:styleId="147">
    <w:name w:val="font161"/>
    <w:qFormat/>
    <w:uiPriority w:val="0"/>
    <w:rPr>
      <w:b/>
      <w:bCs/>
      <w:sz w:val="32"/>
      <w:szCs w:val="32"/>
    </w:rPr>
  </w:style>
  <w:style w:type="character" w:customStyle="1" w:styleId="148">
    <w:name w:val="标题 Char"/>
    <w:link w:val="44"/>
    <w:qFormat/>
    <w:uiPriority w:val="0"/>
    <w:rPr>
      <w:rFonts w:ascii="Arial" w:hAnsi="Arial" w:eastAsia="宋体"/>
      <w:b/>
      <w:sz w:val="32"/>
      <w:lang w:val="en-US" w:eastAsia="zh-CN" w:bidi="ar-SA"/>
    </w:rPr>
  </w:style>
  <w:style w:type="character" w:customStyle="1" w:styleId="149">
    <w:name w:val="数字"/>
    <w:qFormat/>
    <w:uiPriority w:val="0"/>
    <w:rPr>
      <w:rFonts w:eastAsia="黑体"/>
      <w:b/>
      <w:sz w:val="21"/>
    </w:rPr>
  </w:style>
  <w:style w:type="character" w:customStyle="1" w:styleId="150">
    <w:name w:val="纯文本 Char"/>
    <w:link w:val="25"/>
    <w:qFormat/>
    <w:uiPriority w:val="0"/>
    <w:rPr>
      <w:rFonts w:ascii="宋体" w:hAnsi="Courier New" w:eastAsia="宋体"/>
      <w:kern w:val="2"/>
      <w:sz w:val="21"/>
      <w:lang w:val="en-US" w:eastAsia="zh-CN" w:bidi="ar-SA"/>
    </w:rPr>
  </w:style>
  <w:style w:type="character" w:customStyle="1" w:styleId="151">
    <w:name w:val="文档结构图 Char"/>
    <w:link w:val="14"/>
    <w:qFormat/>
    <w:uiPriority w:val="0"/>
    <w:rPr>
      <w:rFonts w:ascii="宋体"/>
      <w:kern w:val="2"/>
      <w:sz w:val="18"/>
      <w:szCs w:val="18"/>
    </w:rPr>
  </w:style>
  <w:style w:type="character" w:customStyle="1" w:styleId="152">
    <w:name w:val="脚注文本 Char"/>
    <w:link w:val="36"/>
    <w:qFormat/>
    <w:uiPriority w:val="0"/>
    <w:rPr>
      <w:sz w:val="18"/>
    </w:rPr>
  </w:style>
  <w:style w:type="character" w:customStyle="1" w:styleId="153">
    <w:name w:val="标题 2 Char"/>
    <w:link w:val="3"/>
    <w:qFormat/>
    <w:uiPriority w:val="0"/>
    <w:rPr>
      <w:rFonts w:ascii="宋体" w:hAnsi="宋体" w:eastAsia="黑体"/>
      <w:bCs/>
      <w:i/>
      <w:iCs/>
      <w:kern w:val="2"/>
      <w:sz w:val="24"/>
    </w:rPr>
  </w:style>
  <w:style w:type="character" w:customStyle="1" w:styleId="154">
    <w:name w:val="H001 Char"/>
    <w:link w:val="81"/>
    <w:qFormat/>
    <w:uiPriority w:val="0"/>
    <w:rPr>
      <w:rFonts w:eastAsia="黑体"/>
      <w:bCs/>
      <w:kern w:val="44"/>
      <w:sz w:val="24"/>
      <w:szCs w:val="44"/>
    </w:rPr>
  </w:style>
  <w:style w:type="character" w:customStyle="1" w:styleId="155">
    <w:name w:val="标题 5 Char"/>
    <w:link w:val="7"/>
    <w:qFormat/>
    <w:uiPriority w:val="9"/>
    <w:rPr>
      <w:b/>
      <w:sz w:val="28"/>
    </w:rPr>
  </w:style>
  <w:style w:type="character" w:customStyle="1" w:styleId="156">
    <w:name w:val="副标题 Char"/>
    <w:link w:val="35"/>
    <w:qFormat/>
    <w:uiPriority w:val="0"/>
    <w:rPr>
      <w:rFonts w:ascii="黑体" w:eastAsia="黑体"/>
      <w:kern w:val="28"/>
      <w:sz w:val="24"/>
      <w:szCs w:val="24"/>
    </w:rPr>
  </w:style>
  <w:style w:type="character" w:customStyle="1" w:styleId="157">
    <w:name w:val="称呼 Char"/>
    <w:link w:val="16"/>
    <w:qFormat/>
    <w:uiPriority w:val="0"/>
    <w:rPr>
      <w:kern w:val="2"/>
      <w:sz w:val="28"/>
      <w:szCs w:val="28"/>
    </w:rPr>
  </w:style>
  <w:style w:type="character" w:customStyle="1" w:styleId="158">
    <w:name w:val="文章 Char"/>
    <w:link w:val="144"/>
    <w:qFormat/>
    <w:uiPriority w:val="0"/>
    <w:rPr>
      <w:rFonts w:ascii="Garamond" w:hAnsi="Garamond"/>
      <w:kern w:val="2"/>
      <w:sz w:val="24"/>
      <w:szCs w:val="24"/>
      <w:lang w:bidi="ar-SA"/>
    </w:rPr>
  </w:style>
  <w:style w:type="character" w:customStyle="1" w:styleId="159">
    <w:name w:val="尾注文本 Char"/>
    <w:link w:val="29"/>
    <w:qFormat/>
    <w:uiPriority w:val="0"/>
    <w:rPr>
      <w:kern w:val="2"/>
      <w:sz w:val="21"/>
      <w:szCs w:val="24"/>
    </w:rPr>
  </w:style>
  <w:style w:type="character" w:customStyle="1" w:styleId="160">
    <w:name w:val="页眉 Char"/>
    <w:link w:val="32"/>
    <w:qFormat/>
    <w:uiPriority w:val="0"/>
    <w:rPr>
      <w:kern w:val="2"/>
      <w:sz w:val="18"/>
      <w:szCs w:val="18"/>
    </w:rPr>
  </w:style>
  <w:style w:type="table" w:customStyle="1" w:styleId="161">
    <w:name w:val="网格型1"/>
    <w:basedOn w:val="47"/>
    <w:qFormat/>
    <w:uiPriority w:val="0"/>
    <w:pPr>
      <w:widowControl w:val="0"/>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2">
    <w:name w:val="Revision"/>
    <w:hidden/>
    <w:qFormat/>
    <w:uiPriority w:val="0"/>
    <w:rPr>
      <w:rFonts w:ascii="Times New Roman" w:hAnsi="Times New Roman" w:eastAsia="宋体" w:cs="Times New Roman"/>
      <w:kern w:val="2"/>
      <w:sz w:val="21"/>
      <w:szCs w:val="24"/>
      <w:lang w:val="en-US" w:eastAsia="zh-CN" w:bidi="ar-SA"/>
    </w:rPr>
  </w:style>
  <w:style w:type="character" w:customStyle="1" w:styleId="163">
    <w:name w:val="标题 1 Char"/>
    <w:link w:val="2"/>
    <w:qFormat/>
    <w:uiPriority w:val="0"/>
    <w:rPr>
      <w:rFonts w:eastAsia="黑体"/>
      <w:bCs/>
      <w:kern w:val="44"/>
      <w:sz w:val="24"/>
      <w:szCs w:val="44"/>
    </w:rPr>
  </w:style>
  <w:style w:type="character" w:customStyle="1" w:styleId="164">
    <w:name w:val="标题 3 Char"/>
    <w:basedOn w:val="49"/>
    <w:link w:val="4"/>
    <w:qFormat/>
    <w:uiPriority w:val="0"/>
    <w:rPr>
      <w:b/>
      <w:sz w:val="32"/>
    </w:rPr>
  </w:style>
  <w:style w:type="character" w:customStyle="1" w:styleId="165">
    <w:name w:val="标题 4 Char"/>
    <w:basedOn w:val="49"/>
    <w:link w:val="5"/>
    <w:qFormat/>
    <w:uiPriority w:val="0"/>
    <w:rPr>
      <w:i/>
      <w:sz w:val="21"/>
    </w:rPr>
  </w:style>
  <w:style w:type="character" w:customStyle="1" w:styleId="166">
    <w:name w:val="标题 6 Char"/>
    <w:basedOn w:val="49"/>
    <w:link w:val="8"/>
    <w:qFormat/>
    <w:uiPriority w:val="0"/>
    <w:rPr>
      <w:rFonts w:ascii="Arial" w:hAnsi="Arial" w:eastAsia="黑体"/>
      <w:b/>
      <w:bCs/>
      <w:sz w:val="24"/>
      <w:szCs w:val="24"/>
    </w:rPr>
  </w:style>
  <w:style w:type="character" w:customStyle="1" w:styleId="167">
    <w:name w:val="标题 7 Char"/>
    <w:basedOn w:val="49"/>
    <w:link w:val="9"/>
    <w:qFormat/>
    <w:uiPriority w:val="0"/>
    <w:rPr>
      <w:b/>
      <w:bCs/>
      <w:sz w:val="24"/>
      <w:szCs w:val="24"/>
    </w:rPr>
  </w:style>
  <w:style w:type="character" w:customStyle="1" w:styleId="168">
    <w:name w:val="标题 8 Char"/>
    <w:basedOn w:val="49"/>
    <w:link w:val="10"/>
    <w:qFormat/>
    <w:uiPriority w:val="0"/>
    <w:rPr>
      <w:rFonts w:ascii="Arial" w:hAnsi="Arial" w:eastAsia="黑体"/>
      <w:sz w:val="24"/>
      <w:szCs w:val="24"/>
    </w:rPr>
  </w:style>
  <w:style w:type="character" w:customStyle="1" w:styleId="169">
    <w:name w:val="标题 9 Char"/>
    <w:basedOn w:val="49"/>
    <w:link w:val="11"/>
    <w:qFormat/>
    <w:uiPriority w:val="0"/>
    <w:rPr>
      <w:rFonts w:ascii="Arial" w:hAnsi="Arial" w:eastAsia="黑体"/>
      <w:sz w:val="21"/>
      <w:szCs w:val="21"/>
    </w:rPr>
  </w:style>
  <w:style w:type="character" w:customStyle="1" w:styleId="170">
    <w:name w:val="style_kwd"/>
    <w:basedOn w:val="49"/>
    <w:qFormat/>
    <w:uiPriority w:val="0"/>
  </w:style>
  <w:style w:type="character" w:customStyle="1" w:styleId="171">
    <w:name w:val="批注文字 Char1"/>
    <w:qFormat/>
    <w:uiPriority w:val="0"/>
    <w:rPr>
      <w:rFonts w:ascii="Times New Roman" w:hAnsi="Times New Roman" w:eastAsia="宋体" w:cs="Times New Roman"/>
      <w:sz w:val="20"/>
      <w:szCs w:val="20"/>
      <w:lang w:bidi="ar-SA"/>
    </w:rPr>
  </w:style>
  <w:style w:type="character" w:customStyle="1" w:styleId="172">
    <w:name w:val="Comment Text Char"/>
    <w:qFormat/>
    <w:uiPriority w:val="0"/>
  </w:style>
  <w:style w:type="character" w:customStyle="1" w:styleId="173">
    <w:name w:val="批注文字 Char"/>
    <w:basedOn w:val="49"/>
    <w:link w:val="15"/>
    <w:qFormat/>
    <w:uiPriority w:val="0"/>
    <w:rPr>
      <w:kern w:val="2"/>
      <w:sz w:val="21"/>
      <w:szCs w:val="24"/>
    </w:rPr>
  </w:style>
  <w:style w:type="character" w:customStyle="1" w:styleId="174">
    <w:name w:val="批注主题 Char"/>
    <w:link w:val="45"/>
    <w:qFormat/>
    <w:uiPriority w:val="0"/>
    <w:rPr>
      <w:b/>
      <w:bCs/>
      <w:kern w:val="2"/>
      <w:sz w:val="21"/>
      <w:szCs w:val="24"/>
    </w:rPr>
  </w:style>
  <w:style w:type="character" w:customStyle="1" w:styleId="175">
    <w:name w:val="正文文本 3 Char"/>
    <w:basedOn w:val="49"/>
    <w:link w:val="17"/>
    <w:qFormat/>
    <w:uiPriority w:val="0"/>
    <w:rPr>
      <w:rFonts w:ascii="宋体"/>
      <w:kern w:val="2"/>
      <w:sz w:val="24"/>
    </w:rPr>
  </w:style>
  <w:style w:type="character" w:customStyle="1" w:styleId="176">
    <w:name w:val="正文文本缩进 3 Char"/>
    <w:basedOn w:val="49"/>
    <w:link w:val="38"/>
    <w:qFormat/>
    <w:uiPriority w:val="0"/>
    <w:rPr>
      <w:kern w:val="2"/>
      <w:sz w:val="16"/>
      <w:szCs w:val="16"/>
    </w:rPr>
  </w:style>
  <w:style w:type="character" w:customStyle="1" w:styleId="177">
    <w:name w:val="批注框文本 Char"/>
    <w:link w:val="30"/>
    <w:qFormat/>
    <w:uiPriority w:val="0"/>
    <w:rPr>
      <w:kern w:val="2"/>
      <w:sz w:val="18"/>
      <w:szCs w:val="18"/>
    </w:rPr>
  </w:style>
  <w:style w:type="character" w:customStyle="1" w:styleId="178">
    <w:name w:val="日期 Char"/>
    <w:link w:val="27"/>
    <w:qFormat/>
    <w:uiPriority w:val="0"/>
    <w:rPr>
      <w:kern w:val="2"/>
      <w:sz w:val="24"/>
    </w:rPr>
  </w:style>
  <w:style w:type="paragraph" w:customStyle="1" w:styleId="179">
    <w:name w:val="_Style 23"/>
    <w:basedOn w:val="1"/>
    <w:qFormat/>
    <w:uiPriority w:val="0"/>
    <w:pPr>
      <w:widowControl/>
      <w:spacing w:after="160" w:line="240" w:lineRule="exact"/>
      <w:jc w:val="left"/>
    </w:pPr>
    <w:rPr>
      <w:rFonts w:ascii="Calibri" w:hAnsi="Calibri"/>
      <w:szCs w:val="22"/>
    </w:rPr>
  </w:style>
  <w:style w:type="paragraph" w:customStyle="1" w:styleId="180">
    <w:name w:val="TOC Heading"/>
    <w:basedOn w:val="2"/>
    <w:next w:val="1"/>
    <w:qFormat/>
    <w:uiPriority w:val="0"/>
    <w:pPr>
      <w:widowControl/>
      <w:spacing w:before="480" w:after="0" w:line="276" w:lineRule="auto"/>
      <w:jc w:val="left"/>
      <w:outlineLvl w:val="9"/>
    </w:pPr>
    <w:rPr>
      <w:rFonts w:ascii="Cambria" w:hAnsi="Cambria"/>
      <w:bCs w:val="0"/>
      <w:color w:val="365F91"/>
      <w:kern w:val="0"/>
      <w:sz w:val="28"/>
      <w:szCs w:val="20"/>
    </w:rPr>
  </w:style>
  <w:style w:type="character" w:customStyle="1" w:styleId="181">
    <w:name w:val="正文首行缩进 Char"/>
    <w:basedOn w:val="182"/>
    <w:link w:val="46"/>
    <w:qFormat/>
    <w:uiPriority w:val="0"/>
    <w:rPr>
      <w:rFonts w:eastAsia="宋体"/>
      <w:kern w:val="2"/>
      <w:sz w:val="21"/>
      <w:szCs w:val="24"/>
      <w:lang w:val="en-US" w:eastAsia="zh-CN" w:bidi="ar-SA"/>
    </w:rPr>
  </w:style>
  <w:style w:type="character" w:customStyle="1" w:styleId="182">
    <w:name w:val="正文文本 Char"/>
    <w:qFormat/>
    <w:uiPriority w:val="0"/>
    <w:rPr>
      <w:rFonts w:eastAsia="宋体"/>
      <w:kern w:val="2"/>
      <w:sz w:val="21"/>
      <w:szCs w:val="24"/>
      <w:lang w:val="en-US" w:eastAsia="zh-CN" w:bidi="ar-SA"/>
    </w:rPr>
  </w:style>
  <w:style w:type="character" w:customStyle="1" w:styleId="183">
    <w:name w:val="正文文本 Char1"/>
    <w:basedOn w:val="49"/>
    <w:link w:val="18"/>
    <w:qFormat/>
    <w:uiPriority w:val="0"/>
    <w:rPr>
      <w:kern w:val="2"/>
      <w:sz w:val="21"/>
      <w:szCs w:val="24"/>
    </w:rPr>
  </w:style>
  <w:style w:type="character" w:customStyle="1" w:styleId="184">
    <w:name w:val="正文首行缩进 字符1"/>
    <w:basedOn w:val="183"/>
    <w:qFormat/>
    <w:uiPriority w:val="0"/>
    <w:rPr>
      <w:kern w:val="2"/>
      <w:sz w:val="21"/>
      <w:szCs w:val="24"/>
    </w:rPr>
  </w:style>
  <w:style w:type="paragraph" w:styleId="185">
    <w:name w:val="List Paragraph"/>
    <w:basedOn w:val="1"/>
    <w:qFormat/>
    <w:uiPriority w:val="0"/>
    <w:pPr>
      <w:ind w:firstLine="420" w:firstLineChars="200"/>
    </w:pPr>
    <w:rPr>
      <w:rFonts w:ascii="Calibri" w:hAnsi="Calibri"/>
      <w:szCs w:val="22"/>
    </w:rPr>
  </w:style>
  <w:style w:type="character" w:customStyle="1" w:styleId="186">
    <w:name w:val="正文首行缩进 Char1"/>
    <w:basedOn w:val="183"/>
    <w:qFormat/>
    <w:uiPriority w:val="99"/>
    <w:rPr>
      <w:rFonts w:eastAsia="宋体"/>
      <w:kern w:val="2"/>
      <w:sz w:val="21"/>
      <w:szCs w:val="24"/>
    </w:rPr>
  </w:style>
  <w:style w:type="character" w:customStyle="1" w:styleId="187">
    <w:name w:val="正文文本缩进 Char"/>
    <w:basedOn w:val="49"/>
    <w:link w:val="19"/>
    <w:qFormat/>
    <w:uiPriority w:val="0"/>
    <w:rPr>
      <w:kern w:val="2"/>
      <w:sz w:val="21"/>
      <w:szCs w:val="24"/>
    </w:rPr>
  </w:style>
  <w:style w:type="paragraph" w:customStyle="1" w:styleId="188">
    <w:name w:val="我的正文"/>
    <w:basedOn w:val="1"/>
    <w:qFormat/>
    <w:uiPriority w:val="0"/>
    <w:rPr>
      <w:rFonts w:ascii="宋体" w:hAnsi="宋体"/>
      <w:sz w:val="24"/>
    </w:rPr>
  </w:style>
  <w:style w:type="paragraph" w:customStyle="1" w:styleId="189">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cs="宋体"/>
      <w:bCs w:val="0"/>
      <w:i w:val="0"/>
      <w:iCs w:val="0"/>
      <w:sz w:val="28"/>
    </w:rPr>
  </w:style>
  <w:style w:type="paragraph" w:customStyle="1" w:styleId="190">
    <w:name w:val="样式2"/>
    <w:basedOn w:val="4"/>
    <w:qFormat/>
    <w:uiPriority w:val="0"/>
    <w:pPr>
      <w:widowControl w:val="0"/>
      <w:tabs>
        <w:tab w:val="clear" w:pos="3229"/>
      </w:tabs>
      <w:spacing w:before="260" w:after="260" w:line="415" w:lineRule="auto"/>
      <w:ind w:firstLine="137" w:firstLineChars="49"/>
      <w:jc w:val="both"/>
    </w:pPr>
    <w:rPr>
      <w:rFonts w:ascii="黑体" w:eastAsia="黑体"/>
      <w:b w:val="0"/>
      <w:bCs/>
      <w:i/>
      <w:kern w:val="2"/>
      <w:sz w:val="28"/>
      <w:szCs w:val="28"/>
    </w:rPr>
  </w:style>
  <w:style w:type="paragraph" w:customStyle="1" w:styleId="191">
    <w:name w:val="修订1"/>
    <w:qFormat/>
    <w:uiPriority w:val="0"/>
    <w:rPr>
      <w:rFonts w:ascii="Times New Roman" w:hAnsi="Times New Roman" w:eastAsia="宋体" w:cs="Times New Roman"/>
      <w:kern w:val="2"/>
      <w:sz w:val="21"/>
      <w:szCs w:val="24"/>
      <w:lang w:val="en-US" w:eastAsia="zh-CN" w:bidi="ar-SA"/>
    </w:rPr>
  </w:style>
  <w:style w:type="paragraph" w:customStyle="1" w:styleId="192">
    <w:name w:val="样式1"/>
    <w:basedOn w:val="1"/>
    <w:next w:val="5"/>
    <w:qFormat/>
    <w:uiPriority w:val="0"/>
    <w:pPr>
      <w:spacing w:line="360" w:lineRule="auto"/>
      <w:ind w:firstLine="420" w:firstLineChars="200"/>
    </w:pPr>
    <w:rPr>
      <w:rFonts w:ascii="宋体" w:hAnsi="宋体"/>
      <w:szCs w:val="21"/>
    </w:rPr>
  </w:style>
  <w:style w:type="paragraph" w:customStyle="1" w:styleId="193">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Cs w:val="0"/>
      <w:sz w:val="32"/>
      <w:szCs w:val="20"/>
    </w:rPr>
  </w:style>
  <w:style w:type="paragraph" w:customStyle="1" w:styleId="194">
    <w:name w:val="样式 标题 3 + (中文) 黑体 小四 非加粗 段前: 7.8 磅 段后: 0 磅 行距: 固定值 20 磅"/>
    <w:basedOn w:val="4"/>
    <w:qFormat/>
    <w:uiPriority w:val="0"/>
    <w:pPr>
      <w:widowControl w:val="0"/>
      <w:tabs>
        <w:tab w:val="clear" w:pos="3229"/>
      </w:tabs>
      <w:spacing w:before="0" w:after="0" w:line="400" w:lineRule="exact"/>
      <w:ind w:firstLine="137" w:firstLineChars="49"/>
      <w:jc w:val="both"/>
    </w:pPr>
    <w:rPr>
      <w:rFonts w:ascii="黑体" w:eastAsia="黑体" w:cs="宋体"/>
      <w:b w:val="0"/>
      <w:kern w:val="2"/>
      <w:sz w:val="24"/>
    </w:rPr>
  </w:style>
  <w:style w:type="paragraph" w:customStyle="1" w:styleId="195">
    <w:name w:val="修订2"/>
    <w:qFormat/>
    <w:uiPriority w:val="0"/>
    <w:rPr>
      <w:rFonts w:ascii="Times New Roman" w:hAnsi="Times New Roman" w:eastAsia="宋体" w:cs="Times New Roman"/>
      <w:kern w:val="2"/>
      <w:sz w:val="21"/>
      <w:szCs w:val="24"/>
      <w:lang w:val="en-US" w:eastAsia="zh-CN" w:bidi="ar-SA"/>
    </w:rPr>
  </w:style>
  <w:style w:type="character" w:customStyle="1" w:styleId="196">
    <w:name w:val="f121"/>
    <w:qFormat/>
    <w:uiPriority w:val="0"/>
    <w:rPr>
      <w:sz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14.xml"/><Relationship Id="rId28" Type="http://schemas.openxmlformats.org/officeDocument/2006/relationships/header" Target="header12.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9.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Info spid="_x0000_s4099" textRotate="1"/>
    <customShpInfo spid="_x0000_s4102" textRotate="1"/>
    <customShpInfo spid="_x0000_s4103" textRotate="1"/>
    <customShpInfo spid="_x0000_s4104"/>
    <customShpInfo spid="_x0000_s410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154</Pages>
  <Words>1996</Words>
  <Characters>2024</Characters>
  <Lines>728</Lines>
  <Paragraphs>205</Paragraphs>
  <TotalTime>2</TotalTime>
  <ScaleCrop>false</ScaleCrop>
  <LinksUpToDate>false</LinksUpToDate>
  <CharactersWithSpaces>2059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2008-05-21T22:54:00Z</dcterms:created>
  <dc:creator>袁静</dc:creator>
  <cp:lastModifiedBy>user</cp:lastModifiedBy>
  <cp:lastPrinted>2025-09-16T09:21:00Z</cp:lastPrinted>
  <dcterms:modified xsi:type="dcterms:W3CDTF">2025-09-26T10:39:37Z</dcterms:modified>
  <dc:title>公路工程标准施工招标文件</dc:title>
  <cp:revision>2882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24222DF505994770BC81ED1516244C36_12</vt:lpwstr>
  </property>
  <property fmtid="{D5CDD505-2E9C-101B-9397-08002B2CF9AE}" pid="4" name="KSOTemplateDocerSaveRecord">
    <vt:lpwstr>eyJoZGlkIjoiYmNkOGExYmZlNzhjZTIxZmIzNDQwZGI4MTdlZGJjZmYiLCJ1c2VySWQiOiIzNDI1MDgzOTUifQ==</vt:lpwstr>
  </property>
</Properties>
</file>