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topLinePunct/>
        <w:spacing w:line="400" w:lineRule="atLeast"/>
        <w:jc w:val="center"/>
        <w:rPr>
          <w:rStyle w:val="46"/>
          <w:rFonts w:hint="eastAsia" w:ascii="黑体" w:hAnsi="Times New Roman" w:eastAsia="黑体" w:cs="Times New Roman"/>
          <w:b w:val="0"/>
          <w:bCs w:val="0"/>
          <w:color w:val="auto"/>
          <w:spacing w:val="40"/>
          <w:sz w:val="40"/>
          <w:szCs w:val="40"/>
          <w:highlight w:val="none"/>
        </w:rPr>
      </w:pPr>
    </w:p>
    <w:p>
      <w:pPr>
        <w:topLinePunct/>
        <w:spacing w:line="400" w:lineRule="atLeast"/>
        <w:jc w:val="center"/>
        <w:rPr>
          <w:rStyle w:val="46"/>
          <w:rFonts w:hint="eastAsia" w:ascii="黑体" w:hAnsi="Times New Roman" w:eastAsia="黑体" w:cs="Times New Roman"/>
          <w:b w:val="0"/>
          <w:bCs w:val="0"/>
          <w:color w:val="auto"/>
          <w:spacing w:val="40"/>
          <w:sz w:val="40"/>
          <w:szCs w:val="40"/>
          <w:highlight w:val="none"/>
        </w:rPr>
      </w:pPr>
    </w:p>
    <w:p>
      <w:pPr>
        <w:topLinePunct/>
        <w:spacing w:line="400" w:lineRule="atLeast"/>
        <w:jc w:val="center"/>
        <w:rPr>
          <w:rStyle w:val="46"/>
          <w:rFonts w:hint="eastAsia" w:ascii="黑体" w:hAnsi="Times New Roman" w:eastAsia="黑体" w:cs="Times New Roman"/>
          <w:b w:val="0"/>
          <w:bCs w:val="0"/>
          <w:color w:val="auto"/>
          <w:spacing w:val="40"/>
          <w:sz w:val="40"/>
          <w:szCs w:val="40"/>
          <w:highlight w:val="none"/>
        </w:rPr>
      </w:pPr>
    </w:p>
    <w:p>
      <w:pPr>
        <w:topLinePunct/>
        <w:spacing w:line="400" w:lineRule="atLeast"/>
        <w:ind w:firstLine="0" w:firstLineChars="0"/>
        <w:jc w:val="center"/>
        <w:rPr>
          <w:rStyle w:val="46"/>
          <w:rFonts w:hint="eastAsia" w:ascii="黑体" w:hAnsi="Times New Roman" w:eastAsia="黑体" w:cs="Times New Roman"/>
          <w:b w:val="0"/>
          <w:bCs w:val="0"/>
          <w:color w:val="auto"/>
          <w:spacing w:val="40"/>
          <w:sz w:val="40"/>
          <w:szCs w:val="40"/>
          <w:highlight w:val="none"/>
        </w:rPr>
      </w:pPr>
      <w:r>
        <w:rPr>
          <w:rStyle w:val="46"/>
          <w:rFonts w:hint="eastAsia" w:ascii="黑体" w:hAnsi="Times New Roman" w:eastAsia="黑体" w:cs="Times New Roman"/>
          <w:b w:val="0"/>
          <w:bCs w:val="0"/>
          <w:color w:val="auto"/>
          <w:spacing w:val="40"/>
          <w:sz w:val="40"/>
          <w:szCs w:val="40"/>
          <w:highlight w:val="none"/>
        </w:rPr>
        <w:t>辽宁省交通运输厅</w:t>
      </w:r>
    </w:p>
    <w:p>
      <w:pPr>
        <w:topLinePunct/>
        <w:spacing w:line="400" w:lineRule="atLeast"/>
        <w:jc w:val="center"/>
        <w:rPr>
          <w:rStyle w:val="46"/>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46"/>
          <w:rFonts w:ascii="Times New Roman" w:hAnsi="Times New Roman" w:eastAsia="宋体" w:cs="Times New Roman"/>
          <w:b w:val="0"/>
          <w:bCs w:val="0"/>
          <w:color w:val="auto"/>
          <w:spacing w:val="40"/>
          <w:sz w:val="40"/>
          <w:szCs w:val="40"/>
          <w:highlight w:val="none"/>
        </w:rPr>
      </w:pPr>
    </w:p>
    <w:p>
      <w:pPr>
        <w:topLinePunct/>
        <w:spacing w:line="400" w:lineRule="atLeast"/>
        <w:jc w:val="center"/>
        <w:rPr>
          <w:rStyle w:val="46"/>
          <w:rFonts w:ascii="Times New Roman" w:hAnsi="Times New Roman" w:eastAsia="宋体" w:cs="Times New Roman"/>
          <w:b w:val="0"/>
          <w:bCs w:val="0"/>
          <w:color w:val="auto"/>
          <w:spacing w:val="40"/>
          <w:sz w:val="40"/>
          <w:szCs w:val="40"/>
          <w:highlight w:val="none"/>
        </w:rPr>
      </w:pPr>
    </w:p>
    <w:p>
      <w:pPr>
        <w:topLinePunct/>
        <w:spacing w:line="1200" w:lineRule="atLeast"/>
        <w:ind w:firstLine="0" w:firstLineChars="0"/>
        <w:jc w:val="center"/>
        <w:rPr>
          <w:rStyle w:val="46"/>
          <w:rFonts w:hint="eastAsia" w:ascii="Times New Roman" w:hAnsi="Times New Roman" w:eastAsia="黑体" w:cs="Times New Roman"/>
          <w:b w:val="0"/>
          <w:bCs w:val="0"/>
          <w:color w:val="auto"/>
          <w:spacing w:val="38"/>
          <w:kern w:val="10"/>
          <w:sz w:val="50"/>
          <w:szCs w:val="50"/>
          <w:highlight w:val="none"/>
          <w:lang w:val="en-US" w:eastAsia="zh-CN"/>
        </w:rPr>
      </w:pPr>
      <w:r>
        <w:rPr>
          <w:rStyle w:val="46"/>
          <w:rFonts w:hint="eastAsia" w:ascii="Times New Roman" w:hAnsi="Times New Roman" w:eastAsia="黑体" w:cs="Times New Roman"/>
          <w:b w:val="0"/>
          <w:bCs w:val="0"/>
          <w:color w:val="auto"/>
          <w:spacing w:val="38"/>
          <w:kern w:val="10"/>
          <w:sz w:val="50"/>
          <w:szCs w:val="50"/>
          <w:highlight w:val="none"/>
          <w:lang w:val="en-US" w:eastAsia="zh-CN"/>
        </w:rPr>
        <w:t>辽宁省公路工程标准设备材料采购</w:t>
      </w:r>
    </w:p>
    <w:p>
      <w:pPr>
        <w:topLinePunct/>
        <w:spacing w:line="1200" w:lineRule="atLeast"/>
        <w:ind w:firstLine="0" w:firstLineChars="0"/>
        <w:jc w:val="center"/>
        <w:rPr>
          <w:rStyle w:val="46"/>
          <w:rFonts w:ascii="Times New Roman" w:hAnsi="Times New Roman" w:eastAsia="黑体" w:cs="Times New Roman"/>
          <w:b/>
          <w:bCs/>
          <w:color w:val="auto"/>
          <w:spacing w:val="38"/>
          <w:kern w:val="10"/>
          <w:sz w:val="72"/>
          <w:szCs w:val="72"/>
          <w:highlight w:val="none"/>
        </w:rPr>
      </w:pPr>
      <w:r>
        <w:rPr>
          <w:rStyle w:val="46"/>
          <w:rFonts w:hint="eastAsia" w:ascii="Times New Roman" w:hAnsi="Times New Roman" w:eastAsia="黑体" w:cs="Times New Roman"/>
          <w:b/>
          <w:bCs/>
          <w:color w:val="auto"/>
          <w:spacing w:val="38"/>
          <w:kern w:val="10"/>
          <w:sz w:val="72"/>
          <w:szCs w:val="72"/>
          <w:highlight w:val="none"/>
          <w:lang w:val="en-US" w:eastAsia="zh-CN"/>
        </w:rPr>
        <w:t>电子招标文件</w:t>
      </w:r>
    </w:p>
    <w:p>
      <w:pPr>
        <w:topLinePunct/>
        <w:spacing w:line="1200" w:lineRule="atLeast"/>
        <w:ind w:firstLine="0" w:firstLineChars="0"/>
        <w:jc w:val="center"/>
        <w:rPr>
          <w:rStyle w:val="46"/>
          <w:rFonts w:hint="eastAsia" w:ascii="方正姚体" w:hAnsi="Times New Roman" w:eastAsia="方正姚体" w:cs="Times New Roman"/>
          <w:b w:val="0"/>
          <w:bCs w:val="0"/>
          <w:color w:val="auto"/>
          <w:spacing w:val="-24"/>
          <w:kern w:val="10"/>
          <w:sz w:val="52"/>
          <w:szCs w:val="52"/>
          <w:highlight w:val="none"/>
        </w:rPr>
      </w:pPr>
      <w:r>
        <w:rPr>
          <w:rStyle w:val="46"/>
          <w:rFonts w:hint="eastAsia" w:ascii="方正姚体" w:hAnsi="Times New Roman" w:eastAsia="方正姚体" w:cs="Times New Roman"/>
          <w:b w:val="0"/>
          <w:bCs w:val="0"/>
          <w:color w:val="auto"/>
          <w:spacing w:val="-24"/>
          <w:kern w:val="10"/>
          <w:sz w:val="52"/>
          <w:szCs w:val="52"/>
          <w:highlight w:val="none"/>
        </w:rPr>
        <w:t>（20</w:t>
      </w:r>
      <w:r>
        <w:rPr>
          <w:rStyle w:val="46"/>
          <w:rFonts w:hint="eastAsia" w:ascii="方正姚体" w:hAnsi="Times New Roman" w:eastAsia="方正姚体" w:cs="Times New Roman"/>
          <w:b w:val="0"/>
          <w:bCs w:val="0"/>
          <w:color w:val="auto"/>
          <w:spacing w:val="-24"/>
          <w:kern w:val="10"/>
          <w:sz w:val="52"/>
          <w:szCs w:val="52"/>
          <w:highlight w:val="none"/>
          <w:lang w:val="en-US" w:eastAsia="zh-CN"/>
        </w:rPr>
        <w:t>25</w:t>
      </w:r>
      <w:bookmarkStart w:id="685" w:name="_GoBack"/>
      <w:bookmarkEnd w:id="685"/>
      <w:r>
        <w:rPr>
          <w:rStyle w:val="46"/>
          <w:rFonts w:hint="eastAsia" w:ascii="方正姚体" w:hAnsi="Times New Roman" w:eastAsia="方正姚体" w:cs="Times New Roman"/>
          <w:b w:val="0"/>
          <w:bCs w:val="0"/>
          <w:color w:val="auto"/>
          <w:spacing w:val="-24"/>
          <w:kern w:val="10"/>
          <w:sz w:val="52"/>
          <w:szCs w:val="52"/>
          <w:highlight w:val="none"/>
        </w:rPr>
        <w:t>年版）</w:t>
      </w:r>
    </w:p>
    <w:p>
      <w:pPr>
        <w:topLinePunct/>
        <w:spacing w:line="400" w:lineRule="atLeast"/>
        <w:jc w:val="center"/>
        <w:rPr>
          <w:rStyle w:val="46"/>
          <w:rFonts w:ascii="Times New Roman" w:hAnsi="Times New Roman" w:eastAsia="宋体" w:cs="Times New Roman"/>
          <w:b w:val="0"/>
          <w:bCs w:val="0"/>
          <w:color w:val="auto"/>
          <w:spacing w:val="20"/>
          <w:kern w:val="0"/>
          <w:highlight w:val="none"/>
        </w:rPr>
      </w:pPr>
    </w:p>
    <w:p>
      <w:pPr>
        <w:topLinePunct/>
        <w:spacing w:line="400" w:lineRule="atLeast"/>
        <w:jc w:val="center"/>
        <w:rPr>
          <w:rStyle w:val="46"/>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46"/>
          <w:rFonts w:hint="eastAsia" w:ascii="Times New Roman" w:hAnsi="Times New Roman" w:eastAsia="黑体" w:cs="Times New Roman"/>
          <w:b w:val="0"/>
          <w:bCs w:val="0"/>
          <w:color w:val="auto"/>
          <w:spacing w:val="-24"/>
          <w:kern w:val="10"/>
          <w:sz w:val="48"/>
          <w:szCs w:val="48"/>
          <w:highlight w:val="none"/>
        </w:rPr>
      </w:pPr>
    </w:p>
    <w:p>
      <w:pPr>
        <w:topLinePunct/>
        <w:spacing w:line="400" w:lineRule="atLeast"/>
        <w:jc w:val="center"/>
        <w:rPr>
          <w:rStyle w:val="46"/>
          <w:rFonts w:ascii="Times New Roman" w:hAnsi="Times New Roman" w:eastAsia="黑体" w:cs="Times New Roman"/>
          <w:b w:val="0"/>
          <w:bCs w:val="0"/>
          <w:color w:val="auto"/>
          <w:spacing w:val="-24"/>
          <w:kern w:val="10"/>
          <w:sz w:val="48"/>
          <w:szCs w:val="48"/>
          <w:highlight w:val="none"/>
        </w:rPr>
      </w:pPr>
    </w:p>
    <w:p>
      <w:pPr>
        <w:topLinePunct/>
        <w:spacing w:before="120" w:beforeLines="50" w:line="400" w:lineRule="atLeast"/>
        <w:ind w:firstLine="0" w:firstLineChars="0"/>
        <w:jc w:val="center"/>
        <w:rPr>
          <w:rStyle w:val="46"/>
          <w:rFonts w:hint="eastAsia" w:ascii="Times New Roman" w:hAnsi="Times New Roman" w:eastAsia="黑体" w:cs="Times New Roman"/>
          <w:b w:val="0"/>
          <w:bCs/>
          <w:color w:val="auto"/>
          <w:spacing w:val="0"/>
          <w:kern w:val="10"/>
          <w:sz w:val="36"/>
          <w:szCs w:val="36"/>
          <w:highlight w:val="none"/>
        </w:rPr>
      </w:pPr>
      <w:r>
        <w:rPr>
          <w:rStyle w:val="46"/>
          <w:rFonts w:hint="eastAsia" w:ascii="Times New Roman" w:hAnsi="Times New Roman" w:eastAsia="黑体" w:cs="Times New Roman"/>
          <w:b w:val="0"/>
          <w:bCs/>
          <w:color w:val="auto"/>
          <w:spacing w:val="0"/>
          <w:kern w:val="10"/>
          <w:sz w:val="36"/>
          <w:szCs w:val="36"/>
          <w:highlight w:val="none"/>
        </w:rPr>
        <w:t>辽宁省交通运输厅公告</w:t>
      </w:r>
    </w:p>
    <w:p>
      <w:pPr>
        <w:topLinePunct/>
        <w:spacing w:before="120" w:beforeLines="50" w:line="400" w:lineRule="atLeast"/>
        <w:ind w:firstLine="0" w:firstLineChars="0"/>
        <w:jc w:val="center"/>
        <w:rPr>
          <w:rStyle w:val="46"/>
          <w:rFonts w:ascii="Times New Roman" w:hAnsi="Times New Roman" w:eastAsia="黑体" w:cs="Times New Roman"/>
          <w:b w:val="0"/>
          <w:bCs/>
          <w:color w:val="auto"/>
          <w:spacing w:val="0"/>
          <w:kern w:val="10"/>
          <w:sz w:val="36"/>
          <w:szCs w:val="36"/>
          <w:highlight w:val="none"/>
        </w:rPr>
      </w:pPr>
      <w:r>
        <w:rPr>
          <w:rStyle w:val="46"/>
          <w:rFonts w:hint="eastAsia" w:ascii="Times New Roman" w:hAnsi="Times New Roman" w:eastAsia="黑体" w:cs="Times New Roman"/>
          <w:b w:val="0"/>
          <w:bCs/>
          <w:color w:val="auto"/>
          <w:spacing w:val="0"/>
          <w:kern w:val="10"/>
          <w:sz w:val="36"/>
          <w:szCs w:val="36"/>
          <w:highlight w:val="none"/>
        </w:rPr>
        <w:t>自2025年10月1日起施行</w:t>
      </w:r>
    </w:p>
    <w:p>
      <w:pPr>
        <w:pageBreakBefore w:val="0"/>
        <w:kinsoku/>
        <w:wordWrap w:val="0"/>
        <w:topLinePunct/>
        <w:bidi w:val="0"/>
        <w:spacing w:line="400" w:lineRule="atLeast"/>
        <w:jc w:val="center"/>
        <w:rPr>
          <w:rStyle w:val="46"/>
          <w:rFonts w:hint="default" w:ascii="Times New Roman" w:hAnsi="Times New Roman" w:eastAsia="黑体" w:cs="Times New Roman"/>
          <w:color w:val="auto"/>
          <w:spacing w:val="40"/>
          <w:sz w:val="40"/>
          <w:szCs w:val="36"/>
          <w:highlight w:val="none"/>
          <w:lang w:val="en-US" w:eastAsia="zh-CN"/>
        </w:rPr>
      </w:pPr>
    </w:p>
    <w:p>
      <w:pPr>
        <w:pageBreakBefore w:val="0"/>
        <w:kinsoku/>
        <w:wordWrap w:val="0"/>
        <w:bidi w:val="0"/>
        <w:spacing w:line="400" w:lineRule="exact"/>
        <w:jc w:val="center"/>
        <w:rPr>
          <w:rFonts w:hint="default" w:ascii="Times New Roman" w:hAnsi="Times New Roman" w:cs="Times New Roman"/>
          <w:color w:val="auto"/>
          <w:highlight w:val="none"/>
        </w:rPr>
      </w:pPr>
    </w:p>
    <w:p>
      <w:pPr>
        <w:pageBreakBefore w:val="0"/>
        <w:kinsoku/>
        <w:wordWrap w:val="0"/>
        <w:bidi w:val="0"/>
        <w:spacing w:line="400" w:lineRule="exact"/>
        <w:jc w:val="center"/>
        <w:rPr>
          <w:rFonts w:hint="default" w:ascii="Times New Roman" w:hAnsi="Times New Roman" w:cs="Times New Roman"/>
          <w:color w:val="auto"/>
          <w:highlight w:val="none"/>
        </w:rPr>
      </w:pPr>
    </w:p>
    <w:p>
      <w:pPr>
        <w:pageBreakBefore w:val="0"/>
        <w:kinsoku/>
        <w:wordWrap w:val="0"/>
        <w:bidi w:val="0"/>
        <w:spacing w:line="400" w:lineRule="exact"/>
        <w:jc w:val="center"/>
        <w:rPr>
          <w:rFonts w:hint="default" w:ascii="Times New Roman" w:hAnsi="Times New Roman" w:cs="Times New Roman"/>
          <w:color w:val="auto"/>
          <w:highlight w:val="none"/>
        </w:rPr>
        <w:sectPr>
          <w:footnotePr>
            <w:numFmt w:val="decimalEnclosedCircleChinese"/>
            <w:numRestart w:val="eachPage"/>
          </w:footnotePr>
          <w:pgSz w:w="11906" w:h="16838"/>
          <w:pgMar w:top="1587" w:right="1587" w:bottom="1474" w:left="1644" w:header="720" w:footer="720" w:gutter="0"/>
          <w:pgNumType w:start="1"/>
          <w:cols w:space="720" w:num="1"/>
          <w:docGrid w:linePitch="285" w:charSpace="0"/>
        </w:sectPr>
      </w:pPr>
      <w:r>
        <w:rPr>
          <w:rFonts w:hint="default" w:ascii="Times New Roman" w:hAnsi="Times New Roman" w:cs="Times New Roman"/>
          <w:color w:val="auto"/>
          <w:highlight w:val="none"/>
        </w:rPr>
        <w:br w:type="page"/>
      </w:r>
    </w:p>
    <w:p>
      <w:pPr>
        <w:pageBreakBefore w:val="0"/>
        <w:kinsoku/>
        <w:wordWrap w:val="0"/>
        <w:bidi w:val="0"/>
        <w:spacing w:line="600" w:lineRule="atLeast"/>
        <w:ind w:firstLine="0" w:firstLineChars="0"/>
        <w:jc w:val="center"/>
        <w:rPr>
          <w:rFonts w:hint="default" w:ascii="Times New Roman" w:hAnsi="Times New Roman" w:eastAsia="黑体" w:cs="Times New Roman"/>
          <w:color w:val="auto"/>
          <w:spacing w:val="20"/>
          <w:sz w:val="28"/>
          <w:szCs w:val="28"/>
          <w:highlight w:val="none"/>
        </w:rPr>
      </w:pPr>
      <w:r>
        <w:rPr>
          <w:rFonts w:hint="default" w:ascii="Times New Roman" w:hAnsi="Times New Roman" w:eastAsia="黑体" w:cs="Times New Roman"/>
          <w:color w:val="auto"/>
          <w:spacing w:val="20"/>
          <w:sz w:val="28"/>
          <w:szCs w:val="28"/>
          <w:highlight w:val="none"/>
        </w:rPr>
        <w:t>《</w:t>
      </w:r>
      <w:r>
        <w:rPr>
          <w:rFonts w:hint="eastAsia" w:ascii="Times New Roman" w:hAnsi="Times New Roman" w:eastAsia="黑体" w:cs="Times New Roman"/>
          <w:color w:val="auto"/>
          <w:spacing w:val="20"/>
          <w:sz w:val="28"/>
          <w:szCs w:val="28"/>
          <w:highlight w:val="none"/>
          <w:lang w:eastAsia="zh-CN"/>
        </w:rPr>
        <w:t>辽宁省公路工程标准设备材料采购电子招标文件</w:t>
      </w:r>
      <w:r>
        <w:rPr>
          <w:rFonts w:hint="default" w:ascii="Times New Roman" w:hAnsi="Times New Roman" w:eastAsia="黑体" w:cs="Times New Roman"/>
          <w:color w:val="auto"/>
          <w:spacing w:val="20"/>
          <w:sz w:val="28"/>
          <w:szCs w:val="28"/>
          <w:highlight w:val="none"/>
        </w:rPr>
        <w:t>》</w:t>
      </w:r>
    </w:p>
    <w:p>
      <w:pPr>
        <w:pageBreakBefore w:val="0"/>
        <w:kinsoku/>
        <w:wordWrap w:val="0"/>
        <w:bidi w:val="0"/>
        <w:spacing w:line="600" w:lineRule="atLeast"/>
        <w:jc w:val="center"/>
        <w:rPr>
          <w:rFonts w:hint="default" w:ascii="Times New Roman" w:hAnsi="Times New Roman" w:eastAsia="黑体" w:cs="Times New Roman"/>
          <w:color w:val="auto"/>
          <w:spacing w:val="20"/>
          <w:sz w:val="28"/>
          <w:szCs w:val="28"/>
          <w:highlight w:val="none"/>
        </w:rPr>
      </w:pPr>
      <w:r>
        <w:rPr>
          <w:rFonts w:hint="default" w:ascii="Times New Roman" w:hAnsi="Times New Roman" w:eastAsia="黑体" w:cs="Times New Roman"/>
          <w:color w:val="auto"/>
          <w:spacing w:val="20"/>
          <w:sz w:val="28"/>
          <w:szCs w:val="28"/>
          <w:highlight w:val="none"/>
        </w:rPr>
        <w:t>（</w:t>
      </w:r>
      <w:r>
        <w:rPr>
          <w:rFonts w:hint="default" w:ascii="Times New Roman" w:hAnsi="Times New Roman" w:eastAsia="黑体" w:cs="Times New Roman"/>
          <w:color w:val="auto"/>
          <w:spacing w:val="20"/>
          <w:sz w:val="28"/>
          <w:szCs w:val="28"/>
          <w:highlight w:val="none"/>
          <w:lang w:eastAsia="zh-CN"/>
        </w:rPr>
        <w:t>2025年版</w:t>
      </w:r>
      <w:r>
        <w:rPr>
          <w:rFonts w:hint="default" w:ascii="Times New Roman" w:hAnsi="Times New Roman" w:eastAsia="黑体" w:cs="Times New Roman"/>
          <w:color w:val="auto"/>
          <w:spacing w:val="20"/>
          <w:sz w:val="28"/>
          <w:szCs w:val="28"/>
          <w:highlight w:val="none"/>
        </w:rPr>
        <w:t>）</w:t>
      </w:r>
    </w:p>
    <w:p>
      <w:pPr>
        <w:pageBreakBefore w:val="0"/>
        <w:kinsoku/>
        <w:wordWrap w:val="0"/>
        <w:overflowPunct/>
        <w:bidi w:val="0"/>
        <w:spacing w:line="600" w:lineRule="atLeast"/>
        <w:ind w:firstLine="0" w:firstLineChars="0"/>
        <w:jc w:val="center"/>
        <w:rPr>
          <w:rFonts w:hint="default" w:ascii="Times New Roman" w:hAnsi="Times New Roman" w:eastAsia="黑体" w:cs="Times New Roman"/>
          <w:color w:val="auto"/>
          <w:spacing w:val="20"/>
          <w:sz w:val="32"/>
          <w:szCs w:val="32"/>
          <w:highlight w:val="none"/>
        </w:rPr>
      </w:pPr>
    </w:p>
    <w:tbl>
      <w:tblPr>
        <w:tblStyle w:val="30"/>
        <w:tblW w:w="0" w:type="auto"/>
        <w:jc w:val="center"/>
        <w:tblLayout w:type="fixed"/>
        <w:tblCellMar>
          <w:top w:w="0" w:type="dxa"/>
          <w:left w:w="108" w:type="dxa"/>
          <w:bottom w:w="0" w:type="dxa"/>
          <w:right w:w="108" w:type="dxa"/>
        </w:tblCellMar>
      </w:tblPr>
      <w:tblGrid>
        <w:gridCol w:w="1662"/>
        <w:gridCol w:w="7266"/>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lang w:val="en-US" w:eastAsia="zh-CN"/>
              </w:rPr>
              <w:t>编制单位</w:t>
            </w:r>
            <w:r>
              <w:rPr>
                <w:rFonts w:hint="default" w:ascii="Times New Roman" w:hAnsi="Times New Roman" w:eastAsia="黑体" w:cs="Times New Roman"/>
                <w:color w:val="auto"/>
                <w:sz w:val="28"/>
                <w:szCs w:val="28"/>
                <w:highlight w:val="none"/>
              </w:rPr>
              <w:t>：</w:t>
            </w: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left"/>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辽宁省交通运输厅</w:t>
            </w: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distribute"/>
              <w:textAlignment w:val="baseline"/>
              <w:rPr>
                <w:rFonts w:hint="default" w:ascii="Times New Roman" w:hAnsi="Times New Roman" w:eastAsia="黑体" w:cs="Times New Roman"/>
                <w:color w:val="auto"/>
                <w:sz w:val="28"/>
                <w:szCs w:val="28"/>
                <w:highlight w:val="none"/>
                <w:lang w:val="en-US" w:eastAsia="zh-CN"/>
              </w:rPr>
            </w:pPr>
          </w:p>
        </w:tc>
        <w:tc>
          <w:tcPr>
            <w:tcW w:w="7266"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left"/>
              <w:textAlignment w:val="baseline"/>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华杰工程咨询有限公司</w:t>
            </w:r>
          </w:p>
        </w:tc>
      </w:tr>
    </w:tbl>
    <w:p>
      <w:pPr>
        <w:pageBreakBefore w:val="0"/>
        <w:kinsoku/>
        <w:wordWrap w:val="0"/>
        <w:overflowPunct/>
        <w:bidi w:val="0"/>
        <w:spacing w:line="600" w:lineRule="atLeast"/>
        <w:ind w:firstLine="0" w:firstLineChars="0"/>
        <w:jc w:val="center"/>
        <w:rPr>
          <w:rFonts w:hint="default" w:ascii="Times New Roman" w:hAnsi="Times New Roman" w:eastAsia="黑体" w:cs="Times New Roman"/>
          <w:color w:val="auto"/>
          <w:spacing w:val="20"/>
          <w:sz w:val="32"/>
          <w:szCs w:val="32"/>
          <w:highlight w:val="none"/>
        </w:rPr>
      </w:pPr>
    </w:p>
    <w:p>
      <w:pPr>
        <w:keepNext w:val="0"/>
        <w:keepLines w:val="0"/>
        <w:pageBreakBefore w:val="0"/>
        <w:widowControl w:val="0"/>
        <w:kinsoku/>
        <w:wordWrap w:val="0"/>
        <w:overflowPunct/>
        <w:topLinePunct w:val="0"/>
        <w:autoSpaceDE/>
        <w:autoSpaceDN/>
        <w:bidi w:val="0"/>
        <w:adjustRightInd/>
        <w:snapToGrid/>
        <w:spacing w:line="600" w:lineRule="atLeast"/>
        <w:ind w:firstLine="0" w:firstLineChars="0"/>
        <w:jc w:val="center"/>
        <w:textAlignment w:val="auto"/>
        <w:outlineLvl w:val="9"/>
        <w:rPr>
          <w:rFonts w:hint="default" w:ascii="Times New Roman" w:hAnsi="Times New Roman" w:eastAsia="黑体" w:cs="Times New Roman"/>
          <w:color w:val="auto"/>
          <w:spacing w:val="20"/>
          <w:sz w:val="32"/>
          <w:szCs w:val="32"/>
          <w:highlight w:val="none"/>
        </w:rPr>
      </w:pPr>
      <w:bookmarkStart w:id="0" w:name="_Toc3513"/>
      <w:r>
        <w:rPr>
          <w:rFonts w:hint="default" w:ascii="Times New Roman" w:hAnsi="Times New Roman" w:eastAsia="黑体" w:cs="Times New Roman"/>
          <w:color w:val="auto"/>
          <w:spacing w:val="20"/>
          <w:sz w:val="32"/>
          <w:szCs w:val="32"/>
          <w:highlight w:val="none"/>
        </w:rPr>
        <w:t>审定委员会</w:t>
      </w:r>
      <w:bookmarkEnd w:id="0"/>
    </w:p>
    <w:p>
      <w:pPr>
        <w:pageBreakBefore w:val="0"/>
        <w:kinsoku/>
        <w:wordWrap w:val="0"/>
        <w:overflowPunct/>
        <w:bidi w:val="0"/>
        <w:spacing w:line="240" w:lineRule="atLeast"/>
        <w:ind w:firstLine="0" w:firstLineChars="0"/>
        <w:jc w:val="center"/>
        <w:rPr>
          <w:rFonts w:hint="default" w:ascii="Times New Roman" w:hAnsi="Times New Roman" w:eastAsia="黑体" w:cs="Times New Roman"/>
          <w:color w:val="auto"/>
          <w:sz w:val="24"/>
          <w:szCs w:val="24"/>
          <w:highlight w:val="none"/>
        </w:rPr>
      </w:pPr>
    </w:p>
    <w:p>
      <w:pPr>
        <w:pageBreakBefore w:val="0"/>
        <w:kinsoku/>
        <w:wordWrap w:val="0"/>
        <w:overflowPunct/>
        <w:bidi w:val="0"/>
        <w:spacing w:line="240" w:lineRule="atLeast"/>
        <w:ind w:firstLine="0" w:firstLineChars="0"/>
        <w:jc w:val="center"/>
        <w:rPr>
          <w:rFonts w:hint="default" w:ascii="Times New Roman" w:hAnsi="Times New Roman" w:eastAsia="黑体" w:cs="Times New Roman"/>
          <w:color w:val="auto"/>
          <w:sz w:val="24"/>
          <w:szCs w:val="24"/>
          <w:highlight w:val="none"/>
        </w:rPr>
      </w:pPr>
    </w:p>
    <w:tbl>
      <w:tblPr>
        <w:tblStyle w:val="30"/>
        <w:tblW w:w="0" w:type="auto"/>
        <w:jc w:val="center"/>
        <w:tblLayout w:type="fixed"/>
        <w:tblCellMar>
          <w:top w:w="0" w:type="dxa"/>
          <w:left w:w="108" w:type="dxa"/>
          <w:bottom w:w="0" w:type="dxa"/>
          <w:right w:w="108" w:type="dxa"/>
        </w:tblCellMar>
      </w:tblPr>
      <w:tblGrid>
        <w:gridCol w:w="1662"/>
        <w:gridCol w:w="1038"/>
        <w:gridCol w:w="1038"/>
        <w:gridCol w:w="1038"/>
        <w:gridCol w:w="1038"/>
        <w:gridCol w:w="1038"/>
        <w:gridCol w:w="1038"/>
        <w:gridCol w:w="1038"/>
      </w:tblGrid>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曲向进</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副主任委员：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祖熙宇</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r>
      <w:tr>
        <w:tblPrEx>
          <w:tblCellMar>
            <w:top w:w="0" w:type="dxa"/>
            <w:left w:w="108" w:type="dxa"/>
            <w:bottom w:w="0" w:type="dxa"/>
            <w:right w:w="108" w:type="dxa"/>
          </w:tblCellMar>
        </w:tblPrEx>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distribute"/>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委     员：</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石</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健</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冯</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革</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瑞</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王贵金</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田</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彦</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吴</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lang w:eastAsia="zh-CN"/>
              </w:rPr>
              <w:t>波</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lang w:val="en-US" w:eastAsia="zh-CN"/>
              </w:rPr>
              <w:t>高会晋</w:t>
            </w:r>
          </w:p>
        </w:tc>
      </w:tr>
      <w:tr>
        <w:trPr>
          <w:jc w:val="center"/>
        </w:trPr>
        <w:tc>
          <w:tcPr>
            <w:tcW w:w="1662"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textAlignment w:val="baseline"/>
              <w:rPr>
                <w:rFonts w:hint="default" w:ascii="Times New Roman" w:hAnsi="Times New Roman" w:eastAsia="楷体_GB2312" w:cs="Times New Roman"/>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程</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rPr>
              <w:t>磊</w:t>
            </w: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c>
          <w:tcPr>
            <w:tcW w:w="1038"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sz w:val="28"/>
                <w:szCs w:val="28"/>
                <w:highlight w:val="none"/>
              </w:rPr>
            </w:pPr>
          </w:p>
        </w:tc>
      </w:tr>
    </w:tbl>
    <w:p>
      <w:pPr>
        <w:pageBreakBefore w:val="0"/>
        <w:kinsoku/>
        <w:wordWrap w:val="0"/>
        <w:overflowPunct/>
        <w:bidi w:val="0"/>
        <w:spacing w:line="600" w:lineRule="atLeast"/>
        <w:ind w:firstLine="0" w:firstLineChars="0"/>
        <w:jc w:val="center"/>
        <w:rPr>
          <w:rFonts w:hint="default" w:ascii="Times New Roman" w:hAnsi="Times New Roman" w:eastAsia="黑体" w:cs="Times New Roman"/>
          <w:color w:val="auto"/>
          <w:spacing w:val="20"/>
          <w:sz w:val="32"/>
          <w:szCs w:val="32"/>
          <w:highlight w:val="none"/>
        </w:rPr>
      </w:pPr>
    </w:p>
    <w:p>
      <w:pPr>
        <w:pageBreakBefore w:val="0"/>
        <w:kinsoku/>
        <w:wordWrap w:val="0"/>
        <w:overflowPunct/>
        <w:bidi w:val="0"/>
        <w:spacing w:line="600" w:lineRule="atLeast"/>
        <w:ind w:firstLine="0" w:firstLineChars="0"/>
        <w:jc w:val="center"/>
        <w:rPr>
          <w:rFonts w:hint="default" w:ascii="Times New Roman" w:hAnsi="Times New Roman" w:eastAsia="黑体" w:cs="Times New Roman"/>
          <w:color w:val="auto"/>
          <w:spacing w:val="20"/>
          <w:sz w:val="32"/>
          <w:szCs w:val="32"/>
          <w:highlight w:val="none"/>
        </w:rPr>
      </w:pPr>
      <w:r>
        <w:rPr>
          <w:rFonts w:hint="default" w:ascii="Times New Roman" w:hAnsi="Times New Roman" w:eastAsia="黑体" w:cs="Times New Roman"/>
          <w:color w:val="auto"/>
          <w:spacing w:val="20"/>
          <w:sz w:val="32"/>
          <w:szCs w:val="32"/>
          <w:highlight w:val="none"/>
        </w:rPr>
        <w:t>编 写 人 员</w:t>
      </w:r>
    </w:p>
    <w:p>
      <w:pPr>
        <w:pageBreakBefore w:val="0"/>
        <w:kinsoku/>
        <w:wordWrap w:val="0"/>
        <w:overflowPunct/>
        <w:bidi w:val="0"/>
        <w:spacing w:line="600" w:lineRule="atLeast"/>
        <w:ind w:firstLine="0" w:firstLineChars="0"/>
        <w:jc w:val="center"/>
        <w:rPr>
          <w:rFonts w:hint="default" w:ascii="Times New Roman" w:hAnsi="Times New Roman" w:eastAsia="黑体" w:cs="Times New Roman"/>
          <w:color w:val="auto"/>
          <w:spacing w:val="20"/>
          <w:sz w:val="32"/>
          <w:szCs w:val="32"/>
          <w:highlight w:val="none"/>
        </w:rPr>
      </w:pPr>
    </w:p>
    <w:tbl>
      <w:tblPr>
        <w:tblStyle w:val="30"/>
        <w:tblW w:w="0" w:type="auto"/>
        <w:jc w:val="center"/>
        <w:tblLayout w:type="fixed"/>
        <w:tblCellMar>
          <w:top w:w="0" w:type="dxa"/>
          <w:left w:w="108" w:type="dxa"/>
          <w:bottom w:w="0" w:type="dxa"/>
          <w:right w:w="108" w:type="dxa"/>
        </w:tblCellMar>
      </w:tblPr>
      <w:tblGrid>
        <w:gridCol w:w="1690"/>
        <w:gridCol w:w="1034"/>
        <w:gridCol w:w="1034"/>
        <w:gridCol w:w="1034"/>
        <w:gridCol w:w="1034"/>
        <w:gridCol w:w="1034"/>
        <w:gridCol w:w="1034"/>
        <w:gridCol w:w="1034"/>
      </w:tblGrid>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ind w:firstLine="0" w:firstLineChars="0"/>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 xml:space="preserve">主 </w:t>
            </w:r>
            <w:r>
              <w:rPr>
                <w:rFonts w:hint="default" w:ascii="Times New Roman" w:hAnsi="Times New Roman" w:eastAsia="黑体" w:cs="Times New Roman"/>
                <w:color w:val="auto"/>
                <w:sz w:val="28"/>
                <w:szCs w:val="28"/>
                <w:highlight w:val="none"/>
                <w:lang w:val="en-US" w:eastAsia="zh-CN"/>
              </w:rPr>
              <w:t xml:space="preserve"> </w:t>
            </w:r>
            <w:r>
              <w:rPr>
                <w:rFonts w:hint="default" w:ascii="Times New Roman" w:hAnsi="Times New Roman" w:eastAsia="黑体" w:cs="Times New Roman"/>
                <w:color w:val="auto"/>
                <w:sz w:val="28"/>
                <w:szCs w:val="28"/>
                <w:highlight w:val="none"/>
              </w:rPr>
              <w:t xml:space="preserve">  编：</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石</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健</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ind w:firstLine="0" w:firstLineChars="0"/>
              <w:textAlignment w:val="baseline"/>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编写人员：</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王泽江</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赵</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乐</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lang w:eastAsia="zh-CN"/>
              </w:rPr>
            </w:pPr>
            <w:r>
              <w:rPr>
                <w:rFonts w:hint="eastAsia" w:ascii="黑体" w:hAnsi="黑体" w:eastAsia="黑体" w:cs="黑体"/>
                <w:color w:val="auto"/>
                <w:kern w:val="0"/>
                <w:sz w:val="28"/>
                <w:szCs w:val="28"/>
                <w:highlight w:val="none"/>
                <w:lang w:eastAsia="zh-CN"/>
              </w:rPr>
              <w:t>张</w:t>
            </w:r>
            <w:r>
              <w:rPr>
                <w:rFonts w:hint="eastAsia" w:ascii="黑体" w:hAnsi="黑体" w:eastAsia="黑体" w:cs="黑体"/>
                <w:color w:val="auto"/>
                <w:kern w:val="0"/>
                <w:sz w:val="28"/>
                <w:szCs w:val="28"/>
                <w:highlight w:val="none"/>
                <w:lang w:val="en-US" w:eastAsia="zh-CN"/>
              </w:rPr>
              <w:t xml:space="preserve">  </w:t>
            </w:r>
            <w:r>
              <w:rPr>
                <w:rFonts w:hint="eastAsia" w:ascii="黑体" w:hAnsi="黑体" w:eastAsia="黑体" w:cs="黑体"/>
                <w:color w:val="auto"/>
                <w:kern w:val="0"/>
                <w:sz w:val="28"/>
                <w:szCs w:val="28"/>
                <w:highlight w:val="none"/>
                <w:lang w:eastAsia="zh-CN"/>
              </w:rPr>
              <w:t>君</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兰立松</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孙云浩</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周司省</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靳诗路</w:t>
            </w: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ind w:firstLine="0" w:firstLineChars="0"/>
              <w:textAlignment w:val="baseline"/>
              <w:rPr>
                <w:rFonts w:hint="default" w:ascii="Times New Roman" w:hAnsi="Times New Roman" w:eastAsia="黑体" w:cs="Times New Roman"/>
                <w:color w:val="auto"/>
                <w:sz w:val="24"/>
                <w:szCs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王圣林</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孙昕旸</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lang w:val="en-US" w:eastAsia="zh-CN"/>
              </w:rPr>
              <w:t>马  跃</w:t>
            </w: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eastAsia" w:ascii="黑体" w:hAnsi="黑体" w:eastAsia="黑体" w:cs="黑体"/>
                <w:color w:val="auto"/>
                <w:kern w:val="0"/>
                <w:sz w:val="28"/>
                <w:szCs w:val="28"/>
                <w:highlight w:val="none"/>
              </w:rPr>
            </w:pPr>
          </w:p>
        </w:tc>
      </w:tr>
      <w:tr>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ind w:firstLine="0" w:firstLineChars="0"/>
              <w:textAlignment w:val="baseline"/>
              <w:rPr>
                <w:rFonts w:hint="default" w:ascii="Times New Roman" w:hAnsi="Times New Roman" w:eastAsia="黑体" w:cs="Times New Roman"/>
                <w:color w:val="auto"/>
                <w:sz w:val="24"/>
                <w:szCs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r>
      <w:tr>
        <w:tblPrEx>
          <w:tblCellMar>
            <w:top w:w="0" w:type="dxa"/>
            <w:left w:w="108" w:type="dxa"/>
            <w:bottom w:w="0" w:type="dxa"/>
            <w:right w:w="108" w:type="dxa"/>
          </w:tblCellMar>
        </w:tblPrEx>
        <w:trPr>
          <w:jc w:val="center"/>
        </w:trPr>
        <w:tc>
          <w:tcPr>
            <w:tcW w:w="1690" w:type="dxa"/>
            <w:noWrap w:val="0"/>
            <w:vAlign w:val="top"/>
          </w:tcPr>
          <w:p>
            <w:pPr>
              <w:pageBreakBefore w:val="0"/>
              <w:tabs>
                <w:tab w:val="center" w:pos="4320"/>
                <w:tab w:val="right" w:pos="8640"/>
              </w:tabs>
              <w:kinsoku/>
              <w:wordWrap w:val="0"/>
              <w:overflowPunct/>
              <w:bidi w:val="0"/>
              <w:adjustRightInd w:val="0"/>
              <w:spacing w:line="600" w:lineRule="atLeast"/>
              <w:ind w:firstLine="0" w:firstLineChars="0"/>
              <w:textAlignment w:val="baseline"/>
              <w:rPr>
                <w:rFonts w:hint="default" w:ascii="Times New Roman" w:hAnsi="Times New Roman" w:eastAsia="黑体" w:cs="Times New Roman"/>
                <w:color w:val="auto"/>
                <w:sz w:val="24"/>
                <w:szCs w:val="24"/>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c>
          <w:tcPr>
            <w:tcW w:w="1034" w:type="dxa"/>
            <w:noWrap w:val="0"/>
            <w:vAlign w:val="top"/>
          </w:tcPr>
          <w:p>
            <w:pPr>
              <w:pageBreakBefore w:val="0"/>
              <w:tabs>
                <w:tab w:val="center" w:pos="4320"/>
                <w:tab w:val="right" w:pos="8640"/>
              </w:tabs>
              <w:kinsoku/>
              <w:wordWrap w:val="0"/>
              <w:overflowPunct/>
              <w:bidi w:val="0"/>
              <w:adjustRightInd w:val="0"/>
              <w:spacing w:line="600" w:lineRule="atLeast"/>
              <w:ind w:left="-120" w:leftChars="-50" w:right="-120" w:rightChars="-50" w:firstLine="0" w:firstLineChars="0"/>
              <w:jc w:val="center"/>
              <w:textAlignment w:val="baseline"/>
              <w:rPr>
                <w:rFonts w:hint="default" w:ascii="Times New Roman" w:hAnsi="Times New Roman" w:eastAsia="楷体_GB2312" w:cs="Times New Roman"/>
                <w:color w:val="auto"/>
                <w:kern w:val="0"/>
                <w:sz w:val="28"/>
                <w:szCs w:val="28"/>
                <w:highlight w:val="none"/>
              </w:rPr>
            </w:pPr>
          </w:p>
        </w:tc>
      </w:tr>
    </w:tbl>
    <w:p>
      <w:pPr>
        <w:ind w:firstLine="0" w:firstLineChars="0"/>
        <w:rPr>
          <w:color w:val="auto"/>
          <w:sz w:val="21"/>
          <w:szCs w:val="24"/>
          <w:highlight w:val="none"/>
        </w:rPr>
      </w:pPr>
    </w:p>
    <w:p>
      <w:pPr>
        <w:pageBreakBefore w:val="0"/>
        <w:kinsoku/>
        <w:wordWrap w:val="0"/>
        <w:bidi w:val="0"/>
        <w:spacing w:line="500" w:lineRule="exact"/>
        <w:ind w:firstLine="0" w:firstLineChars="0"/>
        <w:jc w:val="center"/>
        <w:outlineLvl w:val="9"/>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pacing w:val="20"/>
          <w:sz w:val="32"/>
          <w:szCs w:val="32"/>
          <w:highlight w:val="none"/>
        </w:rPr>
        <w:br w:type="page"/>
      </w:r>
      <w:bookmarkStart w:id="1" w:name="_Toc29921"/>
      <w:bookmarkStart w:id="2" w:name="_Toc16263"/>
      <w:bookmarkStart w:id="3" w:name="_Toc14477"/>
      <w:bookmarkStart w:id="4" w:name="_Toc5091"/>
      <w:r>
        <w:rPr>
          <w:rFonts w:hint="default" w:ascii="Times New Roman" w:hAnsi="Times New Roman" w:eastAsia="黑体" w:cs="Times New Roman"/>
          <w:bCs/>
          <w:color w:val="auto"/>
          <w:sz w:val="44"/>
          <w:szCs w:val="44"/>
          <w:highlight w:val="none"/>
        </w:rPr>
        <w:t>使 用 说 明</w:t>
      </w:r>
      <w:bookmarkEnd w:id="1"/>
      <w:bookmarkEnd w:id="2"/>
      <w:bookmarkEnd w:id="3"/>
      <w:bookmarkEnd w:id="4"/>
    </w:p>
    <w:p>
      <w:pPr>
        <w:pageBreakBefore w:val="0"/>
        <w:kinsoku/>
        <w:wordWrap w:val="0"/>
        <w:bidi w:val="0"/>
        <w:spacing w:line="500" w:lineRule="exact"/>
        <w:rPr>
          <w:rFonts w:hint="default" w:ascii="Times New Roman" w:hAnsi="Times New Roman" w:cs="Times New Roman"/>
          <w:color w:val="auto"/>
          <w:highlight w:val="none"/>
        </w:rPr>
      </w:pP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一、为加强辽宁省公路建设养护工程</w:t>
      </w:r>
      <w:r>
        <w:rPr>
          <w:rFonts w:hint="default" w:ascii="Times New Roman" w:hAnsi="Times New Roman" w:eastAsia="仿宋_GB2312" w:cs="Times New Roman"/>
          <w:color w:val="auto"/>
          <w:sz w:val="26"/>
          <w:szCs w:val="26"/>
          <w:highlight w:val="none"/>
          <w:lang w:val="en-US" w:eastAsia="zh-CN"/>
        </w:rPr>
        <w:t>设备材料采购招标</w:t>
      </w:r>
      <w:r>
        <w:rPr>
          <w:rFonts w:hint="default" w:ascii="Times New Roman" w:hAnsi="Times New Roman" w:eastAsia="仿宋_GB2312" w:cs="Times New Roman"/>
          <w:color w:val="auto"/>
          <w:sz w:val="26"/>
          <w:szCs w:val="26"/>
          <w:highlight w:val="none"/>
        </w:rPr>
        <w:t>管理，规范招标文件编制工作，全面实施电子招标投标，结合我省公路工程</w:t>
      </w:r>
      <w:r>
        <w:rPr>
          <w:rFonts w:hint="default" w:ascii="Times New Roman" w:hAnsi="Times New Roman" w:eastAsia="仿宋_GB2312" w:cs="Times New Roman"/>
          <w:color w:val="auto"/>
          <w:sz w:val="26"/>
          <w:szCs w:val="26"/>
          <w:highlight w:val="none"/>
          <w:lang w:val="en-US" w:eastAsia="zh-CN"/>
        </w:rPr>
        <w:t>设备材料采购</w:t>
      </w:r>
      <w:r>
        <w:rPr>
          <w:rFonts w:hint="default" w:ascii="Times New Roman" w:hAnsi="Times New Roman" w:eastAsia="仿宋_GB2312" w:cs="Times New Roman"/>
          <w:color w:val="auto"/>
          <w:sz w:val="26"/>
          <w:szCs w:val="26"/>
          <w:highlight w:val="none"/>
        </w:rPr>
        <w:t>招标特点和管理需要，辽宁省交通运输厅组织华杰工程咨询有限公司和国内专家，结合最新招标投标政策和全流程电子招标投标需求，编制了《</w:t>
      </w:r>
      <w:r>
        <w:rPr>
          <w:rFonts w:hint="eastAsia" w:ascii="Times New Roman" w:hAnsi="Times New Roman" w:eastAsia="仿宋_GB2312" w:cs="Times New Roman"/>
          <w:color w:val="auto"/>
          <w:sz w:val="26"/>
          <w:szCs w:val="26"/>
          <w:highlight w:val="none"/>
          <w:lang w:eastAsia="zh-CN"/>
        </w:rPr>
        <w:t>辽宁省公路工程标准设备材料采购电子招标文件</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eastAsia="zh-CN"/>
        </w:rPr>
        <w:t>2025年版</w:t>
      </w:r>
      <w:r>
        <w:rPr>
          <w:rFonts w:hint="default" w:ascii="Times New Roman" w:hAnsi="Times New Roman" w:eastAsia="仿宋_GB2312" w:cs="Times New Roman"/>
          <w:color w:val="auto"/>
          <w:sz w:val="26"/>
          <w:szCs w:val="26"/>
          <w:highlight w:val="none"/>
        </w:rPr>
        <w:t>）（以下简称《</w:t>
      </w:r>
      <w:r>
        <w:rPr>
          <w:rFonts w:hint="eastAsia" w:ascii="Times New Roman" w:hAnsi="Times New Roman" w:eastAsia="仿宋_GB2312" w:cs="Times New Roman"/>
          <w:color w:val="auto"/>
          <w:sz w:val="26"/>
          <w:szCs w:val="26"/>
          <w:highlight w:val="none"/>
          <w:lang w:val="en-US" w:eastAsia="zh-CN"/>
        </w:rPr>
        <w:t>标准设备材料采购招标文件</w:t>
      </w:r>
      <w:r>
        <w:rPr>
          <w:rFonts w:hint="default" w:ascii="Times New Roman" w:hAnsi="Times New Roman" w:eastAsia="仿宋_GB2312" w:cs="Times New Roman"/>
          <w:color w:val="auto"/>
          <w:sz w:val="26"/>
          <w:szCs w:val="26"/>
          <w:highlight w:val="none"/>
        </w:rPr>
        <w:t>》）。</w:t>
      </w: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二、《</w:t>
      </w:r>
      <w:r>
        <w:rPr>
          <w:rFonts w:hint="eastAsia" w:ascii="Times New Roman" w:hAnsi="Times New Roman" w:eastAsia="仿宋_GB2312" w:cs="Times New Roman"/>
          <w:color w:val="auto"/>
          <w:sz w:val="26"/>
          <w:szCs w:val="26"/>
          <w:highlight w:val="none"/>
          <w:lang w:val="en-US" w:eastAsia="zh-CN"/>
        </w:rPr>
        <w:t>标准设备材料采购招标文件</w:t>
      </w:r>
      <w:r>
        <w:rPr>
          <w:rFonts w:hint="default" w:ascii="Times New Roman" w:hAnsi="Times New Roman" w:eastAsia="仿宋_GB2312" w:cs="Times New Roman"/>
          <w:color w:val="auto"/>
          <w:sz w:val="26"/>
          <w:szCs w:val="26"/>
          <w:highlight w:val="none"/>
        </w:rPr>
        <w:t>》以</w:t>
      </w:r>
      <w:r>
        <w:rPr>
          <w:rFonts w:hint="default" w:ascii="Times New Roman" w:hAnsi="Times New Roman" w:eastAsia="仿宋_GB2312" w:cs="Times New Roman"/>
          <w:color w:val="auto"/>
          <w:sz w:val="26"/>
          <w:szCs w:val="26"/>
          <w:highlight w:val="none"/>
          <w:lang w:val="en-US" w:eastAsia="zh-CN"/>
        </w:rPr>
        <w:t>国家九部委《标准设备采购招标文件》（2017年版）与《标准材料采购招标文件》（2017版）</w:t>
      </w:r>
      <w:r>
        <w:rPr>
          <w:rFonts w:hint="default" w:ascii="Times New Roman" w:hAnsi="Times New Roman" w:eastAsia="仿宋_GB2312" w:cs="Times New Roman"/>
          <w:color w:val="auto"/>
          <w:sz w:val="26"/>
          <w:szCs w:val="26"/>
          <w:highlight w:val="none"/>
        </w:rPr>
        <w:t>为基础，</w:t>
      </w:r>
      <w:r>
        <w:rPr>
          <w:rFonts w:hint="default" w:ascii="Times New Roman" w:hAnsi="Times New Roman" w:eastAsia="仿宋_GB2312" w:cs="Times New Roman"/>
          <w:color w:val="auto"/>
          <w:spacing w:val="10"/>
          <w:sz w:val="26"/>
          <w:szCs w:val="26"/>
          <w:highlight w:val="none"/>
        </w:rPr>
        <w:t>以《</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w:t>
      </w:r>
      <w:r>
        <w:rPr>
          <w:rFonts w:hint="default" w:ascii="Times New Roman" w:hAnsi="Times New Roman" w:eastAsia="仿宋_GB2312" w:cs="Times New Roman"/>
          <w:color w:val="auto"/>
          <w:kern w:val="0"/>
          <w:sz w:val="26"/>
          <w:szCs w:val="26"/>
          <w:highlight w:val="none"/>
        </w:rPr>
        <w:t>中华人民共和国</w:t>
      </w:r>
      <w:r>
        <w:rPr>
          <w:rFonts w:hint="default" w:ascii="Times New Roman" w:hAnsi="Times New Roman" w:eastAsia="仿宋_GB2312" w:cs="Times New Roman"/>
          <w:color w:val="auto"/>
          <w:spacing w:val="10"/>
          <w:sz w:val="26"/>
          <w:szCs w:val="26"/>
          <w:highlight w:val="none"/>
        </w:rPr>
        <w:t>招标投标法实施条例》《招标投标领域公平竞争审查规则》（国家发展和改革委员会等八部委2024年令第16号）《国务院办公厅关于创新完善体制机制推动招标投标市场规范健康发展的意见》（国办发〔2024〕21号）</w:t>
      </w:r>
      <w:r>
        <w:rPr>
          <w:rFonts w:hint="default" w:ascii="Times New Roman" w:hAnsi="Times New Roman" w:eastAsia="仿宋_GB2312" w:cs="Times New Roman"/>
          <w:color w:val="auto"/>
          <w:sz w:val="26"/>
          <w:szCs w:val="26"/>
          <w:highlight w:val="none"/>
        </w:rPr>
        <w:t>等法律法规和部门规章或规范性文件为依据，结合本省公路工程</w:t>
      </w:r>
      <w:r>
        <w:rPr>
          <w:rFonts w:hint="default" w:ascii="Times New Roman" w:hAnsi="Times New Roman" w:eastAsia="仿宋_GB2312" w:cs="Times New Roman"/>
          <w:color w:val="auto"/>
          <w:sz w:val="26"/>
          <w:szCs w:val="26"/>
          <w:highlight w:val="none"/>
          <w:lang w:val="en-US" w:eastAsia="zh-CN"/>
        </w:rPr>
        <w:t>设备材料采购</w:t>
      </w:r>
      <w:r>
        <w:rPr>
          <w:rFonts w:hint="default" w:ascii="Times New Roman" w:hAnsi="Times New Roman" w:eastAsia="仿宋_GB2312" w:cs="Times New Roman"/>
          <w:color w:val="auto"/>
          <w:sz w:val="26"/>
          <w:szCs w:val="26"/>
          <w:highlight w:val="none"/>
        </w:rPr>
        <w:t>招标特点和管理需要编制而成。</w:t>
      </w: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三、本省行政区域内公路工程（包括高速公路、普通国省干线公路、农村公路）建设（包括新建、改建、扩建）养护（包括预防养护、修复养护、专项养护工程）项目</w:t>
      </w:r>
      <w:r>
        <w:rPr>
          <w:rFonts w:hint="eastAsia" w:ascii="Times New Roman" w:hAnsi="Times New Roman" w:eastAsia="仿宋_GB2312" w:cs="Times New Roman"/>
          <w:color w:val="auto"/>
          <w:sz w:val="26"/>
          <w:szCs w:val="26"/>
          <w:highlight w:val="none"/>
          <w:lang w:val="en-US" w:eastAsia="zh-CN"/>
        </w:rPr>
        <w:t>与工程相关的重要</w:t>
      </w:r>
      <w:r>
        <w:rPr>
          <w:rFonts w:hint="default" w:ascii="Times New Roman" w:hAnsi="Times New Roman" w:eastAsia="仿宋_GB2312" w:cs="Times New Roman"/>
          <w:color w:val="auto"/>
          <w:sz w:val="26"/>
          <w:szCs w:val="26"/>
          <w:highlight w:val="none"/>
          <w:lang w:val="en-US" w:eastAsia="zh-CN"/>
        </w:rPr>
        <w:t>设备</w:t>
      </w:r>
      <w:r>
        <w:rPr>
          <w:rFonts w:hint="eastAsia" w:ascii="Times New Roman" w:hAnsi="Times New Roman" w:eastAsia="仿宋_GB2312" w:cs="Times New Roman"/>
          <w:color w:val="auto"/>
          <w:sz w:val="26"/>
          <w:szCs w:val="26"/>
          <w:highlight w:val="none"/>
          <w:lang w:val="en-US" w:eastAsia="zh-CN"/>
        </w:rPr>
        <w:t>、</w:t>
      </w:r>
      <w:r>
        <w:rPr>
          <w:rFonts w:hint="default" w:ascii="Times New Roman" w:hAnsi="Times New Roman" w:eastAsia="仿宋_GB2312" w:cs="Times New Roman"/>
          <w:color w:val="auto"/>
          <w:sz w:val="26"/>
          <w:szCs w:val="26"/>
          <w:highlight w:val="none"/>
          <w:lang w:val="en-US" w:eastAsia="zh-CN"/>
        </w:rPr>
        <w:t>材料采购</w:t>
      </w:r>
      <w:r>
        <w:rPr>
          <w:rFonts w:hint="default" w:ascii="Times New Roman" w:hAnsi="Times New Roman" w:eastAsia="仿宋_GB2312" w:cs="Times New Roman"/>
          <w:color w:val="auto"/>
          <w:sz w:val="26"/>
          <w:szCs w:val="26"/>
          <w:highlight w:val="none"/>
        </w:rPr>
        <w:t>单项合同估算价达到依法必须招标规定标准的，应当实行全流程电子化交易。《</w:t>
      </w:r>
      <w:r>
        <w:rPr>
          <w:rFonts w:hint="eastAsia" w:ascii="Times New Roman" w:hAnsi="Times New Roman" w:eastAsia="仿宋_GB2312" w:cs="Times New Roman"/>
          <w:color w:val="auto"/>
          <w:sz w:val="26"/>
          <w:szCs w:val="26"/>
          <w:highlight w:val="none"/>
          <w:lang w:eastAsia="zh-CN"/>
        </w:rPr>
        <w:t>标准设备材料采购招标文件</w:t>
      </w:r>
      <w:r>
        <w:rPr>
          <w:rFonts w:hint="default" w:ascii="Times New Roman" w:hAnsi="Times New Roman" w:eastAsia="仿宋_GB2312" w:cs="Times New Roman"/>
          <w:color w:val="auto"/>
          <w:sz w:val="26"/>
          <w:szCs w:val="26"/>
          <w:highlight w:val="none"/>
        </w:rPr>
        <w:t>》适用于上述公路建设养护工程重要设备、材料采购全流程电子招标项目，其他项目</w:t>
      </w:r>
      <w:r>
        <w:rPr>
          <w:rFonts w:hint="default" w:ascii="Times New Roman" w:hAnsi="Times New Roman" w:eastAsia="仿宋_GB2312" w:cs="Times New Roman"/>
          <w:color w:val="auto"/>
          <w:sz w:val="26"/>
          <w:szCs w:val="26"/>
          <w:highlight w:val="none"/>
          <w:lang w:val="en-US" w:eastAsia="zh-CN"/>
        </w:rPr>
        <w:t>设备材料</w:t>
      </w:r>
      <w:r>
        <w:rPr>
          <w:rFonts w:hint="default" w:ascii="Times New Roman" w:hAnsi="Times New Roman" w:eastAsia="仿宋_GB2312" w:cs="Times New Roman"/>
          <w:color w:val="auto"/>
          <w:sz w:val="26"/>
          <w:szCs w:val="26"/>
          <w:highlight w:val="none"/>
        </w:rPr>
        <w:t>招标可参照执行。招标人在编制招标文件的过程中应按照国家有关规定、项目具体情况和交易平台操作特点，载明</w:t>
      </w:r>
      <w:r>
        <w:rPr>
          <w:rFonts w:hint="default" w:ascii="Times New Roman" w:hAnsi="Times New Roman" w:eastAsia="仿宋_GB2312" w:cs="Times New Roman"/>
          <w:color w:val="auto"/>
          <w:sz w:val="26"/>
          <w:szCs w:val="26"/>
          <w:highlight w:val="none"/>
          <w:lang w:val="en-US" w:eastAsia="zh-CN"/>
        </w:rPr>
        <w:t>设备材料采购</w:t>
      </w:r>
      <w:r>
        <w:rPr>
          <w:rFonts w:hint="default" w:ascii="Times New Roman" w:hAnsi="Times New Roman" w:eastAsia="仿宋_GB2312" w:cs="Times New Roman"/>
          <w:color w:val="auto"/>
          <w:sz w:val="26"/>
          <w:szCs w:val="26"/>
          <w:highlight w:val="none"/>
        </w:rPr>
        <w:t>招标的具体要求。</w:t>
      </w: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四、《</w:t>
      </w:r>
      <w:r>
        <w:rPr>
          <w:rFonts w:hint="eastAsia" w:ascii="Times New Roman" w:hAnsi="Times New Roman" w:eastAsia="仿宋_GB2312" w:cs="Times New Roman"/>
          <w:color w:val="auto"/>
          <w:sz w:val="26"/>
          <w:szCs w:val="26"/>
          <w:highlight w:val="none"/>
          <w:lang w:eastAsia="zh-CN"/>
        </w:rPr>
        <w:t>标准设备材料采购招标文件</w:t>
      </w:r>
      <w:r>
        <w:rPr>
          <w:rFonts w:hint="default" w:ascii="Times New Roman" w:hAnsi="Times New Roman" w:eastAsia="仿宋_GB2312" w:cs="Times New Roman"/>
          <w:color w:val="auto"/>
          <w:sz w:val="26"/>
          <w:szCs w:val="26"/>
          <w:highlight w:val="none"/>
        </w:rPr>
        <w:t>》在</w:t>
      </w:r>
      <w:r>
        <w:rPr>
          <w:rFonts w:hint="default" w:ascii="Times New Roman" w:hAnsi="Times New Roman" w:eastAsia="仿宋_GB2312" w:cs="Times New Roman"/>
          <w:color w:val="auto"/>
          <w:sz w:val="26"/>
          <w:szCs w:val="26"/>
          <w:highlight w:val="none"/>
          <w:lang w:val="en-US" w:eastAsia="zh-CN"/>
        </w:rPr>
        <w:t>国家九部委《标准材料采购招标文件》（2017年版）与《标准设备采购招标文件》（2017年版）</w:t>
      </w:r>
      <w:r>
        <w:rPr>
          <w:rFonts w:hint="default" w:ascii="Times New Roman" w:hAnsi="Times New Roman" w:eastAsia="仿宋_GB2312" w:cs="Times New Roman"/>
          <w:color w:val="auto"/>
          <w:sz w:val="26"/>
          <w:szCs w:val="26"/>
          <w:highlight w:val="none"/>
        </w:rPr>
        <w:t>基础上，对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前附表及部分正文内容相应条款结合电子招标投标的流程、特点进行</w:t>
      </w:r>
      <w:r>
        <w:rPr>
          <w:rFonts w:hint="default" w:ascii="Times New Roman" w:hAnsi="Times New Roman" w:eastAsia="仿宋_GB2312" w:cs="Times New Roman"/>
          <w:color w:val="auto"/>
          <w:sz w:val="26"/>
          <w:szCs w:val="26"/>
          <w:highlight w:val="none"/>
          <w:lang w:eastAsia="zh-CN"/>
        </w:rPr>
        <w:t>了</w:t>
      </w:r>
      <w:r>
        <w:rPr>
          <w:rFonts w:hint="default" w:ascii="Times New Roman" w:hAnsi="Times New Roman" w:eastAsia="仿宋_GB2312" w:cs="Times New Roman"/>
          <w:color w:val="auto"/>
          <w:sz w:val="26"/>
          <w:szCs w:val="26"/>
          <w:highlight w:val="none"/>
        </w:rPr>
        <w:t>调整，删除了部分不适用的内容（如资格预审、单信封形式密封、纸质版投标文件的递交及开评标程序等相关内容）。招标人根据《</w:t>
      </w:r>
      <w:r>
        <w:rPr>
          <w:rFonts w:hint="eastAsia" w:ascii="Times New Roman" w:hAnsi="Times New Roman" w:eastAsia="仿宋_GB2312" w:cs="Times New Roman"/>
          <w:color w:val="auto"/>
          <w:sz w:val="26"/>
          <w:szCs w:val="26"/>
          <w:highlight w:val="none"/>
          <w:lang w:eastAsia="zh-CN"/>
        </w:rPr>
        <w:t>标准设备材料采购招标文件</w:t>
      </w:r>
      <w:r>
        <w:rPr>
          <w:rFonts w:hint="default" w:ascii="Times New Roman" w:hAnsi="Times New Roman" w:eastAsia="仿宋_GB2312" w:cs="Times New Roman"/>
          <w:color w:val="auto"/>
          <w:sz w:val="26"/>
          <w:szCs w:val="26"/>
          <w:highlight w:val="none"/>
        </w:rPr>
        <w:t>》编制项目招标文件时，不得修改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正文，但可在前附表中对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投标人须知</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和</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正文内容相抵触。如前附表与正文不一致时，以前附表的规定为准。</w:t>
      </w: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五、招标人在根据</w:t>
      </w:r>
      <w:r>
        <w:rPr>
          <w:rFonts w:hint="default" w:ascii="Times New Roman" w:hAnsi="Times New Roman" w:eastAsia="仿宋_GB2312" w:cs="Times New Roman"/>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标准设备材料采购招标文件</w:t>
      </w:r>
      <w:r>
        <w:rPr>
          <w:rFonts w:hint="default"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编制项目招标文件中的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项目专用合同条款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时，可根据招标项目的具体特点和实际需要，对</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进行补充、细化，除</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明确</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专用合同条款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可作出不同约定</w:t>
      </w:r>
      <w:r>
        <w:rPr>
          <w:rFonts w:hint="default" w:ascii="Times New Roman" w:hAnsi="Times New Roman" w:eastAsia="仿宋_GB2312" w:cs="Times New Roman"/>
          <w:color w:val="auto"/>
          <w:sz w:val="26"/>
          <w:szCs w:val="26"/>
          <w:highlight w:val="none"/>
          <w:lang w:val="en-US" w:eastAsia="zh-CN"/>
        </w:rPr>
        <w:t>外</w:t>
      </w:r>
      <w:r>
        <w:rPr>
          <w:rFonts w:hint="default" w:ascii="Times New Roman" w:hAnsi="Times New Roman" w:eastAsia="仿宋_GB2312" w:cs="Times New Roman"/>
          <w:color w:val="auto"/>
          <w:sz w:val="26"/>
          <w:szCs w:val="26"/>
          <w:highlight w:val="none"/>
        </w:rPr>
        <w:t>，补充和细化的内容不得与</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通用合同条款</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强制性规定相抵触。同时，补充、细化或约定的内容，不得违反法律、行政法规的强制性规定和平等、自愿、公平和诚实信用原则。</w:t>
      </w: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六、</w:t>
      </w:r>
      <w:r>
        <w:rPr>
          <w:rFonts w:hint="default" w:ascii="Times New Roman" w:hAnsi="Times New Roman" w:eastAsia="仿宋_GB2312" w:cs="Times New Roman"/>
          <w:color w:val="auto"/>
          <w:sz w:val="26"/>
          <w:szCs w:val="26"/>
          <w:highlight w:val="none"/>
          <w:lang w:eastAsia="zh-CN"/>
        </w:rPr>
        <w:t>《省标准</w:t>
      </w:r>
      <w:r>
        <w:rPr>
          <w:rFonts w:hint="default" w:ascii="Times New Roman" w:hAnsi="Times New Roman" w:eastAsia="仿宋_GB2312" w:cs="Times New Roman"/>
          <w:color w:val="auto"/>
          <w:sz w:val="26"/>
          <w:szCs w:val="26"/>
          <w:highlight w:val="none"/>
          <w:lang w:val="en-US" w:eastAsia="zh-CN"/>
        </w:rPr>
        <w:t>设备材料</w:t>
      </w:r>
      <w:r>
        <w:rPr>
          <w:rFonts w:hint="default" w:ascii="Times New Roman" w:hAnsi="Times New Roman" w:eastAsia="仿宋_GB2312" w:cs="Times New Roman"/>
          <w:color w:val="auto"/>
          <w:sz w:val="26"/>
          <w:szCs w:val="26"/>
          <w:highlight w:val="none"/>
          <w:lang w:eastAsia="zh-CN"/>
        </w:rPr>
        <w:t>招标文件》</w:t>
      </w:r>
      <w:r>
        <w:rPr>
          <w:rFonts w:hint="default" w:ascii="Times New Roman" w:hAnsi="Times New Roman" w:eastAsia="仿宋_GB2312" w:cs="Times New Roman"/>
          <w:color w:val="auto"/>
          <w:sz w:val="26"/>
          <w:szCs w:val="26"/>
          <w:highlight w:val="none"/>
        </w:rPr>
        <w:t>用相同序号标示的章、节、条、款、项、目，供招标人选择使用；以空格标示的部分，招标人应根据招标项目具体特点和实际需要进行填写，确实没有需要填写的，在空格中用</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标示。</w:t>
      </w: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七、招标人编入招标文件的招标公告应当与发布的公告内容完全一致。招标公告应当按照《</w:t>
      </w:r>
      <w:r>
        <w:rPr>
          <w:rFonts w:hint="eastAsia" w:ascii="Times New Roman" w:hAnsi="Times New Roman" w:eastAsia="仿宋_GB2312" w:cs="Times New Roman"/>
          <w:color w:val="auto"/>
          <w:sz w:val="26"/>
          <w:szCs w:val="26"/>
          <w:highlight w:val="none"/>
          <w:lang w:eastAsia="zh-CN"/>
        </w:rPr>
        <w:t>标准设备材料采购招标文件</w:t>
      </w:r>
      <w:r>
        <w:rPr>
          <w:rFonts w:hint="default" w:ascii="Times New Roman" w:hAnsi="Times New Roman" w:eastAsia="仿宋_GB2312" w:cs="Times New Roman"/>
          <w:color w:val="auto"/>
          <w:sz w:val="26"/>
          <w:szCs w:val="26"/>
          <w:highlight w:val="none"/>
        </w:rPr>
        <w:t>》第一章中的格式编写，内容简洁明了、突出重点。招标公告通过电子招标投标交易平台录入后交互至发布媒介核验发布。招标人应当按照招标公告规定的招标文件发布时间，将数据电文形式的招标文件加载至公共资源交易电子服务平台，供潜在投标人免费下载或查阅，</w:t>
      </w:r>
      <w:r>
        <w:rPr>
          <w:rFonts w:hint="default" w:ascii="Times New Roman" w:hAnsi="Times New Roman" w:eastAsia="仿宋_GB2312" w:cs="Times New Roman"/>
          <w:color w:val="auto"/>
          <w:sz w:val="26"/>
          <w:szCs w:val="26"/>
          <w:highlight w:val="none"/>
          <w:lang w:val="en-US" w:eastAsia="zh-CN"/>
        </w:rPr>
        <w:t>并</w:t>
      </w:r>
      <w:r>
        <w:rPr>
          <w:rFonts w:hint="default" w:ascii="Times New Roman" w:hAnsi="Times New Roman" w:eastAsia="仿宋_GB2312" w:cs="Times New Roman"/>
          <w:color w:val="auto"/>
          <w:sz w:val="26"/>
          <w:szCs w:val="26"/>
          <w:highlight w:val="none"/>
        </w:rPr>
        <w:t>将</w:t>
      </w:r>
      <w:r>
        <w:rPr>
          <w:rFonts w:hint="default" w:ascii="Times New Roman" w:hAnsi="Times New Roman" w:eastAsia="仿宋_GB2312" w:cs="Times New Roman"/>
          <w:color w:val="auto"/>
          <w:sz w:val="26"/>
          <w:szCs w:val="26"/>
          <w:highlight w:val="none"/>
          <w:lang w:val="en-US" w:eastAsia="zh-CN"/>
        </w:rPr>
        <w:t>招标文件</w:t>
      </w:r>
      <w:r>
        <w:rPr>
          <w:rFonts w:hint="default" w:ascii="Times New Roman" w:hAnsi="Times New Roman" w:eastAsia="仿宋_GB2312" w:cs="Times New Roman"/>
          <w:color w:val="auto"/>
          <w:sz w:val="26"/>
          <w:szCs w:val="26"/>
          <w:highlight w:val="none"/>
        </w:rPr>
        <w:t>关键内容上传至具有招标监督职责的交通运输主管部门政府网站或者其指定的其他网站上进行公开，公开内容包括项目概况、对投标人的资格条件要求、评标办法、招标人联系方式等。</w:t>
      </w: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八、</w:t>
      </w:r>
      <w:r>
        <w:rPr>
          <w:rFonts w:hint="default" w:ascii="Times New Roman" w:hAnsi="Times New Roman" w:eastAsia="仿宋_GB2312" w:cs="Times New Roman"/>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标准设备材料采购招标文件</w:t>
      </w:r>
      <w:r>
        <w:rPr>
          <w:rFonts w:hint="default" w:ascii="Times New Roman" w:hAnsi="Times New Roman" w:eastAsia="仿宋_GB2312" w:cs="Times New Roman"/>
          <w:color w:val="auto"/>
          <w:sz w:val="26"/>
          <w:szCs w:val="26"/>
          <w:highlight w:val="none"/>
          <w:lang w:eastAsia="zh-CN"/>
        </w:rPr>
        <w:t>》</w:t>
      </w:r>
      <w:r>
        <w:rPr>
          <w:rFonts w:ascii="Times New Roman" w:hAnsi="Times New Roman" w:eastAsia="仿宋_GB2312"/>
          <w:color w:val="auto"/>
          <w:sz w:val="26"/>
          <w:szCs w:val="26"/>
          <w:highlight w:val="none"/>
        </w:rPr>
        <w:t>第三章</w:t>
      </w:r>
      <w:r>
        <w:rPr>
          <w:rFonts w:hint="eastAsia" w:ascii="宋体" w:hAnsi="宋体" w:eastAsia="宋体" w:cs="宋体"/>
          <w:color w:val="auto"/>
          <w:sz w:val="26"/>
          <w:szCs w:val="26"/>
          <w:highlight w:val="none"/>
        </w:rPr>
        <w:t>“</w:t>
      </w:r>
      <w:r>
        <w:rPr>
          <w:rFonts w:ascii="Times New Roman" w:hAnsi="Times New Roman" w:eastAsia="仿宋_GB2312"/>
          <w:color w:val="auto"/>
          <w:sz w:val="26"/>
          <w:szCs w:val="26"/>
          <w:highlight w:val="none"/>
        </w:rPr>
        <w:t>评标办法</w:t>
      </w:r>
      <w:r>
        <w:rPr>
          <w:rFonts w:hint="eastAsia" w:ascii="宋体" w:hAnsi="宋体" w:eastAsia="宋体" w:cs="宋体"/>
          <w:color w:val="auto"/>
          <w:sz w:val="26"/>
          <w:szCs w:val="26"/>
          <w:highlight w:val="none"/>
        </w:rPr>
        <w:t>”</w:t>
      </w:r>
      <w:r>
        <w:rPr>
          <w:rFonts w:ascii="Times New Roman" w:hAnsi="Times New Roman" w:eastAsia="仿宋_GB2312"/>
          <w:color w:val="auto"/>
          <w:sz w:val="26"/>
          <w:szCs w:val="26"/>
          <w:highlight w:val="none"/>
        </w:rPr>
        <w:t>分别</w:t>
      </w:r>
      <w:r>
        <w:rPr>
          <w:rFonts w:hint="default" w:ascii="Times New Roman" w:hAnsi="Times New Roman" w:eastAsia="仿宋_GB2312"/>
          <w:color w:val="auto"/>
          <w:sz w:val="26"/>
          <w:szCs w:val="26"/>
          <w:highlight w:val="none"/>
          <w:lang w:val="en-US" w:eastAsia="zh-CN"/>
        </w:rPr>
        <w:t>推荐了</w:t>
      </w:r>
      <w:r>
        <w:rPr>
          <w:rFonts w:hint="eastAsia" w:ascii="Times New Roman" w:hAnsi="Times New Roman" w:eastAsia="仿宋_GB2312"/>
          <w:color w:val="auto"/>
          <w:sz w:val="26"/>
          <w:szCs w:val="26"/>
          <w:highlight w:val="none"/>
          <w:lang w:eastAsia="zh-CN"/>
        </w:rPr>
        <w:t>综合评分法</w:t>
      </w:r>
      <w:r>
        <w:rPr>
          <w:rFonts w:ascii="Times New Roman" w:hAnsi="Times New Roman" w:eastAsia="仿宋_GB2312"/>
          <w:color w:val="auto"/>
          <w:sz w:val="26"/>
          <w:szCs w:val="26"/>
          <w:highlight w:val="none"/>
        </w:rPr>
        <w:t>和经评审的最低投标价法两种评标方法，供招标人根据招标项目具体特点和实际需要选择适用</w:t>
      </w:r>
      <w:r>
        <w:rPr>
          <w:rFonts w:hint="default" w:ascii="Times New Roman" w:hAnsi="Times New Roman" w:eastAsia="仿宋_GB2312"/>
          <w:color w:val="auto"/>
          <w:sz w:val="26"/>
          <w:szCs w:val="26"/>
          <w:highlight w:val="none"/>
          <w:lang w:eastAsia="zh-CN"/>
        </w:rPr>
        <w:t>，</w:t>
      </w:r>
      <w:r>
        <w:rPr>
          <w:rFonts w:hint="default" w:ascii="Times New Roman" w:hAnsi="Times New Roman" w:eastAsia="仿宋_GB2312"/>
          <w:color w:val="auto"/>
          <w:sz w:val="26"/>
          <w:szCs w:val="26"/>
          <w:highlight w:val="none"/>
        </w:rPr>
        <w:t>招标人也可以选择法律法规允许的其他评标办法。</w:t>
      </w: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第三章</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评标办法</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前附表应列明全部评审因素和评审标准，并在本章（前附表及正文）标明投标人不满足要求即导致否决投标的全部条款。</w:t>
      </w:r>
    </w:p>
    <w:p>
      <w:pPr>
        <w:pStyle w:val="16"/>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九</w:t>
      </w:r>
      <w:r>
        <w:rPr>
          <w:rFonts w:hint="default" w:ascii="Times New Roman" w:hAnsi="Times New Roman" w:eastAsia="仿宋_GB2312" w:cs="Times New Roman"/>
          <w:color w:val="auto"/>
          <w:sz w:val="26"/>
          <w:szCs w:val="26"/>
          <w:highlight w:val="none"/>
        </w:rPr>
        <w:t>、</w:t>
      </w:r>
      <w:r>
        <w:rPr>
          <w:rFonts w:hint="default" w:ascii="Times New Roman" w:hAnsi="Times New Roman" w:eastAsia="仿宋_GB2312" w:cs="Times New Roman"/>
          <w:color w:val="auto"/>
          <w:sz w:val="26"/>
          <w:szCs w:val="26"/>
          <w:highlight w:val="none"/>
          <w:lang w:eastAsia="zh-CN"/>
        </w:rPr>
        <w:t>《</w:t>
      </w:r>
      <w:r>
        <w:rPr>
          <w:rFonts w:hint="eastAsia" w:ascii="Times New Roman" w:hAnsi="Times New Roman" w:eastAsia="仿宋_GB2312" w:cs="Times New Roman"/>
          <w:color w:val="auto"/>
          <w:sz w:val="26"/>
          <w:szCs w:val="26"/>
          <w:highlight w:val="none"/>
          <w:lang w:eastAsia="zh-CN"/>
        </w:rPr>
        <w:t>标准设备材料采购招标文件</w:t>
      </w:r>
      <w:r>
        <w:rPr>
          <w:rFonts w:hint="default" w:ascii="Times New Roman" w:hAnsi="Times New Roman" w:eastAsia="仿宋_GB2312" w:cs="Times New Roman"/>
          <w:color w:val="auto"/>
          <w:sz w:val="26"/>
          <w:szCs w:val="26"/>
          <w:highlight w:val="none"/>
          <w:lang w:eastAsia="zh-CN"/>
        </w:rPr>
        <w:t>》</w:t>
      </w:r>
      <w:r>
        <w:rPr>
          <w:rFonts w:hint="default" w:ascii="Times New Roman" w:hAnsi="Times New Roman" w:eastAsia="仿宋_GB2312" w:cs="Times New Roman"/>
          <w:color w:val="auto"/>
          <w:sz w:val="26"/>
          <w:szCs w:val="26"/>
          <w:highlight w:val="none"/>
        </w:rPr>
        <w:t>与辽宁省公共资源交易网</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lang w:eastAsia="zh-CN"/>
        </w:rPr>
        <w:t>辽宁省公共资源交易</w:t>
      </w:r>
      <w:r>
        <w:rPr>
          <w:rFonts w:hint="eastAsia" w:ascii="宋体" w:hAnsi="宋体" w:eastAsia="宋体" w:cs="宋体"/>
          <w:color w:val="auto"/>
          <w:sz w:val="26"/>
          <w:szCs w:val="26"/>
          <w:highlight w:val="none"/>
          <w:lang w:eastAsia="zh-CN"/>
        </w:rPr>
        <w:t>“</w:t>
      </w:r>
      <w:r>
        <w:rPr>
          <w:rFonts w:hint="default" w:ascii="Times New Roman" w:hAnsi="Times New Roman" w:eastAsia="仿宋_GB2312" w:cs="Times New Roman"/>
          <w:color w:val="auto"/>
          <w:sz w:val="26"/>
          <w:szCs w:val="26"/>
          <w:highlight w:val="none"/>
          <w:lang w:eastAsia="zh-CN"/>
        </w:rPr>
        <w:t>一张网</w:t>
      </w:r>
      <w:r>
        <w:rPr>
          <w:rFonts w:hint="eastAsia" w:ascii="宋体" w:hAnsi="宋体" w:eastAsia="宋体" w:cs="宋体"/>
          <w:color w:val="auto"/>
          <w:sz w:val="26"/>
          <w:szCs w:val="26"/>
          <w:highlight w:val="none"/>
          <w:lang w:eastAsia="zh-CN"/>
        </w:rPr>
        <w:t>”</w:t>
      </w:r>
      <w:r>
        <w:rPr>
          <w:rFonts w:hint="default" w:ascii="Times New Roman" w:hAnsi="Times New Roman" w:eastAsia="仿宋_GB2312" w:cs="Times New Roman"/>
          <w:color w:val="auto"/>
          <w:sz w:val="26"/>
          <w:szCs w:val="26"/>
          <w:highlight w:val="none"/>
          <w:lang w:eastAsia="zh-CN"/>
        </w:rPr>
        <w:t>电子化平台</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配套使用，招标人在线选择相应招标类别</w:t>
      </w:r>
      <w:r>
        <w:rPr>
          <w:rFonts w:hint="default" w:ascii="Times New Roman" w:hAnsi="Times New Roman" w:eastAsia="仿宋_GB2312" w:cs="Times New Roman"/>
          <w:color w:val="auto"/>
          <w:sz w:val="26"/>
          <w:szCs w:val="26"/>
          <w:highlight w:val="none"/>
          <w:lang w:eastAsia="zh-CN"/>
        </w:rPr>
        <w:t>《省标准</w:t>
      </w:r>
      <w:r>
        <w:rPr>
          <w:rFonts w:hint="default" w:ascii="Times New Roman" w:hAnsi="Times New Roman" w:eastAsia="仿宋_GB2312" w:cs="Times New Roman"/>
          <w:color w:val="auto"/>
          <w:sz w:val="26"/>
          <w:szCs w:val="26"/>
          <w:highlight w:val="none"/>
          <w:lang w:val="en-US" w:eastAsia="zh-CN"/>
        </w:rPr>
        <w:t>设备材料</w:t>
      </w:r>
      <w:r>
        <w:rPr>
          <w:rFonts w:hint="default" w:ascii="Times New Roman" w:hAnsi="Times New Roman" w:eastAsia="仿宋_GB2312" w:cs="Times New Roman"/>
          <w:color w:val="auto"/>
          <w:sz w:val="26"/>
          <w:szCs w:val="26"/>
          <w:highlight w:val="none"/>
          <w:lang w:eastAsia="zh-CN"/>
        </w:rPr>
        <w:t>招标文件》</w:t>
      </w:r>
      <w:r>
        <w:rPr>
          <w:rFonts w:hint="default" w:ascii="Times New Roman" w:hAnsi="Times New Roman" w:eastAsia="仿宋_GB2312" w:cs="Times New Roman"/>
          <w:color w:val="auto"/>
          <w:sz w:val="26"/>
          <w:szCs w:val="26"/>
          <w:highlight w:val="none"/>
        </w:rPr>
        <w:t>编制招标文件。</w:t>
      </w:r>
    </w:p>
    <w:p>
      <w:pPr>
        <w:pStyle w:val="16"/>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十</w:t>
      </w:r>
      <w:r>
        <w:rPr>
          <w:rFonts w:hint="default" w:ascii="Times New Roman" w:hAnsi="Times New Roman" w:eastAsia="仿宋_GB2312" w:cs="Times New Roman"/>
          <w:color w:val="auto"/>
          <w:sz w:val="26"/>
          <w:szCs w:val="26"/>
          <w:highlight w:val="none"/>
        </w:rPr>
        <w:t>、</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投标文件格式</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中要求投标人盖单位章及法定代表人或其委托代理人签名处，除有特别规定外，均只要求投标人加盖CA数字证书中的单位章及法定代表人或其委托代理人的个人电子印章或</w:t>
      </w:r>
      <w:r>
        <w:rPr>
          <w:rFonts w:hint="default" w:ascii="Times New Roman" w:hAnsi="Times New Roman" w:eastAsia="仿宋_GB2312" w:cs="Times New Roman"/>
          <w:color w:val="auto"/>
          <w:sz w:val="26"/>
          <w:szCs w:val="26"/>
          <w:highlight w:val="none"/>
          <w:lang w:eastAsia="zh-CN"/>
        </w:rPr>
        <w:t>电子签名</w:t>
      </w:r>
      <w:r>
        <w:rPr>
          <w:rFonts w:hint="default" w:ascii="Times New Roman" w:hAnsi="Times New Roman" w:eastAsia="仿宋_GB2312" w:cs="Times New Roman"/>
          <w:color w:val="auto"/>
          <w:sz w:val="26"/>
          <w:szCs w:val="26"/>
          <w:highlight w:val="none"/>
        </w:rPr>
        <w:t>。</w:t>
      </w:r>
    </w:p>
    <w:p>
      <w:pPr>
        <w:pStyle w:val="16"/>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rPr>
        <w:t>十</w:t>
      </w:r>
      <w:r>
        <w:rPr>
          <w:rFonts w:hint="default" w:ascii="Times New Roman" w:hAnsi="Times New Roman" w:eastAsia="仿宋_GB2312" w:cs="Times New Roman"/>
          <w:color w:val="auto"/>
          <w:sz w:val="26"/>
          <w:szCs w:val="26"/>
          <w:highlight w:val="none"/>
          <w:lang w:val="en-US" w:eastAsia="zh-CN"/>
        </w:rPr>
        <w:t>一</w:t>
      </w:r>
      <w:r>
        <w:rPr>
          <w:rFonts w:hint="default" w:ascii="Times New Roman" w:hAnsi="Times New Roman" w:eastAsia="仿宋_GB2312" w:cs="Times New Roman"/>
          <w:color w:val="auto"/>
          <w:sz w:val="26"/>
          <w:szCs w:val="26"/>
          <w:highlight w:val="none"/>
        </w:rPr>
        <w:t>、本文件中所称的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以上</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以下</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以内</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届满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，包括本数，所称的</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不满</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不足</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以外</w:t>
      </w:r>
      <w:r>
        <w:rPr>
          <w:rFonts w:hint="eastAsia" w:ascii="宋体" w:hAnsi="宋体" w:eastAsia="宋体" w:cs="宋体"/>
          <w:color w:val="auto"/>
          <w:sz w:val="26"/>
          <w:szCs w:val="26"/>
          <w:highlight w:val="none"/>
        </w:rPr>
        <w:t>”</w:t>
      </w:r>
      <w:r>
        <w:rPr>
          <w:rFonts w:hint="default" w:ascii="Times New Roman" w:hAnsi="Times New Roman" w:eastAsia="仿宋_GB2312" w:cs="Times New Roman"/>
          <w:color w:val="auto"/>
          <w:sz w:val="26"/>
          <w:szCs w:val="26"/>
          <w:highlight w:val="none"/>
        </w:rPr>
        <w:t>，不包括本数。</w:t>
      </w:r>
    </w:p>
    <w:p>
      <w:pPr>
        <w:pStyle w:val="16"/>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lang w:val="en-US" w:eastAsia="zh-CN"/>
        </w:rPr>
      </w:pPr>
      <w:r>
        <w:rPr>
          <w:rFonts w:hint="default" w:ascii="Times New Roman" w:hAnsi="Times New Roman" w:eastAsia="仿宋_GB2312" w:cs="Times New Roman"/>
          <w:color w:val="auto"/>
          <w:sz w:val="26"/>
          <w:szCs w:val="26"/>
          <w:highlight w:val="none"/>
          <w:lang w:val="en-US" w:eastAsia="zh-CN"/>
        </w:rPr>
        <w:t>十二、各市交通运输主管部门应组织好《</w:t>
      </w:r>
      <w:r>
        <w:rPr>
          <w:rFonts w:hint="eastAsia" w:ascii="Times New Roman" w:hAnsi="Times New Roman" w:eastAsia="仿宋_GB2312" w:cs="Times New Roman"/>
          <w:color w:val="auto"/>
          <w:sz w:val="26"/>
          <w:szCs w:val="26"/>
          <w:highlight w:val="none"/>
          <w:lang w:val="en-US" w:eastAsia="zh-CN"/>
        </w:rPr>
        <w:t>标准设备材料采购招标文件</w:t>
      </w:r>
      <w:r>
        <w:rPr>
          <w:rFonts w:hint="default" w:ascii="Times New Roman" w:hAnsi="Times New Roman" w:eastAsia="仿宋_GB2312" w:cs="Times New Roman"/>
          <w:color w:val="auto"/>
          <w:sz w:val="26"/>
          <w:szCs w:val="26"/>
          <w:highlight w:val="none"/>
          <w:lang w:val="en-US" w:eastAsia="zh-CN"/>
        </w:rPr>
        <w:t>》的贯彻落实，督促各市场主体严格执行《</w:t>
      </w:r>
      <w:r>
        <w:rPr>
          <w:rFonts w:hint="eastAsia" w:ascii="Times New Roman" w:hAnsi="Times New Roman" w:eastAsia="仿宋_GB2312" w:cs="Times New Roman"/>
          <w:color w:val="auto"/>
          <w:sz w:val="26"/>
          <w:szCs w:val="26"/>
          <w:highlight w:val="none"/>
          <w:lang w:val="en-US" w:eastAsia="zh-CN"/>
        </w:rPr>
        <w:t>标准设备材料采购招标文件</w:t>
      </w:r>
      <w:r>
        <w:rPr>
          <w:rFonts w:hint="default" w:ascii="Times New Roman" w:hAnsi="Times New Roman" w:eastAsia="仿宋_GB2312" w:cs="Times New Roman"/>
          <w:color w:val="auto"/>
          <w:sz w:val="26"/>
          <w:szCs w:val="26"/>
          <w:highlight w:val="none"/>
          <w:lang w:val="en-US" w:eastAsia="zh-CN"/>
        </w:rPr>
        <w:t>》，规范我省公路建设招投标市场秩序。</w:t>
      </w:r>
    </w:p>
    <w:p>
      <w:pPr>
        <w:pStyle w:val="16"/>
        <w:pageBreakBefore w:val="0"/>
        <w:kinsoku/>
        <w:wordWrap w:val="0"/>
        <w:overflowPunct/>
        <w:bidi w:val="0"/>
        <w:spacing w:line="440" w:lineRule="atLeast"/>
        <w:ind w:firstLine="520"/>
        <w:rPr>
          <w:rFonts w:hint="default" w:ascii="Times New Roman" w:hAnsi="Times New Roman" w:eastAsia="仿宋_GB2312" w:cs="Times New Roman"/>
          <w:color w:val="auto"/>
          <w:sz w:val="26"/>
          <w:szCs w:val="26"/>
          <w:highlight w:val="none"/>
          <w:lang w:val="en-US" w:eastAsia="zh-CN"/>
        </w:rPr>
      </w:pPr>
      <w:r>
        <w:rPr>
          <w:rFonts w:hint="default" w:ascii="Times New Roman" w:hAnsi="Times New Roman" w:eastAsia="仿宋_GB2312" w:cs="Times New Roman"/>
          <w:color w:val="auto"/>
          <w:sz w:val="26"/>
          <w:szCs w:val="26"/>
          <w:highlight w:val="none"/>
          <w:lang w:val="en-US" w:eastAsia="zh-CN"/>
        </w:rPr>
        <w:t>十三、</w:t>
      </w:r>
      <w:r>
        <w:rPr>
          <w:rFonts w:hint="default" w:ascii="Times New Roman" w:hAnsi="Times New Roman" w:eastAsia="仿宋_GB2312" w:cs="Times New Roman"/>
          <w:color w:val="auto"/>
          <w:sz w:val="26"/>
          <w:szCs w:val="26"/>
          <w:highlight w:val="none"/>
        </w:rPr>
        <w:t>《</w:t>
      </w:r>
      <w:r>
        <w:rPr>
          <w:rFonts w:hint="eastAsia" w:ascii="Times New Roman" w:hAnsi="Times New Roman" w:eastAsia="仿宋_GB2312" w:cs="Times New Roman"/>
          <w:color w:val="auto"/>
          <w:sz w:val="26"/>
          <w:szCs w:val="26"/>
          <w:highlight w:val="none"/>
          <w:lang w:val="en-US" w:eastAsia="zh-CN"/>
        </w:rPr>
        <w:t>标准设备材料采购招标文件</w:t>
      </w:r>
      <w:r>
        <w:rPr>
          <w:rFonts w:hint="default" w:ascii="Times New Roman" w:hAnsi="Times New Roman" w:eastAsia="仿宋_GB2312" w:cs="Times New Roman"/>
          <w:color w:val="auto"/>
          <w:sz w:val="26"/>
          <w:szCs w:val="26"/>
          <w:highlight w:val="none"/>
        </w:rPr>
        <w:t>》</w:t>
      </w:r>
      <w:r>
        <w:rPr>
          <w:rFonts w:hint="default" w:ascii="Times New Roman" w:hAnsi="Times New Roman" w:eastAsia="仿宋_GB2312" w:cs="Times New Roman"/>
          <w:color w:val="auto"/>
          <w:sz w:val="26"/>
          <w:szCs w:val="26"/>
          <w:highlight w:val="none"/>
          <w:lang w:val="en-US" w:eastAsia="zh-CN"/>
        </w:rPr>
        <w:t>自2025年10月1日起</w:t>
      </w:r>
      <w:r>
        <w:rPr>
          <w:rFonts w:hint="eastAsia" w:ascii="Times New Roman" w:hAnsi="Times New Roman" w:eastAsia="仿宋_GB2312" w:cs="Times New Roman"/>
          <w:color w:val="auto"/>
          <w:sz w:val="26"/>
          <w:szCs w:val="26"/>
          <w:highlight w:val="none"/>
          <w:lang w:val="en-US" w:eastAsia="zh-CN"/>
        </w:rPr>
        <w:t>施行</w:t>
      </w:r>
      <w:r>
        <w:rPr>
          <w:rFonts w:hint="default" w:ascii="Times New Roman" w:hAnsi="Times New Roman" w:eastAsia="仿宋_GB2312" w:cs="Times New Roman"/>
          <w:color w:val="auto"/>
          <w:sz w:val="26"/>
          <w:szCs w:val="26"/>
          <w:highlight w:val="none"/>
          <w:lang w:val="en-US" w:eastAsia="zh-CN"/>
        </w:rPr>
        <w:t>，电子文本可在我厅门户网站（jtt.ln.gov.cn）</w:t>
      </w:r>
      <w:r>
        <w:rPr>
          <w:rFonts w:hint="eastAsia" w:ascii="宋体" w:hAnsi="宋体" w:eastAsia="宋体" w:cs="宋体"/>
          <w:color w:val="auto"/>
          <w:sz w:val="26"/>
          <w:szCs w:val="26"/>
          <w:highlight w:val="none"/>
          <w:lang w:val="en-US" w:eastAsia="zh-CN"/>
        </w:rPr>
        <w:t>“</w:t>
      </w:r>
      <w:r>
        <w:rPr>
          <w:rFonts w:hint="default" w:ascii="Times New Roman" w:hAnsi="Times New Roman" w:eastAsia="仿宋_GB2312" w:cs="Times New Roman"/>
          <w:color w:val="auto"/>
          <w:sz w:val="26"/>
          <w:szCs w:val="26"/>
          <w:highlight w:val="none"/>
          <w:lang w:val="en-US" w:eastAsia="zh-CN"/>
        </w:rPr>
        <w:t>下载服务</w:t>
      </w:r>
      <w:r>
        <w:rPr>
          <w:rFonts w:hint="eastAsia" w:ascii="宋体" w:hAnsi="宋体" w:eastAsia="宋体" w:cs="宋体"/>
          <w:color w:val="auto"/>
          <w:sz w:val="26"/>
          <w:szCs w:val="26"/>
          <w:highlight w:val="none"/>
          <w:lang w:val="en-US" w:eastAsia="zh-CN"/>
        </w:rPr>
        <w:t>”</w:t>
      </w:r>
      <w:r>
        <w:rPr>
          <w:rFonts w:hint="default" w:ascii="Times New Roman" w:hAnsi="Times New Roman" w:eastAsia="仿宋_GB2312" w:cs="Times New Roman"/>
          <w:color w:val="auto"/>
          <w:sz w:val="26"/>
          <w:szCs w:val="26"/>
          <w:highlight w:val="none"/>
          <w:lang w:val="en-US" w:eastAsia="zh-CN"/>
        </w:rPr>
        <w:t>下载。我厅会根据政策变化情况对《</w:t>
      </w:r>
      <w:r>
        <w:rPr>
          <w:rFonts w:hint="eastAsia" w:ascii="Times New Roman" w:hAnsi="Times New Roman" w:eastAsia="仿宋_GB2312" w:cs="Times New Roman"/>
          <w:color w:val="auto"/>
          <w:sz w:val="26"/>
          <w:szCs w:val="26"/>
          <w:highlight w:val="none"/>
          <w:lang w:val="en-US" w:eastAsia="zh-CN"/>
        </w:rPr>
        <w:t>标准设备材料采购招标文件</w:t>
      </w:r>
      <w:r>
        <w:rPr>
          <w:rFonts w:hint="default" w:ascii="Times New Roman" w:hAnsi="Times New Roman" w:eastAsia="仿宋_GB2312" w:cs="Times New Roman"/>
          <w:color w:val="auto"/>
          <w:sz w:val="26"/>
          <w:szCs w:val="26"/>
          <w:highlight w:val="none"/>
          <w:lang w:val="en-US" w:eastAsia="zh-CN"/>
        </w:rPr>
        <w:t>》进行动态调整，调整后将及时在我厅门户网站公开。</w:t>
      </w:r>
    </w:p>
    <w:p>
      <w:pPr>
        <w:pStyle w:val="16"/>
        <w:wordWrap w:val="0"/>
        <w:spacing w:line="440" w:lineRule="atLeast"/>
        <w:ind w:firstLineChars="200"/>
        <w:rPr>
          <w:rFonts w:ascii="Times New Roman" w:hAnsi="Times New Roman" w:eastAsia="仿宋_GB2312" w:cs="Times New Roman"/>
          <w:color w:val="auto"/>
          <w:sz w:val="26"/>
          <w:szCs w:val="26"/>
          <w:highlight w:val="none"/>
        </w:rPr>
      </w:pPr>
      <w:r>
        <w:rPr>
          <w:rFonts w:hint="default" w:ascii="Times New Roman" w:hAnsi="Times New Roman" w:eastAsia="仿宋_GB2312" w:cs="Times New Roman"/>
          <w:color w:val="auto"/>
          <w:sz w:val="26"/>
          <w:szCs w:val="26"/>
          <w:highlight w:val="none"/>
          <w:lang w:val="en-US" w:eastAsia="zh-CN"/>
        </w:rPr>
        <w:t>十四、各使用单位或个人对《</w:t>
      </w:r>
      <w:r>
        <w:rPr>
          <w:rFonts w:hint="eastAsia" w:ascii="Times New Roman" w:hAnsi="Times New Roman" w:eastAsia="仿宋_GB2312" w:cs="Times New Roman"/>
          <w:color w:val="auto"/>
          <w:sz w:val="26"/>
          <w:szCs w:val="26"/>
          <w:highlight w:val="none"/>
          <w:lang w:val="en-US" w:eastAsia="zh-CN"/>
        </w:rPr>
        <w:t>标准设备材料采购招标文件</w:t>
      </w:r>
      <w:r>
        <w:rPr>
          <w:rFonts w:hint="default" w:ascii="Times New Roman" w:hAnsi="Times New Roman" w:eastAsia="仿宋_GB2312" w:cs="Times New Roman"/>
          <w:color w:val="auto"/>
          <w:sz w:val="26"/>
          <w:szCs w:val="26"/>
          <w:highlight w:val="none"/>
          <w:lang w:val="en-US" w:eastAsia="zh-CN"/>
        </w:rPr>
        <w:t>》的修改意见和建议，请及时反馈省交通运输厅（地址：辽宁省沈阳市和平区十三纬路十九号，电话：024-31230880）。</w:t>
      </w:r>
    </w:p>
    <w:p>
      <w:pPr>
        <w:pStyle w:val="16"/>
        <w:pageBreakBefore w:val="0"/>
        <w:kinsoku/>
        <w:wordWrap w:val="0"/>
        <w:bidi w:val="0"/>
        <w:spacing w:line="440" w:lineRule="atLeast"/>
        <w:ind w:firstLine="520"/>
        <w:rPr>
          <w:rFonts w:hint="default" w:ascii="Times New Roman" w:hAnsi="Times New Roman" w:eastAsia="仿宋_GB2312" w:cs="Times New Roman"/>
          <w:color w:val="auto"/>
          <w:sz w:val="26"/>
          <w:szCs w:val="26"/>
          <w:highlight w:val="none"/>
        </w:rPr>
      </w:pPr>
    </w:p>
    <w:p>
      <w:pPr>
        <w:pageBreakBefore w:val="0"/>
        <w:kinsoku/>
        <w:wordWrap w:val="0"/>
        <w:bidi w:val="0"/>
        <w:spacing w:line="500" w:lineRule="exact"/>
        <w:ind w:firstLine="520" w:firstLineChars="200"/>
        <w:rPr>
          <w:rFonts w:hint="default" w:ascii="Times New Roman" w:hAnsi="Times New Roman" w:eastAsia="仿宋_GB2312" w:cs="Times New Roman"/>
          <w:color w:val="auto"/>
          <w:sz w:val="26"/>
          <w:szCs w:val="26"/>
          <w:highlight w:val="none"/>
        </w:rPr>
        <w:sectPr>
          <w:headerReference r:id="rId5" w:type="default"/>
          <w:footnotePr>
            <w:numFmt w:val="decimalEnclosedCircleChinese"/>
            <w:numRestart w:val="eachPage"/>
          </w:footnotePr>
          <w:type w:val="continuous"/>
          <w:pgSz w:w="11906" w:h="16838"/>
          <w:pgMar w:top="1417" w:right="1417" w:bottom="1417" w:left="1417" w:header="794" w:footer="720" w:gutter="0"/>
          <w:pgNumType w:start="1"/>
          <w:cols w:space="720" w:num="1"/>
          <w:docGrid w:linePitch="285" w:charSpace="0"/>
        </w:sectPr>
      </w:pPr>
    </w:p>
    <w:p>
      <w:pPr>
        <w:pageBreakBefore w:val="0"/>
        <w:kinsoku/>
        <w:wordWrap w:val="0"/>
        <w:bidi w:val="0"/>
        <w:spacing w:line="400" w:lineRule="exact"/>
        <w:rPr>
          <w:rFonts w:hint="default" w:ascii="Times New Roman" w:hAnsi="Times New Roman" w:eastAsia="黑体" w:cs="Times New Roman"/>
          <w:b w:val="0"/>
          <w:bCs w:val="0"/>
          <w:color w:val="auto"/>
          <w:highlight w:val="none"/>
        </w:rPr>
      </w:pPr>
    </w:p>
    <w:p>
      <w:pPr>
        <w:pStyle w:val="9"/>
        <w:keepNext w:val="0"/>
        <w:keepLines w:val="0"/>
        <w:pageBreakBefore w:val="0"/>
        <w:widowControl w:val="0"/>
        <w:kinsoku/>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黑体" w:cs="Times New Roman"/>
          <w:color w:val="auto"/>
          <w:sz w:val="31"/>
          <w:szCs w:val="31"/>
          <w:highlight w:val="none"/>
        </w:rPr>
      </w:pPr>
      <w:r>
        <w:rPr>
          <w:rFonts w:hint="default" w:ascii="Times New Roman" w:hAnsi="Times New Roman" w:eastAsia="黑体" w:cs="Times New Roman"/>
          <w:color w:val="auto"/>
          <w:sz w:val="31"/>
          <w:szCs w:val="31"/>
          <w:highlight w:val="none"/>
          <w:u w:val="none"/>
          <w:lang w:val="en-US" w:eastAsia="zh-CN"/>
        </w:rPr>
        <w:t>辽宁</w:t>
      </w:r>
      <w:r>
        <w:rPr>
          <w:rFonts w:hint="default" w:ascii="Times New Roman" w:hAnsi="Times New Roman" w:eastAsia="黑体" w:cs="Times New Roman"/>
          <w:color w:val="auto"/>
          <w:sz w:val="31"/>
          <w:szCs w:val="31"/>
          <w:highlight w:val="none"/>
        </w:rPr>
        <w:t>省</w:t>
      </w:r>
    </w:p>
    <w:p>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default" w:ascii="Times New Roman" w:hAnsi="Times New Roman" w:eastAsia="黑体" w:cs="Times New Roman"/>
          <w:b w:val="0"/>
          <w:bCs w:val="0"/>
          <w:color w:val="auto"/>
          <w:sz w:val="31"/>
          <w:szCs w:val="31"/>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u w:val="single"/>
          <w:lang w:val="en-US" w:eastAsia="zh-CN"/>
        </w:rPr>
        <w:t xml:space="preserve"> </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采购招标</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r>
        <w:rPr>
          <w:rFonts w:hint="default" w:ascii="Times New Roman" w:hAnsi="Times New Roman" w:eastAsia="黑体" w:cs="Times New Roman"/>
          <w:b w:val="0"/>
          <w:bCs w:val="0"/>
          <w:color w:val="auto"/>
          <w:sz w:val="31"/>
          <w:szCs w:val="31"/>
          <w:highlight w:val="none"/>
        </w:rPr>
        <w:t>（</w:t>
      </w:r>
      <w:r>
        <w:rPr>
          <w:rFonts w:hint="eastAsia" w:ascii="Times New Roman" w:hAnsi="Times New Roman" w:eastAsia="黑体" w:cs="Times New Roman"/>
          <w:b w:val="0"/>
          <w:bCs w:val="0"/>
          <w:color w:val="auto"/>
          <w:sz w:val="31"/>
          <w:szCs w:val="31"/>
          <w:highlight w:val="none"/>
          <w:lang w:eastAsia="zh-CN"/>
        </w:rPr>
        <w:t>项目编号</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jc w:val="right"/>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sz w:val="28"/>
          <w:szCs w:val="28"/>
          <w:highlight w:val="none"/>
        </w:rPr>
      </w:pPr>
    </w:p>
    <w:p>
      <w:pPr>
        <w:pageBreakBefore w:val="0"/>
        <w:kinsoku/>
        <w:wordWrap w:val="0"/>
        <w:bidi w:val="0"/>
        <w:rPr>
          <w:rFonts w:hint="default" w:ascii="Times New Roman" w:hAnsi="Times New Roman" w:cs="Times New Roman"/>
          <w:color w:val="auto"/>
          <w:sz w:val="28"/>
          <w:szCs w:val="28"/>
          <w:highlight w:val="none"/>
        </w:rPr>
      </w:pPr>
    </w:p>
    <w:p>
      <w:pPr>
        <w:pageBreakBefore w:val="0"/>
        <w:kinsoku/>
        <w:wordWrap w:val="0"/>
        <w:bidi w:val="0"/>
        <w:rPr>
          <w:rFonts w:hint="default" w:ascii="Times New Roman" w:hAnsi="Times New Roman" w:cs="Times New Roman"/>
          <w:color w:val="auto"/>
          <w:sz w:val="28"/>
          <w:szCs w:val="28"/>
          <w:highlight w:val="none"/>
        </w:rPr>
      </w:pPr>
    </w:p>
    <w:p>
      <w:pPr>
        <w:pageBreakBefore w:val="0"/>
        <w:kinsoku/>
        <w:wordWrap w:val="0"/>
        <w:bidi w:val="0"/>
        <w:rPr>
          <w:rFonts w:hint="default" w:ascii="Times New Roman" w:hAnsi="Times New Roman" w:cs="Times New Roman"/>
          <w:color w:val="auto"/>
          <w:sz w:val="28"/>
          <w:szCs w:val="28"/>
          <w:highlight w:val="none"/>
        </w:rPr>
      </w:pPr>
    </w:p>
    <w:p>
      <w:pPr>
        <w:pageBreakBefore w:val="0"/>
        <w:kinsoku/>
        <w:wordWrap w:val="0"/>
        <w:bidi w:val="0"/>
        <w:rPr>
          <w:rFonts w:hint="default" w:ascii="Times New Roman" w:hAnsi="Times New Roman" w:cs="Times New Roman"/>
          <w:color w:val="auto"/>
          <w:sz w:val="28"/>
          <w:szCs w:val="28"/>
          <w:highlight w:val="none"/>
        </w:rPr>
      </w:pPr>
    </w:p>
    <w:p>
      <w:pPr>
        <w:pageBreakBefore w:val="0"/>
        <w:kinsoku/>
        <w:wordWrap w:val="0"/>
        <w:bidi w:val="0"/>
        <w:rPr>
          <w:rFonts w:hint="default" w:ascii="Times New Roman" w:hAnsi="Times New Roman" w:cs="Times New Roman"/>
          <w:color w:val="auto"/>
          <w:sz w:val="28"/>
          <w:szCs w:val="28"/>
          <w:highlight w:val="none"/>
        </w:rPr>
      </w:pPr>
    </w:p>
    <w:p>
      <w:pPr>
        <w:pageBreakBefore w:val="0"/>
        <w:kinsoku/>
        <w:wordWrap w:val="0"/>
        <w:bidi w:val="0"/>
        <w:rPr>
          <w:rFonts w:hint="default" w:ascii="Times New Roman" w:hAnsi="Times New Roman" w:cs="Times New Roman"/>
          <w:color w:val="auto"/>
          <w:sz w:val="28"/>
          <w:szCs w:val="28"/>
          <w:highlight w:val="none"/>
        </w:rPr>
      </w:pPr>
    </w:p>
    <w:p>
      <w:pPr>
        <w:pageBreakBefore w:val="0"/>
        <w:kinsoku/>
        <w:wordWrap w:val="0"/>
        <w:bidi w:val="0"/>
        <w:rPr>
          <w:rFonts w:hint="default" w:ascii="Times New Roman" w:hAnsi="Times New Roman" w:cs="Times New Roman"/>
          <w:color w:val="auto"/>
          <w:sz w:val="28"/>
          <w:szCs w:val="28"/>
          <w:highlight w:val="none"/>
        </w:rPr>
      </w:pPr>
    </w:p>
    <w:p>
      <w:pPr>
        <w:pageBreakBefore w:val="0"/>
        <w:kinsoku/>
        <w:wordWrap w:val="0"/>
        <w:bidi w:val="0"/>
        <w:rPr>
          <w:rFonts w:hint="default" w:ascii="Times New Roman" w:hAnsi="Times New Roman" w:cs="Times New Roman"/>
          <w:color w:val="auto"/>
          <w:sz w:val="28"/>
          <w:highlight w:val="none"/>
        </w:rPr>
      </w:pPr>
    </w:p>
    <w:p>
      <w:pPr>
        <w:pageBreakBefore w:val="0"/>
        <w:kinsoku/>
        <w:wordWrap w:val="0"/>
        <w:bidi w:val="0"/>
        <w:jc w:val="center"/>
        <w:rPr>
          <w:rFonts w:hint="default" w:ascii="Times New Roman" w:hAnsi="Times New Roman" w:eastAsia="黑体" w:cs="Times New Roman"/>
          <w:color w:val="auto"/>
          <w:sz w:val="44"/>
          <w:highlight w:val="none"/>
        </w:rPr>
      </w:pPr>
      <w:r>
        <w:rPr>
          <w:rFonts w:hint="default" w:ascii="Times New Roman" w:hAnsi="Times New Roman" w:eastAsia="黑体" w:cs="Times New Roman"/>
          <w:color w:val="auto"/>
          <w:sz w:val="44"/>
          <w:highlight w:val="none"/>
        </w:rPr>
        <w:t>招</w:t>
      </w:r>
      <w:r>
        <w:rPr>
          <w:rFonts w:hint="default" w:ascii="Times New Roman" w:hAnsi="Times New Roman" w:eastAsia="黑体" w:cs="Times New Roman"/>
          <w:color w:val="auto"/>
          <w:sz w:val="44"/>
          <w:highlight w:val="none"/>
          <w:lang w:val="en-US" w:eastAsia="zh-CN"/>
        </w:rPr>
        <w:t xml:space="preserve"> </w:t>
      </w:r>
      <w:r>
        <w:rPr>
          <w:rFonts w:hint="default" w:ascii="Times New Roman" w:hAnsi="Times New Roman" w:eastAsia="黑体" w:cs="Times New Roman"/>
          <w:color w:val="auto"/>
          <w:sz w:val="44"/>
          <w:highlight w:val="none"/>
        </w:rPr>
        <w:t>标</w:t>
      </w:r>
      <w:r>
        <w:rPr>
          <w:rFonts w:hint="default" w:ascii="Times New Roman" w:hAnsi="Times New Roman" w:eastAsia="黑体" w:cs="Times New Roman"/>
          <w:color w:val="auto"/>
          <w:sz w:val="44"/>
          <w:highlight w:val="none"/>
          <w:lang w:val="en-US" w:eastAsia="zh-CN"/>
        </w:rPr>
        <w:t xml:space="preserve"> </w:t>
      </w:r>
      <w:r>
        <w:rPr>
          <w:rFonts w:hint="default" w:ascii="Times New Roman" w:hAnsi="Times New Roman" w:eastAsia="黑体" w:cs="Times New Roman"/>
          <w:color w:val="auto"/>
          <w:sz w:val="44"/>
          <w:highlight w:val="none"/>
        </w:rPr>
        <w:t>文</w:t>
      </w:r>
      <w:r>
        <w:rPr>
          <w:rFonts w:hint="default" w:ascii="Times New Roman" w:hAnsi="Times New Roman" w:eastAsia="黑体" w:cs="Times New Roman"/>
          <w:color w:val="auto"/>
          <w:sz w:val="44"/>
          <w:highlight w:val="none"/>
          <w:lang w:val="en-US" w:eastAsia="zh-CN"/>
        </w:rPr>
        <w:t xml:space="preserve"> </w:t>
      </w:r>
      <w:r>
        <w:rPr>
          <w:rFonts w:hint="default" w:ascii="Times New Roman" w:hAnsi="Times New Roman" w:eastAsia="黑体" w:cs="Times New Roman"/>
          <w:color w:val="auto"/>
          <w:sz w:val="44"/>
          <w:highlight w:val="none"/>
        </w:rPr>
        <w:t>件</w:t>
      </w: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pageBreakBefore w:val="0"/>
        <w:kinsoku/>
        <w:wordWrap w:val="0"/>
        <w:bidi w:val="0"/>
        <w:spacing w:line="400" w:lineRule="exact"/>
        <w:rPr>
          <w:rFonts w:hint="default" w:ascii="Times New Roman" w:hAnsi="Times New Roman" w:cs="Times New Roman"/>
          <w:color w:val="auto"/>
          <w:highlight w:val="none"/>
        </w:rPr>
      </w:pP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招标人：</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cs="Times New Roman"/>
          <w:color w:val="auto"/>
          <w:sz w:val="28"/>
          <w:szCs w:val="28"/>
          <w:highlight w:val="none"/>
        </w:rPr>
      </w:pPr>
      <w:r>
        <w:rPr>
          <w:rFonts w:hint="default" w:ascii="Times New Roman" w:hAnsi="Times New Roman" w:eastAsia="黑体" w:cs="Times New Roman"/>
          <w:color w:val="auto"/>
          <w:sz w:val="28"/>
          <w:szCs w:val="28"/>
          <w:highlight w:val="none"/>
        </w:rPr>
        <w:t>招标代理机构：</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w:t>
      </w:r>
      <w:r>
        <w:rPr>
          <w:rFonts w:hint="default" w:ascii="Times New Roman" w:hAnsi="Times New Roman" w:eastAsia="黑体" w:cs="Times New Roman"/>
          <w:color w:val="auto"/>
          <w:sz w:val="28"/>
          <w:szCs w:val="28"/>
          <w:highlight w:val="none"/>
          <w:lang w:eastAsia="zh-CN"/>
        </w:rPr>
        <w:t>盖单位电子印章</w:t>
      </w:r>
      <w:r>
        <w:rPr>
          <w:rFonts w:hint="default" w:ascii="Times New Roman" w:hAnsi="Times New Roman" w:eastAsia="黑体" w:cs="Times New Roman"/>
          <w:color w:val="auto"/>
          <w:sz w:val="28"/>
          <w:szCs w:val="28"/>
          <w:highlight w:val="none"/>
        </w:rPr>
        <w:t>）</w:t>
      </w:r>
    </w:p>
    <w:p>
      <w:pPr>
        <w:keepNext/>
        <w:keepLines/>
        <w:pageBreakBefore w:val="0"/>
        <w:widowControl w:val="0"/>
        <w:kinsoku/>
        <w:wordWrap/>
        <w:overflowPunct/>
        <w:topLinePunct w:val="0"/>
        <w:autoSpaceDE/>
        <w:autoSpaceDN/>
        <w:bidi w:val="0"/>
        <w:adjustRightInd/>
        <w:snapToGrid/>
        <w:spacing w:before="200" w:after="200" w:line="240" w:lineRule="auto"/>
        <w:ind w:left="0" w:leftChars="0" w:firstLine="0" w:firstLineChars="0"/>
        <w:jc w:val="center"/>
        <w:textAlignment w:val="auto"/>
        <w:outlineLvl w:val="9"/>
        <w:rPr>
          <w:rFonts w:hint="default" w:ascii="Times New Roman" w:hAnsi="Times New Roman" w:eastAsia="黑体" w:cs="Times New Roman"/>
          <w:color w:val="auto"/>
          <w:sz w:val="28"/>
          <w:szCs w:val="28"/>
          <w:highlight w:val="none"/>
        </w:rPr>
        <w:sectPr>
          <w:footnotePr>
            <w:numFmt w:val="decimalEnclosedCircleChinese"/>
            <w:numRestart w:val="eachPage"/>
          </w:footnotePr>
          <w:pgSz w:w="11906" w:h="16838"/>
          <w:pgMar w:top="1417" w:right="1417" w:bottom="1417" w:left="1417" w:header="720" w:footer="720" w:gutter="0"/>
          <w:pgNumType w:start="1"/>
          <w:cols w:space="720" w:num="1"/>
          <w:docGrid w:linePitch="285" w:charSpace="0"/>
        </w:sectPr>
      </w:pP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年</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月</w:t>
      </w:r>
      <w:r>
        <w:rPr>
          <w:rFonts w:hint="default" w:ascii="Times New Roman" w:hAnsi="Times New Roman" w:eastAsia="黑体" w:cs="Times New Roman"/>
          <w:color w:val="auto"/>
          <w:sz w:val="28"/>
          <w:szCs w:val="28"/>
          <w:highlight w:val="none"/>
          <w:u w:val="single"/>
        </w:rPr>
        <w:t xml:space="preserve">       </w:t>
      </w:r>
      <w:r>
        <w:rPr>
          <w:rFonts w:hint="default" w:ascii="Times New Roman" w:hAnsi="Times New Roman" w:eastAsia="黑体" w:cs="Times New Roman"/>
          <w:color w:val="auto"/>
          <w:sz w:val="28"/>
          <w:szCs w:val="28"/>
          <w:highlight w:val="none"/>
        </w:rPr>
        <w:t>日</w:t>
      </w:r>
      <w:bookmarkStart w:id="5" w:name="_Toc31431"/>
      <w:bookmarkStart w:id="6" w:name="_Toc144974479"/>
      <w:bookmarkStart w:id="7" w:name="_Toc152042287"/>
      <w:bookmarkStart w:id="8" w:name="_Toc152045511"/>
    </w:p>
    <w:p>
      <w:pPr>
        <w:keepNext/>
        <w:keepLines/>
        <w:pageBreakBefore w:val="0"/>
        <w:widowControl w:val="0"/>
        <w:kinsoku/>
        <w:wordWrap/>
        <w:overflowPunct/>
        <w:topLinePunct w:val="0"/>
        <w:autoSpaceDE/>
        <w:autoSpaceDN/>
        <w:bidi w:val="0"/>
        <w:adjustRightInd/>
        <w:snapToGrid/>
        <w:spacing w:before="200" w:after="200" w:line="240" w:lineRule="auto"/>
        <w:ind w:left="0" w:leftChars="0" w:firstLine="0" w:firstLineChars="0"/>
        <w:jc w:val="center"/>
        <w:textAlignment w:val="auto"/>
        <w:outlineLvl w:val="9"/>
        <w:rPr>
          <w:rFonts w:hint="default" w:ascii="Times New Roman" w:hAnsi="Times New Roman" w:eastAsia="宋体" w:cs="Times New Roman"/>
          <w:b/>
          <w:color w:val="auto"/>
          <w:highlight w:val="none"/>
        </w:rPr>
      </w:pPr>
      <w:bookmarkStart w:id="9" w:name="_Toc6988"/>
      <w:r>
        <w:rPr>
          <w:rFonts w:hint="eastAsia" w:ascii="黑体" w:hAnsi="黑体" w:eastAsia="黑体" w:cs="黑体"/>
          <w:b/>
          <w:color w:val="auto"/>
          <w:sz w:val="32"/>
          <w:szCs w:val="15"/>
          <w:highlight w:val="none"/>
          <w:lang w:val="zh-CN"/>
        </w:rPr>
        <w:t xml:space="preserve">目  </w:t>
      </w:r>
      <w:r>
        <w:rPr>
          <w:rFonts w:hint="eastAsia" w:ascii="黑体" w:hAnsi="黑体" w:eastAsia="黑体" w:cs="黑体"/>
          <w:b/>
          <w:color w:val="auto"/>
          <w:sz w:val="32"/>
          <w:szCs w:val="15"/>
          <w:highlight w:val="none"/>
          <w:lang w:val="en-US" w:eastAsia="zh-CN"/>
        </w:rPr>
        <w:t xml:space="preserve">  </w:t>
      </w:r>
      <w:r>
        <w:rPr>
          <w:rFonts w:hint="eastAsia" w:ascii="黑体" w:hAnsi="黑体" w:eastAsia="黑体" w:cs="黑体"/>
          <w:b/>
          <w:color w:val="auto"/>
          <w:sz w:val="32"/>
          <w:szCs w:val="15"/>
          <w:highlight w:val="none"/>
          <w:lang w:val="zh-CN"/>
        </w:rPr>
        <w:t>录</w:t>
      </w:r>
      <w:bookmarkEnd w:id="5"/>
      <w:bookmarkEnd w:id="9"/>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cs="Times New Roman"/>
          <w:color w:val="auto"/>
          <w:highlight w:val="none"/>
        </w:rPr>
      </w:pP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eastAsia="黑体" w:cs="Times New Roman"/>
          <w:color w:val="auto"/>
          <w:sz w:val="30"/>
          <w:szCs w:val="30"/>
          <w:highlight w:val="none"/>
        </w:rPr>
      </w:pP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TOC \o "1-3" \h \z \u </w:instrText>
      </w:r>
      <w:r>
        <w:rPr>
          <w:rFonts w:hint="default" w:ascii="Times New Roman" w:hAnsi="Times New Roman" w:cs="Times New Roman"/>
          <w:color w:val="auto"/>
          <w:highlight w:val="none"/>
        </w:rPr>
        <w:fldChar w:fldCharType="separate"/>
      </w:r>
      <w:r>
        <w:rPr>
          <w:rFonts w:hint="default" w:ascii="Times New Roman" w:hAnsi="Times New Roman" w:eastAsia="黑体" w:cs="Times New Roman"/>
          <w:color w:val="auto"/>
          <w:sz w:val="30"/>
          <w:szCs w:val="30"/>
          <w:highlight w:val="none"/>
        </w:rPr>
        <w:fldChar w:fldCharType="begin"/>
      </w:r>
      <w:r>
        <w:rPr>
          <w:rFonts w:hint="default" w:ascii="Times New Roman" w:hAnsi="Times New Roman" w:eastAsia="黑体" w:cs="Times New Roman"/>
          <w:color w:val="auto"/>
          <w:sz w:val="30"/>
          <w:szCs w:val="30"/>
          <w:highlight w:val="none"/>
        </w:rPr>
        <w:instrText xml:space="preserve"> HYPERLINK \l _Toc17086 </w:instrText>
      </w:r>
      <w:r>
        <w:rPr>
          <w:rFonts w:hint="default" w:ascii="Times New Roman" w:hAnsi="Times New Roman" w:eastAsia="黑体" w:cs="Times New Roman"/>
          <w:color w:val="auto"/>
          <w:sz w:val="30"/>
          <w:szCs w:val="30"/>
          <w:highlight w:val="none"/>
        </w:rPr>
        <w:fldChar w:fldCharType="separate"/>
      </w:r>
      <w:r>
        <w:rPr>
          <w:rFonts w:hint="default" w:ascii="Times New Roman" w:hAnsi="Times New Roman" w:eastAsia="黑体" w:cs="Times New Roman"/>
          <w:color w:val="auto"/>
          <w:kern w:val="2"/>
          <w:sz w:val="30"/>
          <w:szCs w:val="30"/>
          <w:highlight w:val="none"/>
          <w:lang w:val="en-US" w:eastAsia="zh-CN" w:bidi="ar-SA"/>
        </w:rPr>
        <w:t>第</w:t>
      </w:r>
      <w:r>
        <w:rPr>
          <w:rFonts w:hint="eastAsia" w:ascii="Times New Roman" w:hAnsi="Times New Roman" w:eastAsia="黑体" w:cs="Times New Roman"/>
          <w:color w:val="auto"/>
          <w:kern w:val="2"/>
          <w:sz w:val="30"/>
          <w:szCs w:val="30"/>
          <w:highlight w:val="none"/>
          <w:lang w:val="en-US" w:eastAsia="zh-CN" w:bidi="ar-SA"/>
        </w:rPr>
        <w:t xml:space="preserve"> </w:t>
      </w:r>
      <w:r>
        <w:rPr>
          <w:rFonts w:hint="default" w:ascii="Times New Roman" w:hAnsi="Times New Roman" w:eastAsia="黑体" w:cs="Times New Roman"/>
          <w:color w:val="auto"/>
          <w:kern w:val="2"/>
          <w:sz w:val="30"/>
          <w:szCs w:val="30"/>
          <w:highlight w:val="none"/>
          <w:lang w:val="en-US" w:eastAsia="zh-CN" w:bidi="ar-SA"/>
        </w:rPr>
        <w:t>一</w:t>
      </w:r>
      <w:r>
        <w:rPr>
          <w:rFonts w:hint="eastAsia" w:ascii="Times New Roman" w:hAnsi="Times New Roman" w:eastAsia="黑体" w:cs="Times New Roman"/>
          <w:color w:val="auto"/>
          <w:kern w:val="2"/>
          <w:sz w:val="30"/>
          <w:szCs w:val="30"/>
          <w:highlight w:val="none"/>
          <w:lang w:val="en-US" w:eastAsia="zh-CN" w:bidi="ar-SA"/>
        </w:rPr>
        <w:t xml:space="preserve"> </w:t>
      </w:r>
      <w:r>
        <w:rPr>
          <w:rFonts w:hint="default" w:ascii="Times New Roman" w:hAnsi="Times New Roman" w:eastAsia="黑体" w:cs="Times New Roman"/>
          <w:color w:val="auto"/>
          <w:kern w:val="2"/>
          <w:sz w:val="30"/>
          <w:szCs w:val="30"/>
          <w:highlight w:val="none"/>
          <w:lang w:val="en-US" w:eastAsia="zh-CN" w:bidi="ar-SA"/>
        </w:rPr>
        <w:t>卷</w:t>
      </w:r>
      <w:r>
        <w:rPr>
          <w:rFonts w:hint="default" w:ascii="Times New Roman" w:hAnsi="Times New Roman" w:eastAsia="黑体" w:cs="Times New Roman"/>
          <w:color w:val="auto"/>
          <w:sz w:val="30"/>
          <w:szCs w:val="30"/>
          <w:highlight w:val="none"/>
        </w:rPr>
        <w:fldChar w:fldCharType="end"/>
      </w:r>
    </w:p>
    <w:p>
      <w:pPr>
        <w:rPr>
          <w:rFonts w:hint="default"/>
          <w:color w:val="auto"/>
          <w:highlight w:val="none"/>
        </w:rPr>
      </w:pP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_Toc10806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eastAsia="黑体" w:cs="Times New Roman"/>
          <w:color w:val="auto"/>
          <w:sz w:val="20"/>
          <w:szCs w:val="20"/>
          <w:highlight w:val="none"/>
        </w:rPr>
        <w:t>第一章  招标公告</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_Toc10806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_Toc9575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 招标条件</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_Toc9575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_Toc22520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 项目概况与招标范围</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_Toc22520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_Toc26889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 投标人资格要求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_Toc26889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_Toc15349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 招标文件的获取</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_Toc15349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_Toc28546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 投标文件的递交</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_Toc28546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_Toc21468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6</w:t>
      </w:r>
      <w:r>
        <w:rPr>
          <w:rFonts w:hint="default" w:ascii="Times New Roman" w:hAnsi="Times New Roman" w:cs="Times New Roman" w:eastAsiaTheme="minorEastAsia"/>
          <w:color w:val="auto"/>
          <w:sz w:val="20"/>
          <w:szCs w:val="20"/>
          <w:highlight w:val="none"/>
        </w:rPr>
        <w:t>. 评标办法</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_Toc21468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_Toc24063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7</w:t>
      </w:r>
      <w:r>
        <w:rPr>
          <w:rFonts w:hint="default" w:ascii="Times New Roman" w:hAnsi="Times New Roman" w:cs="Times New Roman" w:eastAsiaTheme="minorEastAsia"/>
          <w:color w:val="auto"/>
          <w:sz w:val="20"/>
          <w:szCs w:val="20"/>
          <w:highlight w:val="none"/>
        </w:rPr>
        <w:t>. 发布公告的媒介</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_Toc24063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_Toc15729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8</w:t>
      </w:r>
      <w:r>
        <w:rPr>
          <w:rFonts w:hint="default" w:ascii="Times New Roman" w:hAnsi="Times New Roman" w:cs="Times New Roman" w:eastAsiaTheme="minorEastAsia"/>
          <w:color w:val="auto"/>
          <w:sz w:val="20"/>
          <w:szCs w:val="20"/>
          <w:highlight w:val="none"/>
        </w:rPr>
        <w:t>. 联系方式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_Toc15729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_Toc27744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eastAsia="黑体" w:cs="Times New Roman"/>
          <w:color w:val="auto"/>
          <w:sz w:val="20"/>
          <w:szCs w:val="20"/>
          <w:highlight w:val="none"/>
        </w:rPr>
        <w:t>第二章  投标人须知</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_Toc27744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_Toc7314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投标人须知前附表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_Toc7314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_Toc14236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附录1  资格审查条件（资质最低</w:t>
      </w:r>
      <w:r>
        <w:rPr>
          <w:rFonts w:hint="default" w:ascii="Times New Roman" w:hAnsi="Times New Roman" w:cs="Times New Roman" w:eastAsiaTheme="minorEastAsia"/>
          <w:color w:val="auto"/>
          <w:sz w:val="20"/>
          <w:szCs w:val="20"/>
          <w:highlight w:val="none"/>
          <w:lang w:eastAsia="zh-CN"/>
        </w:rPr>
        <w:t>要求</w:t>
      </w:r>
      <w:r>
        <w:rPr>
          <w:rFonts w:hint="default" w:ascii="Times New Roman" w:hAnsi="Times New Roman" w:cs="Times New Roman" w:eastAsiaTheme="minorEastAsia"/>
          <w:color w:val="auto"/>
          <w:sz w:val="20"/>
          <w:szCs w:val="20"/>
          <w:highlight w:val="none"/>
        </w:rPr>
        <w:t>）</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_Toc14236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附录2  资格审查条件（财务最低要求）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_Toc17074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 xml:space="preserve">附录3 </w:t>
      </w:r>
      <w:r>
        <w:rPr>
          <w:rFonts w:hint="default" w:ascii="Times New Roman" w:hAnsi="Times New Roman" w:cs="Times New Roman" w:eastAsiaTheme="minorEastAsia"/>
          <w:color w:val="auto"/>
          <w:sz w:val="20"/>
          <w:szCs w:val="20"/>
          <w:highlight w:val="none"/>
          <w:lang w:eastAsia="zh-CN"/>
        </w:rPr>
        <w:t xml:space="preserve"> </w:t>
      </w:r>
      <w:r>
        <w:rPr>
          <w:rFonts w:hint="default" w:ascii="Times New Roman" w:hAnsi="Times New Roman" w:cs="Times New Roman" w:eastAsiaTheme="minorEastAsia"/>
          <w:color w:val="auto"/>
          <w:sz w:val="20"/>
          <w:szCs w:val="20"/>
          <w:highlight w:val="none"/>
        </w:rPr>
        <w:t>资格审查条件（业绩最低要求）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_Toc17074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_Toc10311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附录4  资格审查条件（信誉最低要求）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_Toc10311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_Toc10938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附录</w:t>
      </w:r>
      <w:r>
        <w:rPr>
          <w:rFonts w:hint="default" w:ascii="Times New Roman" w:hAnsi="Times New Roman" w:cs="Times New Roman" w:eastAsiaTheme="minorEastAsia"/>
          <w:color w:val="auto"/>
          <w:sz w:val="20"/>
          <w:szCs w:val="20"/>
          <w:highlight w:val="none"/>
          <w:lang w:val="en-US" w:eastAsia="zh-CN"/>
        </w:rPr>
        <w:t>5</w:t>
      </w:r>
      <w:r>
        <w:rPr>
          <w:rFonts w:hint="default" w:ascii="Times New Roman" w:hAnsi="Times New Roman" w:cs="Times New Roman" w:eastAsiaTheme="minorEastAsia"/>
          <w:color w:val="auto"/>
          <w:sz w:val="20"/>
          <w:szCs w:val="20"/>
          <w:highlight w:val="none"/>
        </w:rPr>
        <w:t xml:space="preserve">  资格审查条件（</w:t>
      </w:r>
      <w:r>
        <w:rPr>
          <w:rFonts w:hint="default" w:ascii="Times New Roman" w:hAnsi="Times New Roman" w:cs="Times New Roman" w:eastAsiaTheme="minorEastAsia"/>
          <w:color w:val="auto"/>
          <w:sz w:val="20"/>
          <w:szCs w:val="20"/>
          <w:highlight w:val="none"/>
          <w:lang w:val="en-US" w:eastAsia="zh-CN"/>
        </w:rPr>
        <w:t>其他</w:t>
      </w:r>
      <w:r>
        <w:rPr>
          <w:rFonts w:hint="default" w:ascii="Times New Roman" w:hAnsi="Times New Roman" w:cs="Times New Roman" w:eastAsiaTheme="minorEastAsia"/>
          <w:color w:val="auto"/>
          <w:sz w:val="20"/>
          <w:szCs w:val="20"/>
          <w:highlight w:val="none"/>
        </w:rPr>
        <w:t>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_Toc10938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_Toc7550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 总则</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_Toc7550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_Toc23498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 招标项目概况</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_Toc23498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_Toc3655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 招标项目的资金来源和落实情况</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_Toc3655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_Toc23327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1.3招标范围、交货期、交货地点和技术性能指标</w:t>
      </w:r>
      <w:r>
        <w:rPr>
          <w:rFonts w:hint="default" w:ascii="Times New Roman" w:hAnsi="Times New Roman" w:cs="Times New Roman" w:eastAsiaTheme="minorEastAsia"/>
          <w:color w:val="auto"/>
          <w:sz w:val="20"/>
          <w:szCs w:val="20"/>
          <w:highlight w:val="none"/>
          <w:lang w:val="en-US" w:eastAsia="zh-CN"/>
        </w:rPr>
        <w:t>/</w:t>
      </w:r>
      <w:r>
        <w:rPr>
          <w:rFonts w:hint="default" w:ascii="Times New Roman" w:hAnsi="Times New Roman" w:cs="Times New Roman" w:eastAsiaTheme="minorEastAsia"/>
          <w:color w:val="auto"/>
          <w:sz w:val="20"/>
          <w:szCs w:val="20"/>
          <w:highlight w:val="none"/>
        </w:rPr>
        <w:t>质量标准</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_Toc23327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_Toc603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1.4投标人资格要求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_Toc603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_Toc29517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1.5 费用承担</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_Toc29517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_Toc31924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1.6保密</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_Toc31924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_Toc23354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1.7 语言文字</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_Toc23354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_Toc24877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1.8计量单位</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_Toc24877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_Toc30130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1.9投标预备会</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_Toc30130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_Toc25657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1.10 分包</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_Toc25657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_Toc30418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1.11响应和偏差</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_Toc30418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_Toc15659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 招标文件</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_Toc15659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_Toc26019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2.1 招标文件的组成</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_Toc26019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_Toc22501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2.2 招标文件的澄清</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_Toc22501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_Toc25488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2.3 招标文件的修改</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_Toc25488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_Toc26862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2.4 招标文件的异议</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_Toc26862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_Toc12454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 投标文件</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_Toc12454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_Toc7993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3.1 投标文件的组成</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_Toc7993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_Toc23230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3.2 投标报价</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_Toc23230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_Toc18725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3.3 投标有效期</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_Toc18725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_Toc14076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3.4 投标保证金</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_Toc14076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_Toc11903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3.5 资格审查资料</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_Toc11903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3.6 备选投标方案</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_Toc12171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3.7 投标文件的编制</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_Toc12171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_Toc2761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 投标</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_Toc2761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_Toc31070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4.1 投标文件的密封和标记</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_Toc31070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_Toc15134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4.2 投标文件的递交</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_Toc15134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_Toc25110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4.3 投标文件的修改与撤回</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_Toc25110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_Toc10870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 开标</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_Toc10870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_Toc21420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5.1 开标时间和地点</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_Toc21420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_Toc25210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5.2 开标程序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_Toc25210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_Toc8817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5.3 开标</w:t>
      </w:r>
      <w:r>
        <w:rPr>
          <w:rFonts w:hint="default" w:ascii="Times New Roman" w:hAnsi="Times New Roman" w:cs="Times New Roman" w:eastAsiaTheme="minorEastAsia"/>
          <w:color w:val="auto"/>
          <w:sz w:val="20"/>
          <w:szCs w:val="20"/>
          <w:highlight w:val="none"/>
          <w:lang w:val="en-US" w:eastAsia="zh-CN"/>
        </w:rPr>
        <w:t>补救措施</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_Toc8817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_Toc14932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w:t>
      </w:r>
      <w:r>
        <w:rPr>
          <w:rFonts w:hint="default" w:ascii="Times New Roman" w:hAnsi="Times New Roman" w:cs="Times New Roman" w:eastAsiaTheme="minorEastAsia"/>
          <w:color w:val="auto"/>
          <w:sz w:val="20"/>
          <w:szCs w:val="20"/>
          <w:highlight w:val="none"/>
          <w:lang w:val="en-US" w:eastAsia="zh-CN"/>
        </w:rPr>
        <w:t>4</w:t>
      </w:r>
      <w:r>
        <w:rPr>
          <w:rFonts w:hint="default" w:ascii="Times New Roman" w:hAnsi="Times New Roman" w:cs="Times New Roman" w:eastAsiaTheme="minorEastAsia"/>
          <w:color w:val="auto"/>
          <w:sz w:val="20"/>
          <w:szCs w:val="20"/>
          <w:highlight w:val="none"/>
        </w:rPr>
        <w:t xml:space="preserve"> 开标异议</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_Toc14932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_Toc21635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 评标</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_Toc21635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_Toc25827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6.1 评标委员会</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_Toc25827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_Toc18861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6.2 评标原则</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_Toc18861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_Toc386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6.3 评标</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_Toc386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_Toc28567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 合同授予</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_Toc28567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_Toc19470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7.1 中标候选人公示</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_Toc19470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_Toc19508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7.2 评标结果异议</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_Toc19508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_Toc11792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7.3 中标候选人履约能力审查</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_Toc11792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_Toc14534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7.4 定标</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_Toc14534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_Toc16944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7.5 中标通知</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_Toc16944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_Toc14846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w:t>
      </w:r>
      <w:r>
        <w:rPr>
          <w:rFonts w:hint="default" w:ascii="Times New Roman" w:hAnsi="Times New Roman" w:cs="Times New Roman" w:eastAsiaTheme="minorEastAsia"/>
          <w:color w:val="auto"/>
          <w:sz w:val="20"/>
          <w:szCs w:val="20"/>
          <w:highlight w:val="none"/>
          <w:lang w:val="en-US" w:eastAsia="zh-CN"/>
        </w:rPr>
        <w:t>6</w:t>
      </w:r>
      <w:r>
        <w:rPr>
          <w:rFonts w:hint="default" w:ascii="Times New Roman" w:hAnsi="Times New Roman" w:cs="Times New Roman" w:eastAsiaTheme="minorEastAsia"/>
          <w:color w:val="auto"/>
          <w:sz w:val="20"/>
          <w:szCs w:val="20"/>
          <w:highlight w:val="none"/>
        </w:rPr>
        <w:t xml:space="preserve"> 中标</w:t>
      </w:r>
      <w:r>
        <w:rPr>
          <w:rFonts w:hint="default" w:ascii="Times New Roman" w:hAnsi="Times New Roman" w:cs="Times New Roman" w:eastAsiaTheme="minorEastAsia"/>
          <w:color w:val="auto"/>
          <w:sz w:val="20"/>
          <w:szCs w:val="20"/>
          <w:highlight w:val="none"/>
          <w:lang w:val="en-US" w:eastAsia="zh-CN"/>
        </w:rPr>
        <w:t>结果公告</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_Toc14846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_Toc9316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w:t>
      </w:r>
      <w:r>
        <w:rPr>
          <w:rFonts w:hint="default" w:ascii="Times New Roman" w:hAnsi="Times New Roman" w:cs="Times New Roman" w:eastAsiaTheme="minorEastAsia"/>
          <w:color w:val="auto"/>
          <w:sz w:val="20"/>
          <w:szCs w:val="20"/>
          <w:highlight w:val="none"/>
          <w:lang w:val="en-US" w:eastAsia="zh-CN"/>
        </w:rPr>
        <w:t>7</w:t>
      </w:r>
      <w:r>
        <w:rPr>
          <w:rFonts w:hint="default" w:ascii="Times New Roman" w:hAnsi="Times New Roman" w:cs="Times New Roman" w:eastAsiaTheme="minorEastAsia"/>
          <w:color w:val="auto"/>
          <w:sz w:val="20"/>
          <w:szCs w:val="20"/>
          <w:highlight w:val="none"/>
        </w:rPr>
        <w:t xml:space="preserve"> 履约保证金</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_Toc9316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_Toc1521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w:t>
      </w:r>
      <w:r>
        <w:rPr>
          <w:rFonts w:hint="default" w:ascii="Times New Roman" w:hAnsi="Times New Roman" w:cs="Times New Roman" w:eastAsiaTheme="minorEastAsia"/>
          <w:color w:val="auto"/>
          <w:sz w:val="20"/>
          <w:szCs w:val="20"/>
          <w:highlight w:val="none"/>
          <w:lang w:val="en-US" w:eastAsia="zh-CN"/>
        </w:rPr>
        <w:t>8</w:t>
      </w:r>
      <w:r>
        <w:rPr>
          <w:rFonts w:hint="default" w:ascii="Times New Roman" w:hAnsi="Times New Roman" w:cs="Times New Roman" w:eastAsiaTheme="minorEastAsia"/>
          <w:color w:val="auto"/>
          <w:sz w:val="20"/>
          <w:szCs w:val="20"/>
          <w:highlight w:val="none"/>
        </w:rPr>
        <w:t xml:space="preserve"> 签订合同</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_Toc1521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_Toc31865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8.纪律和监督</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_Toc31865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_Toc3847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8.1 对招标人的纪律要求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_Toc3847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_Toc24029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8.2 对投标人的纪律要求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_Toc24029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_Toc25355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8.3 对评标委员会成员的纪律要求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_Toc25355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_Toc11998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8.4 对与评标活动有关的工作人员的纪律要求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_Toc11998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_Toc26624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8.5 投诉</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_Toc26624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_Toc6839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 需要补充的其他内容</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_Toc6839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_Toc3183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附件一：开标记录表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_Toc3183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_Toc27932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附件二：问题澄清通知</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_Toc27932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_Toc28484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附件三：问题的澄清</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_Toc28484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_Toc27439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附件四：中标通知书</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_Toc27439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_Toc7418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eastAsia="黑体" w:cs="Times New Roman"/>
          <w:color w:val="auto"/>
          <w:sz w:val="20"/>
          <w:szCs w:val="20"/>
          <w:highlight w:val="none"/>
        </w:rPr>
        <w:t>第三章</w:t>
      </w:r>
      <w:r>
        <w:rPr>
          <w:rFonts w:hint="default" w:ascii="Times New Roman" w:hAnsi="Times New Roman" w:eastAsia="黑体" w:cs="Times New Roman"/>
          <w:color w:val="auto"/>
          <w:sz w:val="20"/>
          <w:szCs w:val="20"/>
          <w:highlight w:val="none"/>
          <w:lang w:val="en-US" w:eastAsia="zh-CN"/>
        </w:rPr>
        <w:t xml:space="preserve">  </w:t>
      </w:r>
      <w:r>
        <w:rPr>
          <w:rFonts w:hint="default" w:ascii="Times New Roman" w:hAnsi="Times New Roman" w:eastAsia="黑体" w:cs="Times New Roman"/>
          <w:color w:val="auto"/>
          <w:sz w:val="20"/>
          <w:szCs w:val="20"/>
          <w:highlight w:val="none"/>
        </w:rPr>
        <w:t>评标办法（经评审的最低投标价法）</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_Toc7418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_Toc5647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评标办法前附表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_Toc5647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_Toc21479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 评标方法</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_Toc21479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_Toc4426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 评审标准</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_Toc4426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_Toc24014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 评标程序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_Toc24014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_Toc28138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3.1 第一个信封初步评审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_Toc28138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_Toc4491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3.2第二个信封开标</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_Toc4491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_Toc19445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3.3</w:t>
      </w:r>
      <w:r>
        <w:rPr>
          <w:rFonts w:hint="default" w:ascii="Times New Roman" w:hAnsi="Times New Roman" w:cs="Times New Roman" w:eastAsiaTheme="minorEastAsia"/>
          <w:color w:val="auto"/>
          <w:sz w:val="20"/>
          <w:szCs w:val="20"/>
          <w:highlight w:val="none"/>
        </w:rPr>
        <w:t>第</w:t>
      </w:r>
      <w:r>
        <w:rPr>
          <w:rFonts w:hint="default" w:ascii="Times New Roman" w:hAnsi="Times New Roman" w:cs="Times New Roman" w:eastAsiaTheme="minorEastAsia"/>
          <w:color w:val="auto"/>
          <w:sz w:val="20"/>
          <w:szCs w:val="20"/>
          <w:highlight w:val="none"/>
          <w:lang w:val="en-US" w:eastAsia="zh-CN"/>
        </w:rPr>
        <w:t>二</w:t>
      </w:r>
      <w:r>
        <w:rPr>
          <w:rFonts w:hint="default" w:ascii="Times New Roman" w:hAnsi="Times New Roman" w:cs="Times New Roman" w:eastAsiaTheme="minorEastAsia"/>
          <w:color w:val="auto"/>
          <w:sz w:val="20"/>
          <w:szCs w:val="20"/>
          <w:highlight w:val="none"/>
        </w:rPr>
        <w:t>个信封初步评审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_Toc19445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_Toc2370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w:t>
      </w:r>
      <w:r>
        <w:rPr>
          <w:rFonts w:hint="default" w:ascii="Times New Roman" w:hAnsi="Times New Roman" w:cs="Times New Roman" w:eastAsiaTheme="minorEastAsia"/>
          <w:color w:val="auto"/>
          <w:sz w:val="20"/>
          <w:szCs w:val="20"/>
          <w:highlight w:val="none"/>
          <w:lang w:val="en-US" w:eastAsia="zh-CN"/>
        </w:rPr>
        <w:t>4</w:t>
      </w:r>
      <w:r>
        <w:rPr>
          <w:rFonts w:hint="default" w:ascii="Times New Roman" w:hAnsi="Times New Roman" w:cs="Times New Roman" w:eastAsiaTheme="minorEastAsia"/>
          <w:color w:val="auto"/>
          <w:sz w:val="20"/>
          <w:szCs w:val="20"/>
          <w:highlight w:val="none"/>
        </w:rPr>
        <w:t xml:space="preserve"> 第二个信封详细评审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_Toc2370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_Toc13930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w:t>
      </w:r>
      <w:r>
        <w:rPr>
          <w:rFonts w:hint="default" w:ascii="Times New Roman" w:hAnsi="Times New Roman" w:cs="Times New Roman" w:eastAsiaTheme="minorEastAsia"/>
          <w:color w:val="auto"/>
          <w:sz w:val="20"/>
          <w:szCs w:val="20"/>
          <w:highlight w:val="none"/>
          <w:lang w:val="en-US" w:eastAsia="zh-CN"/>
        </w:rPr>
        <w:t>5</w:t>
      </w:r>
      <w:r>
        <w:rPr>
          <w:rFonts w:hint="default" w:ascii="Times New Roman" w:hAnsi="Times New Roman" w:cs="Times New Roman" w:eastAsiaTheme="minorEastAsia"/>
          <w:color w:val="auto"/>
          <w:sz w:val="20"/>
          <w:szCs w:val="20"/>
          <w:highlight w:val="none"/>
        </w:rPr>
        <w:t xml:space="preserve"> 投标文件的澄清</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_Toc13930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_Toc16309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eastAsia="黑体" w:cs="Times New Roman"/>
          <w:color w:val="auto"/>
          <w:sz w:val="20"/>
          <w:szCs w:val="20"/>
          <w:highlight w:val="none"/>
        </w:rPr>
        <w:t>第三章</w:t>
      </w:r>
      <w:r>
        <w:rPr>
          <w:rFonts w:hint="default" w:ascii="Times New Roman" w:hAnsi="Times New Roman" w:eastAsia="黑体" w:cs="Times New Roman"/>
          <w:color w:val="auto"/>
          <w:sz w:val="20"/>
          <w:szCs w:val="20"/>
          <w:highlight w:val="none"/>
          <w:lang w:val="en-US" w:eastAsia="zh-CN"/>
        </w:rPr>
        <w:t xml:space="preserve">  </w:t>
      </w:r>
      <w:r>
        <w:rPr>
          <w:rFonts w:hint="default" w:ascii="Times New Roman" w:hAnsi="Times New Roman" w:eastAsia="黑体" w:cs="Times New Roman"/>
          <w:color w:val="auto"/>
          <w:sz w:val="20"/>
          <w:szCs w:val="20"/>
          <w:highlight w:val="none"/>
        </w:rPr>
        <w:t>评标办法（</w:t>
      </w:r>
      <w:r>
        <w:rPr>
          <w:rFonts w:hint="eastAsia" w:ascii="Times New Roman" w:hAnsi="Times New Roman" w:eastAsia="黑体" w:cs="Times New Roman"/>
          <w:color w:val="auto"/>
          <w:sz w:val="20"/>
          <w:szCs w:val="20"/>
          <w:highlight w:val="none"/>
          <w:lang w:eastAsia="zh-CN"/>
        </w:rPr>
        <w:t>综合评分法</w:t>
      </w:r>
      <w:r>
        <w:rPr>
          <w:rFonts w:hint="default" w:ascii="Times New Roman" w:hAnsi="Times New Roman" w:eastAsia="黑体" w:cs="Times New Roman"/>
          <w:color w:val="auto"/>
          <w:sz w:val="20"/>
          <w:szCs w:val="20"/>
          <w:highlight w:val="none"/>
        </w:rPr>
        <w:t>）</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_Toc16309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_Toc29118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评标办法前附表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_Toc29118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_Toc12632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 评标方法</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_Toc12632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_Toc29466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 评审标准</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_Toc29466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_Toc26382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 评标程序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_Toc26382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_Toc28340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3.1 第一个信封初步评审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_Toc28340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_Toc16300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3.2  第一个信封详细评审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_Toc16300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_Toc7606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3.3 第二个信封开标</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_Toc7606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_Toc14007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w:t>
      </w:r>
      <w:r>
        <w:rPr>
          <w:rFonts w:hint="default" w:ascii="Times New Roman" w:hAnsi="Times New Roman" w:cs="Times New Roman" w:eastAsiaTheme="minorEastAsia"/>
          <w:color w:val="auto"/>
          <w:sz w:val="20"/>
          <w:szCs w:val="20"/>
          <w:highlight w:val="none"/>
          <w:lang w:val="en-US" w:eastAsia="zh-CN"/>
        </w:rPr>
        <w:t>4</w:t>
      </w:r>
      <w:r>
        <w:rPr>
          <w:rFonts w:hint="default" w:ascii="Times New Roman" w:hAnsi="Times New Roman" w:cs="Times New Roman" w:eastAsiaTheme="minorEastAsia"/>
          <w:color w:val="auto"/>
          <w:sz w:val="20"/>
          <w:szCs w:val="20"/>
          <w:highlight w:val="none"/>
        </w:rPr>
        <w:t>第二个信封初步评审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_Toc14007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_Toc8331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3.5 第二个信封详细评审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_Toc8331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_Toc6650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3.6</w:t>
      </w:r>
      <w:r>
        <w:rPr>
          <w:rFonts w:hint="default" w:ascii="Times New Roman" w:hAnsi="Times New Roman" w:cs="Times New Roman" w:eastAsiaTheme="minorEastAsia"/>
          <w:color w:val="auto"/>
          <w:sz w:val="20"/>
          <w:szCs w:val="20"/>
          <w:highlight w:val="none"/>
        </w:rPr>
        <w:t>投标文件的澄清</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_Toc6650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_Toc18586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w:t>
      </w:r>
      <w:r>
        <w:rPr>
          <w:rFonts w:hint="default" w:ascii="Times New Roman" w:hAnsi="Times New Roman" w:cs="Times New Roman" w:eastAsiaTheme="minorEastAsia"/>
          <w:color w:val="auto"/>
          <w:sz w:val="20"/>
          <w:szCs w:val="20"/>
          <w:highlight w:val="none"/>
          <w:lang w:val="en-US" w:eastAsia="zh-CN"/>
        </w:rPr>
        <w:t>7</w:t>
      </w:r>
      <w:r>
        <w:rPr>
          <w:rFonts w:hint="default" w:ascii="Times New Roman" w:hAnsi="Times New Roman" w:cs="Times New Roman" w:eastAsiaTheme="minorEastAsia"/>
          <w:color w:val="auto"/>
          <w:sz w:val="20"/>
          <w:szCs w:val="20"/>
          <w:highlight w:val="none"/>
        </w:rPr>
        <w:t xml:space="preserve"> 评标结果</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_Toc18586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_Toc27879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eastAsia="黑体" w:cs="Times New Roman"/>
          <w:color w:val="auto"/>
          <w:sz w:val="20"/>
          <w:szCs w:val="20"/>
          <w:highlight w:val="none"/>
        </w:rPr>
        <w:t>第</w:t>
      </w:r>
      <w:r>
        <w:rPr>
          <w:rFonts w:hint="default" w:ascii="Times New Roman" w:hAnsi="Times New Roman" w:eastAsia="黑体" w:cs="Times New Roman"/>
          <w:color w:val="auto"/>
          <w:sz w:val="20"/>
          <w:szCs w:val="20"/>
          <w:highlight w:val="none"/>
          <w:lang w:val="en-US" w:eastAsia="zh-CN"/>
        </w:rPr>
        <w:t>四</w:t>
      </w:r>
      <w:r>
        <w:rPr>
          <w:rFonts w:hint="default" w:ascii="Times New Roman" w:hAnsi="Times New Roman" w:eastAsia="黑体" w:cs="Times New Roman"/>
          <w:color w:val="auto"/>
          <w:sz w:val="20"/>
          <w:szCs w:val="20"/>
          <w:highlight w:val="none"/>
        </w:rPr>
        <w:t>章  合同条款及格式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_Toc27879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_Toc11431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第一节通用合同条款</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_Toc11431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_Toc28639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 一般约定</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_Toc28639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_Toc17785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 词语定义</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_Toc17785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_Toc13013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 语言文字</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_Toc13013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_Toc31863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1.3合同文件的优先顺序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_Toc31863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_Toc5604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1.4 合同的生效及变更</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_Toc5604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_Toc9298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1.5联络</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_Toc9298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_Toc28632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1.6 联合体</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_Toc28632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_Toc21508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1.7 转让</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_Toc21508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_Toc4536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 合同范围</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_Toc4536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_Toc7840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 合同价格与支付</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_Toc7840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_Toc22476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3.1 合同价格</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_Toc22476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_Toc14026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3.2合同价款的支付</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_Toc14026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_Toc15293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3.3 买方扣款的权利</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_Toc15293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_Toc17106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 监造及交货前检验</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_Toc17106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_Toc14521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4.1 监造</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_Toc14521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_Toc3782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4.2 交货前检验</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_Toc3782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_Toc6598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5.包装、标记、运输和交付</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_Toc6598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_Toc29690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5.1 包装</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_Toc29690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_Toc19375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5.2 标记</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_Toc19375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_Toc18896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5.3运输</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_Toc18896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_Toc22304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5.4 交付</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_Toc22304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_Toc4553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 开箱检验、安装、调试、考核、验收</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_Toc4553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_Toc3316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6.1 开箱检验</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_Toc3316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_Toc24875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6.2 安装、调试</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_Toc24875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_Toc32207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6.3 考核</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_Toc32207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_Toc23739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6.4 验收</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_Toc23739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_Toc24418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 技术服务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_Toc24418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_Toc32603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 质量保证期</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_Toc32603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_Toc21785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 质保期服务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_Toc21785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_Toc27279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10. 履约保证金</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_Toc27279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_Toc32522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 保证</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_Toc32522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_Toc14390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 知识产权</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_Toc14390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_Toc2377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13. 保密</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_Toc2377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_Toc16122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14. 违约责任</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_Toc16122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_Toc1821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15. 合同的解除</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_Toc1821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_Toc1854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16. 不可抗力</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_Toc1854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_Toc173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17. 争议的解决</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_Toc173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_Toc23708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第二节专用合同条款</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_Toc23708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_Toc3853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第三节合同附件格式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_Toc3853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_Toc2094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附件一：合同协议书</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_Toc2094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_Toc481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附件二：履约保证金格式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_Toc481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_Toc25139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第</w:t>
      </w:r>
      <w:r>
        <w:rPr>
          <w:rFonts w:hint="default" w:ascii="Times New Roman" w:hAnsi="Times New Roman" w:cs="Times New Roman" w:eastAsiaTheme="minorEastAsia"/>
          <w:color w:val="auto"/>
          <w:sz w:val="20"/>
          <w:szCs w:val="20"/>
          <w:highlight w:val="none"/>
          <w:lang w:val="en-US" w:eastAsia="zh-CN"/>
        </w:rPr>
        <w:t>四</w:t>
      </w:r>
      <w:r>
        <w:rPr>
          <w:rFonts w:hint="default" w:ascii="Times New Roman" w:hAnsi="Times New Roman" w:cs="Times New Roman" w:eastAsiaTheme="minorEastAsia"/>
          <w:color w:val="auto"/>
          <w:sz w:val="20"/>
          <w:szCs w:val="20"/>
          <w:highlight w:val="none"/>
        </w:rPr>
        <w:t>章  合同条款及格式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_Toc25139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_Toc8943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第一节通用合同条款</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_Toc8943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_Toc7635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 一般约定</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_Toc7635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_Toc3919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 词语定义</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_Toc3919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_Toc2063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 语言文字</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_Toc2063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_Toc6948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1.3 合同文件的优先顺序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_Toc6948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_Toc31517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1.4 合同的生效及变更</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_Toc31517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_Toc7159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1.5 联络</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_Toc7159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_Toc4550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1.6 联合体</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_Toc4550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_Toc5944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1.7 转让</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_Toc5944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_Toc17014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1.8 知识产权</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_Toc17014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_Toc32108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1.9 保密</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_Toc32108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_Toc2088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2. 合同范围</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_Toc2088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_Toc8202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 合同价格与支付</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_Toc8202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_Toc12114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3.1 合同价格</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_Toc12114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_Toc16159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3.2 合同价款的支付</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_Toc16159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_Toc20341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3.3 买方扣款的权利</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_Toc20341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_Toc13613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 包装、标记、运输和交付</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_Toc13613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_Toc32264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4.1 包装</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_Toc32264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_Toc15072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4.2 标记</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_Toc15072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_Toc28110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4.3 运输</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_Toc28110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_Toc18831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4.4 交付</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_Toc18831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_Toc1504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5. 检验和验收</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_Toc1504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_Toc6818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6. 相关服务</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_Toc6818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_Toc5610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7. 质量保证期</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_Toc5610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_Toc29528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 履约保证金</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_Toc29528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_Toc14701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 保证</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_Toc14701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_Toc10111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10. 违约责任</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_Toc10111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_Toc18954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 合同的解除</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_Toc18954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_Toc21269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 争议的解决</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_Toc21269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89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第二节专用合同条款</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_Toc2556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第三节合同附件格式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_Toc2556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_Toc11055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附件一：合同协议书</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_Toc11055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_Toc30230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附件二：履约保证金格式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_Toc30230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cs="Times New Roman" w:eastAsiaTheme="minorEastAsia"/>
          <w:color w:val="auto"/>
          <w:sz w:val="20"/>
          <w:szCs w:val="20"/>
          <w:highlight w:val="none"/>
        </w:rPr>
      </w:pP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30"/>
          <w:szCs w:val="30"/>
          <w:highlight w:val="none"/>
        </w:rPr>
        <w:fldChar w:fldCharType="begin"/>
      </w:r>
      <w:r>
        <w:rPr>
          <w:rFonts w:hint="default" w:ascii="Times New Roman" w:hAnsi="Times New Roman" w:cs="Times New Roman" w:eastAsiaTheme="minorEastAsia"/>
          <w:color w:val="auto"/>
          <w:sz w:val="30"/>
          <w:szCs w:val="30"/>
          <w:highlight w:val="none"/>
        </w:rPr>
        <w:instrText xml:space="preserve"> HYPERLINK \l _Toc9230 </w:instrText>
      </w:r>
      <w:r>
        <w:rPr>
          <w:rFonts w:hint="default" w:ascii="Times New Roman" w:hAnsi="Times New Roman" w:cs="Times New Roman" w:eastAsiaTheme="minorEastAsia"/>
          <w:color w:val="auto"/>
          <w:sz w:val="30"/>
          <w:szCs w:val="30"/>
          <w:highlight w:val="none"/>
        </w:rPr>
        <w:fldChar w:fldCharType="separate"/>
      </w:r>
      <w:r>
        <w:rPr>
          <w:rFonts w:hint="default" w:ascii="Times New Roman" w:hAnsi="Times New Roman" w:eastAsia="黑体" w:cs="Times New Roman"/>
          <w:color w:val="auto"/>
          <w:sz w:val="30"/>
          <w:szCs w:val="30"/>
          <w:highlight w:val="none"/>
          <w:lang w:val="en-US" w:eastAsia="zh-CN"/>
        </w:rPr>
        <w:t>第</w:t>
      </w:r>
      <w:r>
        <w:rPr>
          <w:rFonts w:hint="eastAsia"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lang w:val="en-US" w:eastAsia="zh-CN"/>
        </w:rPr>
        <w:t>二</w:t>
      </w:r>
      <w:r>
        <w:rPr>
          <w:rFonts w:hint="eastAsia"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lang w:val="en-US" w:eastAsia="zh-CN"/>
        </w:rPr>
        <w:t>卷</w:t>
      </w:r>
      <w:r>
        <w:rPr>
          <w:rFonts w:hint="default" w:ascii="Times New Roman" w:hAnsi="Times New Roman" w:cs="Times New Roman" w:eastAsiaTheme="minorEastAsia"/>
          <w:color w:val="auto"/>
          <w:sz w:val="30"/>
          <w:szCs w:val="30"/>
          <w:highlight w:val="none"/>
        </w:rPr>
        <w:fldChar w:fldCharType="end"/>
      </w:r>
    </w:p>
    <w:p>
      <w:pPr>
        <w:rPr>
          <w:rFonts w:hint="default"/>
          <w:color w:val="auto"/>
          <w:highlight w:val="none"/>
        </w:rPr>
      </w:pP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_Toc24461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eastAsia="黑体" w:cs="Times New Roman"/>
          <w:color w:val="auto"/>
          <w:sz w:val="20"/>
          <w:szCs w:val="20"/>
          <w:highlight w:val="none"/>
        </w:rPr>
        <w:t>第</w:t>
      </w:r>
      <w:r>
        <w:rPr>
          <w:rFonts w:hint="default" w:ascii="Times New Roman" w:hAnsi="Times New Roman" w:eastAsia="黑体" w:cs="Times New Roman"/>
          <w:color w:val="auto"/>
          <w:sz w:val="20"/>
          <w:szCs w:val="20"/>
          <w:highlight w:val="none"/>
          <w:lang w:val="en-US" w:eastAsia="zh-CN"/>
        </w:rPr>
        <w:t>五</w:t>
      </w:r>
      <w:r>
        <w:rPr>
          <w:rFonts w:hint="default" w:ascii="Times New Roman" w:hAnsi="Times New Roman" w:eastAsia="黑体" w:cs="Times New Roman"/>
          <w:color w:val="auto"/>
          <w:sz w:val="20"/>
          <w:szCs w:val="20"/>
          <w:highlight w:val="none"/>
        </w:rPr>
        <w:t xml:space="preserve">章  </w:t>
      </w:r>
      <w:r>
        <w:rPr>
          <w:rFonts w:hint="default" w:ascii="Times New Roman" w:hAnsi="Times New Roman" w:eastAsia="黑体" w:cs="Times New Roman"/>
          <w:color w:val="auto"/>
          <w:sz w:val="20"/>
          <w:szCs w:val="20"/>
          <w:highlight w:val="none"/>
          <w:lang w:val="en-US" w:eastAsia="zh-CN"/>
        </w:rPr>
        <w:t>供货要求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_Toc24461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_Toc18570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一、项目概况及总体要求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_Toc18570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_Toc14356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二、</w:t>
      </w:r>
      <w:r>
        <w:rPr>
          <w:rFonts w:hint="default" w:ascii="Times New Roman" w:hAnsi="Times New Roman" w:cs="Times New Roman" w:eastAsiaTheme="minorEastAsia"/>
          <w:color w:val="auto"/>
          <w:sz w:val="20"/>
          <w:szCs w:val="20"/>
          <w:highlight w:val="none"/>
          <w:lang w:val="en-US" w:eastAsia="zh-CN"/>
        </w:rPr>
        <w:t>设备/</w:t>
      </w:r>
      <w:r>
        <w:rPr>
          <w:rFonts w:hint="default" w:ascii="Times New Roman" w:hAnsi="Times New Roman" w:cs="Times New Roman" w:eastAsiaTheme="minorEastAsia"/>
          <w:color w:val="auto"/>
          <w:sz w:val="20"/>
          <w:szCs w:val="20"/>
          <w:highlight w:val="none"/>
        </w:rPr>
        <w:t>材料需求一览表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_Toc14356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_Toc13091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三、 技术性能指标</w:t>
      </w:r>
      <w:r>
        <w:rPr>
          <w:rFonts w:hint="default" w:ascii="Times New Roman" w:hAnsi="Times New Roman" w:cs="Times New Roman" w:eastAsiaTheme="minorEastAsia"/>
          <w:color w:val="auto"/>
          <w:sz w:val="20"/>
          <w:szCs w:val="20"/>
          <w:highlight w:val="none"/>
          <w:lang w:val="en-US" w:eastAsia="zh-CN"/>
        </w:rPr>
        <w:t>/</w:t>
      </w:r>
      <w:r>
        <w:rPr>
          <w:rFonts w:hint="default" w:ascii="Times New Roman" w:hAnsi="Times New Roman" w:cs="Times New Roman" w:eastAsiaTheme="minorEastAsia"/>
          <w:color w:val="auto"/>
          <w:sz w:val="20"/>
          <w:szCs w:val="20"/>
          <w:highlight w:val="none"/>
        </w:rPr>
        <w:t>质量标准</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_Toc13091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_Toc18780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四、检验考核要求</w:t>
      </w:r>
      <w:r>
        <w:rPr>
          <w:rFonts w:hint="default" w:ascii="Times New Roman" w:hAnsi="Times New Roman" w:cs="Times New Roman" w:eastAsiaTheme="minorEastAsia"/>
          <w:color w:val="auto"/>
          <w:sz w:val="20"/>
          <w:szCs w:val="20"/>
          <w:highlight w:val="none"/>
          <w:lang w:val="en-US" w:eastAsia="zh-CN"/>
        </w:rPr>
        <w:t>/</w:t>
      </w:r>
      <w:r>
        <w:rPr>
          <w:rFonts w:hint="default" w:ascii="Times New Roman" w:hAnsi="Times New Roman" w:cs="Times New Roman" w:eastAsiaTheme="minorEastAsia"/>
          <w:color w:val="auto"/>
          <w:sz w:val="20"/>
          <w:szCs w:val="20"/>
          <w:highlight w:val="none"/>
        </w:rPr>
        <w:t>验收标准</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_Toc18780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_Toc820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五</w:t>
      </w:r>
      <w:r>
        <w:rPr>
          <w:rFonts w:hint="default" w:ascii="Times New Roman" w:hAnsi="Times New Roman" w:cs="Times New Roman" w:eastAsiaTheme="minorEastAsia"/>
          <w:color w:val="auto"/>
          <w:sz w:val="20"/>
          <w:szCs w:val="20"/>
          <w:highlight w:val="none"/>
        </w:rPr>
        <w:t>、技术服务和质保期服务要求</w:t>
      </w:r>
      <w:r>
        <w:rPr>
          <w:rFonts w:hint="default" w:ascii="Times New Roman" w:hAnsi="Times New Roman" w:cs="Times New Roman" w:eastAsiaTheme="minorEastAsia"/>
          <w:color w:val="auto"/>
          <w:sz w:val="20"/>
          <w:szCs w:val="20"/>
          <w:highlight w:val="none"/>
          <w:lang w:val="en-US" w:eastAsia="zh-CN"/>
        </w:rPr>
        <w:t>/</w:t>
      </w:r>
      <w:r>
        <w:rPr>
          <w:rFonts w:hint="default" w:ascii="Times New Roman" w:hAnsi="Times New Roman" w:cs="Times New Roman" w:eastAsiaTheme="minorEastAsia"/>
          <w:color w:val="auto"/>
          <w:sz w:val="20"/>
          <w:szCs w:val="20"/>
          <w:highlight w:val="none"/>
        </w:rPr>
        <w:t>相关服务要求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_Toc820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98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cs="Times New Roman" w:eastAsiaTheme="minorEastAsia"/>
          <w:color w:val="auto"/>
          <w:sz w:val="20"/>
          <w:szCs w:val="20"/>
          <w:highlight w:val="none"/>
        </w:rPr>
      </w:pP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jc w:val="center"/>
        <w:textAlignment w:val="auto"/>
        <w:rPr>
          <w:rFonts w:hint="default" w:ascii="Times New Roman" w:hAnsi="Times New Roman" w:cs="Times New Roman" w:eastAsiaTheme="minorEastAsia"/>
          <w:color w:val="auto"/>
          <w:sz w:val="30"/>
          <w:szCs w:val="30"/>
          <w:highlight w:val="none"/>
        </w:rPr>
      </w:pPr>
      <w:r>
        <w:rPr>
          <w:rFonts w:hint="default" w:ascii="Times New Roman" w:hAnsi="Times New Roman" w:cs="Times New Roman" w:eastAsiaTheme="minorEastAsia"/>
          <w:color w:val="auto"/>
          <w:sz w:val="30"/>
          <w:szCs w:val="30"/>
          <w:highlight w:val="none"/>
        </w:rPr>
        <w:fldChar w:fldCharType="begin"/>
      </w:r>
      <w:r>
        <w:rPr>
          <w:rFonts w:hint="default" w:ascii="Times New Roman" w:hAnsi="Times New Roman" w:cs="Times New Roman" w:eastAsiaTheme="minorEastAsia"/>
          <w:color w:val="auto"/>
          <w:sz w:val="30"/>
          <w:szCs w:val="30"/>
          <w:highlight w:val="none"/>
        </w:rPr>
        <w:instrText xml:space="preserve"> HYPERLINK \l _Toc26648 </w:instrText>
      </w:r>
      <w:r>
        <w:rPr>
          <w:rFonts w:hint="default" w:ascii="Times New Roman" w:hAnsi="Times New Roman" w:cs="Times New Roman" w:eastAsiaTheme="minorEastAsia"/>
          <w:color w:val="auto"/>
          <w:sz w:val="30"/>
          <w:szCs w:val="30"/>
          <w:highlight w:val="none"/>
        </w:rPr>
        <w:fldChar w:fldCharType="separate"/>
      </w:r>
      <w:r>
        <w:rPr>
          <w:rFonts w:hint="default" w:ascii="Times New Roman" w:hAnsi="Times New Roman" w:eastAsia="黑体" w:cs="Times New Roman"/>
          <w:color w:val="auto"/>
          <w:sz w:val="30"/>
          <w:szCs w:val="30"/>
          <w:highlight w:val="none"/>
          <w:lang w:val="en-US" w:eastAsia="zh-CN"/>
        </w:rPr>
        <w:t>第</w:t>
      </w:r>
      <w:r>
        <w:rPr>
          <w:rFonts w:hint="eastAsia"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lang w:val="en-US" w:eastAsia="zh-CN"/>
        </w:rPr>
        <w:t>三</w:t>
      </w:r>
      <w:r>
        <w:rPr>
          <w:rFonts w:hint="eastAsia" w:ascii="Times New Roman" w:hAnsi="Times New Roman" w:eastAsia="黑体" w:cs="Times New Roman"/>
          <w:color w:val="auto"/>
          <w:sz w:val="30"/>
          <w:szCs w:val="30"/>
          <w:highlight w:val="none"/>
          <w:lang w:val="en-US" w:eastAsia="zh-CN"/>
        </w:rPr>
        <w:t xml:space="preserve"> </w:t>
      </w:r>
      <w:r>
        <w:rPr>
          <w:rFonts w:hint="default" w:ascii="Times New Roman" w:hAnsi="Times New Roman" w:eastAsia="黑体" w:cs="Times New Roman"/>
          <w:color w:val="auto"/>
          <w:sz w:val="30"/>
          <w:szCs w:val="30"/>
          <w:highlight w:val="none"/>
          <w:lang w:val="en-US" w:eastAsia="zh-CN"/>
        </w:rPr>
        <w:t>卷</w:t>
      </w:r>
      <w:r>
        <w:rPr>
          <w:rFonts w:hint="default" w:ascii="Times New Roman" w:hAnsi="Times New Roman" w:cs="Times New Roman" w:eastAsiaTheme="minorEastAsia"/>
          <w:color w:val="auto"/>
          <w:sz w:val="30"/>
          <w:szCs w:val="30"/>
          <w:highlight w:val="none"/>
        </w:rPr>
        <w:fldChar w:fldCharType="end"/>
      </w:r>
    </w:p>
    <w:p>
      <w:pPr>
        <w:rPr>
          <w:rFonts w:hint="default"/>
          <w:color w:val="auto"/>
          <w:highlight w:val="none"/>
        </w:rPr>
      </w:pPr>
    </w:p>
    <w:p>
      <w:pPr>
        <w:pStyle w:val="20"/>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0" w:firstLineChars="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_Toc10840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eastAsia="黑体" w:cs="Times New Roman"/>
          <w:color w:val="auto"/>
          <w:sz w:val="20"/>
          <w:szCs w:val="20"/>
          <w:highlight w:val="none"/>
        </w:rPr>
        <w:t>第</w:t>
      </w:r>
      <w:r>
        <w:rPr>
          <w:rFonts w:hint="default" w:ascii="Times New Roman" w:hAnsi="Times New Roman" w:eastAsia="黑体" w:cs="Times New Roman"/>
          <w:color w:val="auto"/>
          <w:sz w:val="20"/>
          <w:szCs w:val="20"/>
          <w:highlight w:val="none"/>
          <w:lang w:val="en-US" w:eastAsia="zh-CN"/>
        </w:rPr>
        <w:t>六</w:t>
      </w:r>
      <w:r>
        <w:rPr>
          <w:rFonts w:hint="default" w:ascii="Times New Roman" w:hAnsi="Times New Roman" w:eastAsia="黑体" w:cs="Times New Roman"/>
          <w:color w:val="auto"/>
          <w:sz w:val="20"/>
          <w:szCs w:val="20"/>
          <w:highlight w:val="none"/>
        </w:rPr>
        <w:t xml:space="preserve">章  </w:t>
      </w:r>
      <w:r>
        <w:rPr>
          <w:rFonts w:hint="default" w:ascii="Times New Roman" w:hAnsi="Times New Roman" w:eastAsia="黑体" w:cs="Times New Roman"/>
          <w:color w:val="auto"/>
          <w:sz w:val="20"/>
          <w:szCs w:val="20"/>
          <w:highlight w:val="none"/>
          <w:lang w:val="en-US" w:eastAsia="zh-CN"/>
        </w:rPr>
        <w:t>投标文件格式</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_Toc10840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101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_Toc22598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目录</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_Toc22598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103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_Toc23071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一、投标函</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_Toc23071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104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_Toc13463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二、授权委托书或法定代表人身份证明</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_Toc13463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106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_Toc15442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三、联合体协议书</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_Toc15442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109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_Toc31270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四</w:t>
      </w:r>
      <w:r>
        <w:rPr>
          <w:rFonts w:hint="default" w:ascii="Times New Roman" w:hAnsi="Times New Roman" w:cs="Times New Roman" w:eastAsiaTheme="minorEastAsia"/>
          <w:color w:val="auto"/>
          <w:sz w:val="20"/>
          <w:szCs w:val="20"/>
          <w:highlight w:val="none"/>
        </w:rPr>
        <w:t>、投标保证金</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_Toc31270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_Toc12877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五</w:t>
      </w:r>
      <w:r>
        <w:rPr>
          <w:rFonts w:hint="default" w:ascii="Times New Roman" w:hAnsi="Times New Roman" w:cs="Times New Roman" w:eastAsiaTheme="minorEastAsia"/>
          <w:color w:val="auto"/>
          <w:sz w:val="20"/>
          <w:szCs w:val="20"/>
          <w:highlight w:val="none"/>
        </w:rPr>
        <w:t>、</w:t>
      </w:r>
      <w:r>
        <w:rPr>
          <w:rFonts w:hint="default" w:ascii="Times New Roman" w:hAnsi="Times New Roman" w:cs="Times New Roman" w:eastAsiaTheme="minorEastAsia"/>
          <w:color w:val="auto"/>
          <w:sz w:val="20"/>
          <w:szCs w:val="20"/>
          <w:highlight w:val="none"/>
          <w:lang w:val="en-US" w:eastAsia="zh-CN"/>
        </w:rPr>
        <w:t>商务和技术偏差表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_Toc12877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_Toc8930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六</w:t>
      </w:r>
      <w:r>
        <w:rPr>
          <w:rFonts w:hint="default" w:ascii="Times New Roman" w:hAnsi="Times New Roman" w:cs="Times New Roman" w:eastAsiaTheme="minorEastAsia"/>
          <w:color w:val="auto"/>
          <w:sz w:val="20"/>
          <w:szCs w:val="20"/>
          <w:highlight w:val="none"/>
        </w:rPr>
        <w:t>、资格审查资料</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_Toc8930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_Toc31803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（一）投标人基本情况表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_Toc31803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_Toc19543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（二）近年财务状况表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_Toc19543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_Toc28479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（三）近年完成的类似供货项目情况表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_Toc28479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_Toc5566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（四）近年发生的诉讼及仲裁情况</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_Toc5566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_Toc22988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eastAsia="zh-CN"/>
        </w:rPr>
        <w:t>（</w:t>
      </w:r>
      <w:r>
        <w:rPr>
          <w:rFonts w:hint="default" w:ascii="Times New Roman" w:hAnsi="Times New Roman" w:cs="Times New Roman" w:eastAsiaTheme="minorEastAsia"/>
          <w:color w:val="auto"/>
          <w:sz w:val="20"/>
          <w:szCs w:val="20"/>
          <w:highlight w:val="none"/>
          <w:lang w:val="en-US" w:eastAsia="zh-CN"/>
        </w:rPr>
        <w:t>五</w:t>
      </w:r>
      <w:r>
        <w:rPr>
          <w:rFonts w:hint="default" w:ascii="Times New Roman" w:hAnsi="Times New Roman" w:cs="Times New Roman" w:eastAsiaTheme="minorEastAsia"/>
          <w:color w:val="auto"/>
          <w:sz w:val="20"/>
          <w:szCs w:val="20"/>
          <w:highlight w:val="none"/>
          <w:lang w:eastAsia="zh-CN"/>
        </w:rPr>
        <w:t>）</w:t>
      </w:r>
      <w:r>
        <w:rPr>
          <w:rFonts w:hint="default" w:ascii="Times New Roman" w:hAnsi="Times New Roman" w:cs="Times New Roman" w:eastAsiaTheme="minorEastAsia"/>
          <w:color w:val="auto"/>
          <w:sz w:val="20"/>
          <w:szCs w:val="20"/>
          <w:highlight w:val="none"/>
        </w:rPr>
        <w:t>投标人的信誉情况</w:t>
      </w:r>
      <w:r>
        <w:rPr>
          <w:rFonts w:hint="default" w:ascii="Times New Roman" w:hAnsi="Times New Roman" w:cs="Times New Roman" w:eastAsiaTheme="minorEastAsia"/>
          <w:color w:val="auto"/>
          <w:sz w:val="20"/>
          <w:szCs w:val="20"/>
          <w:highlight w:val="none"/>
          <w:lang w:val="en-US" w:eastAsia="zh-CN"/>
        </w:rPr>
        <w:t>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_Toc22988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118</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_Toc30580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w:t>
      </w:r>
      <w:r>
        <w:rPr>
          <w:rFonts w:hint="default" w:ascii="Times New Roman" w:hAnsi="Times New Roman" w:cs="Times New Roman" w:eastAsiaTheme="minorEastAsia"/>
          <w:color w:val="auto"/>
          <w:sz w:val="20"/>
          <w:szCs w:val="20"/>
          <w:highlight w:val="none"/>
          <w:lang w:val="en-US" w:eastAsia="zh-CN"/>
        </w:rPr>
        <w:t>六</w:t>
      </w:r>
      <w:r>
        <w:rPr>
          <w:rFonts w:hint="default" w:ascii="Times New Roman" w:hAnsi="Times New Roman" w:cs="Times New Roman" w:eastAsiaTheme="minorEastAsia"/>
          <w:color w:val="auto"/>
          <w:sz w:val="20"/>
          <w:szCs w:val="20"/>
          <w:highlight w:val="none"/>
        </w:rPr>
        <w:t>）制造商授权书</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_Toc30580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562" w:firstLineChars="281"/>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_Toc28593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eastAsia="zh-CN"/>
        </w:rPr>
        <w:t>（</w:t>
      </w:r>
      <w:r>
        <w:rPr>
          <w:rFonts w:hint="default" w:ascii="Times New Roman" w:hAnsi="Times New Roman" w:cs="Times New Roman" w:eastAsiaTheme="minorEastAsia"/>
          <w:color w:val="auto"/>
          <w:sz w:val="20"/>
          <w:szCs w:val="20"/>
          <w:highlight w:val="none"/>
          <w:lang w:val="en-US" w:eastAsia="zh-CN"/>
        </w:rPr>
        <w:t>七</w:t>
      </w:r>
      <w:r>
        <w:rPr>
          <w:rFonts w:hint="default" w:ascii="Times New Roman" w:hAnsi="Times New Roman" w:cs="Times New Roman" w:eastAsiaTheme="minorEastAsia"/>
          <w:color w:val="auto"/>
          <w:sz w:val="20"/>
          <w:szCs w:val="20"/>
          <w:highlight w:val="none"/>
          <w:lang w:eastAsia="zh-CN"/>
        </w:rPr>
        <w:t>）</w:t>
      </w:r>
      <w:r>
        <w:rPr>
          <w:rFonts w:hint="default" w:ascii="Times New Roman" w:hAnsi="Times New Roman" w:cs="Times New Roman" w:eastAsiaTheme="minorEastAsia"/>
          <w:color w:val="auto"/>
          <w:sz w:val="20"/>
          <w:szCs w:val="20"/>
          <w:highlight w:val="none"/>
        </w:rPr>
        <w:t>投标人的其他要求</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_Toc28593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122</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_Toc10062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七</w:t>
      </w:r>
      <w:r>
        <w:rPr>
          <w:rFonts w:hint="default" w:ascii="Times New Roman" w:hAnsi="Times New Roman" w:cs="Times New Roman" w:eastAsiaTheme="minorEastAsia"/>
          <w:color w:val="auto"/>
          <w:sz w:val="20"/>
          <w:szCs w:val="20"/>
          <w:highlight w:val="none"/>
        </w:rPr>
        <w:t>、投标设备技术性能指标的详细描述/投标材料质量标准的详细描述</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_Toc10062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123</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_Toc9131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八、技术支持资料</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_Toc9131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124</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_Toc30818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九、技术服务和质保期服务计划/</w:t>
      </w:r>
      <w:r>
        <w:rPr>
          <w:rFonts w:hint="default" w:ascii="Times New Roman" w:hAnsi="Times New Roman" w:cs="Times New Roman" w:eastAsiaTheme="minorEastAsia"/>
          <w:color w:val="auto"/>
          <w:sz w:val="20"/>
          <w:szCs w:val="20"/>
          <w:highlight w:val="none"/>
        </w:rPr>
        <w:t>相关服务计划</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_Toc30818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125</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_Toc17028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十、</w:t>
      </w:r>
      <w:r>
        <w:rPr>
          <w:rFonts w:hint="default" w:ascii="Times New Roman" w:hAnsi="Times New Roman" w:cs="Times New Roman" w:eastAsiaTheme="minorEastAsia"/>
          <w:color w:val="auto"/>
          <w:sz w:val="20"/>
          <w:szCs w:val="20"/>
          <w:highlight w:val="none"/>
        </w:rPr>
        <w:t>投标人告知承诺函</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_Toc17028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126</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_Toc23098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十一</w:t>
      </w:r>
      <w:r>
        <w:rPr>
          <w:rFonts w:hint="default" w:ascii="Times New Roman" w:hAnsi="Times New Roman" w:cs="Times New Roman" w:eastAsiaTheme="minorEastAsia"/>
          <w:color w:val="auto"/>
          <w:sz w:val="20"/>
          <w:szCs w:val="20"/>
          <w:highlight w:val="none"/>
        </w:rPr>
        <w:t>、</w:t>
      </w:r>
      <w:r>
        <w:rPr>
          <w:rFonts w:hint="default" w:ascii="Times New Roman" w:hAnsi="Times New Roman" w:cs="Times New Roman" w:eastAsiaTheme="minorEastAsia"/>
          <w:color w:val="auto"/>
          <w:sz w:val="20"/>
          <w:szCs w:val="20"/>
          <w:highlight w:val="none"/>
          <w:lang w:val="en-US" w:eastAsia="zh-CN"/>
        </w:rPr>
        <w:t>其他资料</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_Toc23098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127</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_Toc1016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目录</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_Toc1016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129</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_Toc31377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一、投标函</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_Toc31377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130</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pStyle w:val="25"/>
        <w:keepNext w:val="0"/>
        <w:keepLines w:val="0"/>
        <w:pageBreakBefore w:val="0"/>
        <w:widowControl w:val="0"/>
        <w:tabs>
          <w:tab w:val="right" w:leader="dot" w:pos="9072"/>
        </w:tabs>
        <w:kinsoku/>
        <w:wordWrap/>
        <w:overflowPunct/>
        <w:topLinePunct w:val="0"/>
        <w:autoSpaceDE/>
        <w:autoSpaceDN/>
        <w:bidi w:val="0"/>
        <w:adjustRightInd/>
        <w:snapToGrid/>
        <w:spacing w:line="440" w:lineRule="exact"/>
        <w:ind w:left="0" w:leftChars="0" w:firstLine="280" w:firstLineChars="140"/>
        <w:textAlignment w:val="auto"/>
        <w:rPr>
          <w:rFonts w:hint="default" w:ascii="Times New Roman" w:hAnsi="Times New Roman" w:cs="Times New Roman" w:eastAsiaTheme="minorEastAsia"/>
          <w:color w:val="auto"/>
          <w:sz w:val="20"/>
          <w:szCs w:val="20"/>
          <w:highlight w:val="none"/>
        </w:rPr>
      </w:pP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HYPERLINK \l _Toc10236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lang w:val="en-US" w:eastAsia="zh-CN"/>
        </w:rPr>
        <w:t>二、分项报价表</w:t>
      </w:r>
      <w:r>
        <w:rPr>
          <w:rFonts w:hint="default" w:ascii="Times New Roman" w:hAnsi="Times New Roman" w:cs="Times New Roman" w:eastAsiaTheme="minorEastAsia"/>
          <w:color w:val="auto"/>
          <w:sz w:val="20"/>
          <w:szCs w:val="20"/>
          <w:highlight w:val="none"/>
        </w:rPr>
        <w:tab/>
      </w:r>
      <w:r>
        <w:rPr>
          <w:rFonts w:hint="default" w:ascii="Times New Roman" w:hAnsi="Times New Roman" w:cs="Times New Roman" w:eastAsiaTheme="minorEastAsia"/>
          <w:color w:val="auto"/>
          <w:sz w:val="20"/>
          <w:szCs w:val="20"/>
          <w:highlight w:val="none"/>
        </w:rPr>
        <w:fldChar w:fldCharType="begin"/>
      </w:r>
      <w:r>
        <w:rPr>
          <w:rFonts w:hint="default" w:ascii="Times New Roman" w:hAnsi="Times New Roman" w:cs="Times New Roman" w:eastAsiaTheme="minorEastAsia"/>
          <w:color w:val="auto"/>
          <w:sz w:val="20"/>
          <w:szCs w:val="20"/>
          <w:highlight w:val="none"/>
        </w:rPr>
        <w:instrText xml:space="preserve"> PAGEREF _Toc10236 \h </w:instrText>
      </w:r>
      <w:r>
        <w:rPr>
          <w:rFonts w:hint="default" w:ascii="Times New Roman" w:hAnsi="Times New Roman" w:cs="Times New Roman" w:eastAsiaTheme="minorEastAsia"/>
          <w:color w:val="auto"/>
          <w:sz w:val="20"/>
          <w:szCs w:val="20"/>
          <w:highlight w:val="none"/>
        </w:rPr>
        <w:fldChar w:fldCharType="separate"/>
      </w:r>
      <w:r>
        <w:rPr>
          <w:rFonts w:hint="default" w:ascii="Times New Roman" w:hAnsi="Times New Roman" w:cs="Times New Roman" w:eastAsiaTheme="minorEastAsia"/>
          <w:color w:val="auto"/>
          <w:sz w:val="20"/>
          <w:szCs w:val="20"/>
          <w:highlight w:val="none"/>
        </w:rPr>
        <w:t>131</w:t>
      </w:r>
      <w:r>
        <w:rPr>
          <w:rFonts w:hint="default" w:ascii="Times New Roman" w:hAnsi="Times New Roman" w:cs="Times New Roman" w:eastAsiaTheme="minorEastAsia"/>
          <w:color w:val="auto"/>
          <w:sz w:val="20"/>
          <w:szCs w:val="20"/>
          <w:highlight w:val="none"/>
        </w:rPr>
        <w:fldChar w:fldCharType="end"/>
      </w:r>
      <w:r>
        <w:rPr>
          <w:rFonts w:hint="default" w:ascii="Times New Roman" w:hAnsi="Times New Roman" w:cs="Times New Roman" w:eastAsiaTheme="minorEastAsia"/>
          <w:color w:val="auto"/>
          <w:sz w:val="20"/>
          <w:szCs w:val="20"/>
          <w:highlight w:val="none"/>
        </w:rPr>
        <w:fldChar w:fldCharType="end"/>
      </w:r>
    </w:p>
    <w:p>
      <w:pPr>
        <w:keepNext w:val="0"/>
        <w:keepLines w:val="0"/>
        <w:pageBreakBefore w:val="0"/>
        <w:widowControl w:val="0"/>
        <w:kinsoku/>
        <w:wordWrap w:val="0"/>
        <w:overflowPunct/>
        <w:topLinePunct w:val="0"/>
        <w:autoSpaceDE/>
        <w:autoSpaceDN/>
        <w:bidi w:val="0"/>
        <w:adjustRightInd/>
        <w:snapToGrid/>
        <w:ind w:firstLine="0" w:firstLineChars="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fldChar w:fldCharType="end"/>
      </w:r>
    </w:p>
    <w:p>
      <w:pPr>
        <w:pStyle w:val="12"/>
        <w:tabs>
          <w:tab w:val="right" w:leader="dot" w:pos="9072"/>
        </w:tabs>
        <w:rPr>
          <w:rFonts w:hint="default" w:ascii="Times New Roman" w:hAnsi="Times New Roman" w:cs="Times New Roman"/>
          <w:color w:val="auto"/>
          <w:highlight w:val="none"/>
        </w:rPr>
        <w:sectPr>
          <w:footerReference r:id="rId6" w:type="default"/>
          <w:footnotePr>
            <w:numFmt w:val="decimalEnclosedCircleChinese"/>
            <w:numRestart w:val="eachPage"/>
          </w:footnotePr>
          <w:pgSz w:w="11906" w:h="16838"/>
          <w:pgMar w:top="1417" w:right="1417" w:bottom="1417" w:left="1417" w:header="720" w:footer="720" w:gutter="0"/>
          <w:pgNumType w:fmt="upperRoman" w:start="1"/>
          <w:cols w:space="720" w:num="1"/>
          <w:docGrid w:linePitch="285" w:charSpace="0"/>
        </w:sectPr>
      </w:pPr>
    </w:p>
    <w:p>
      <w:pPr>
        <w:pageBreakBefore w:val="0"/>
        <w:kinsoku/>
        <w:wordWrap w:val="0"/>
        <w:bidi w:val="0"/>
        <w:jc w:val="center"/>
        <w:outlineLvl w:val="9"/>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Style w:val="2"/>
        <w:keepNext/>
        <w:keepLines/>
        <w:pageBreakBefore w:val="0"/>
        <w:widowControl w:val="0"/>
        <w:kinsoku/>
        <w:wordWrap w:val="0"/>
        <w:overflowPunct/>
        <w:topLinePunct w:val="0"/>
        <w:autoSpaceDE/>
        <w:autoSpaceDN/>
        <w:bidi w:val="0"/>
        <w:adjustRightInd/>
        <w:snapToGrid/>
        <w:ind w:left="0" w:leftChars="0" w:firstLine="0" w:firstLineChars="0"/>
        <w:jc w:val="center"/>
        <w:textAlignment w:val="auto"/>
        <w:rPr>
          <w:rFonts w:hint="default" w:ascii="Times New Roman" w:hAnsi="Times New Roman" w:cs="Times New Roman"/>
          <w:color w:val="auto"/>
          <w:highlight w:val="none"/>
        </w:rPr>
      </w:pPr>
      <w:bookmarkStart w:id="10" w:name="_Toc17086"/>
      <w:r>
        <w:rPr>
          <w:rFonts w:hint="default" w:ascii="Times New Roman" w:hAnsi="Times New Roman" w:eastAsia="黑体" w:cs="Times New Roman"/>
          <w:b w:val="0"/>
          <w:color w:val="auto"/>
          <w:kern w:val="2"/>
          <w:sz w:val="56"/>
          <w:szCs w:val="56"/>
          <w:highlight w:val="none"/>
          <w:lang w:val="en-US" w:eastAsia="zh-CN" w:bidi="ar-SA"/>
        </w:rPr>
        <w:t>第</w:t>
      </w:r>
      <w:r>
        <w:rPr>
          <w:rFonts w:hint="eastAsia" w:eastAsia="黑体" w:cs="Times New Roman"/>
          <w:b w:val="0"/>
          <w:color w:val="auto"/>
          <w:kern w:val="2"/>
          <w:sz w:val="56"/>
          <w:szCs w:val="56"/>
          <w:highlight w:val="none"/>
          <w:lang w:val="en-US" w:eastAsia="zh-CN" w:bidi="ar-SA"/>
        </w:rPr>
        <w:t xml:space="preserve">  </w:t>
      </w:r>
      <w:r>
        <w:rPr>
          <w:rFonts w:hint="default" w:ascii="Times New Roman" w:hAnsi="Times New Roman" w:eastAsia="黑体" w:cs="Times New Roman"/>
          <w:b w:val="0"/>
          <w:color w:val="auto"/>
          <w:kern w:val="2"/>
          <w:sz w:val="56"/>
          <w:szCs w:val="56"/>
          <w:highlight w:val="none"/>
          <w:lang w:val="en-US" w:eastAsia="zh-CN" w:bidi="ar-SA"/>
        </w:rPr>
        <w:t>一</w:t>
      </w:r>
      <w:r>
        <w:rPr>
          <w:rFonts w:hint="eastAsia" w:eastAsia="黑体" w:cs="Times New Roman"/>
          <w:b w:val="0"/>
          <w:color w:val="auto"/>
          <w:kern w:val="2"/>
          <w:sz w:val="56"/>
          <w:szCs w:val="56"/>
          <w:highlight w:val="none"/>
          <w:lang w:val="en-US" w:eastAsia="zh-CN" w:bidi="ar-SA"/>
        </w:rPr>
        <w:t xml:space="preserve">  </w:t>
      </w:r>
      <w:r>
        <w:rPr>
          <w:rFonts w:hint="default" w:ascii="Times New Roman" w:hAnsi="Times New Roman" w:eastAsia="黑体" w:cs="Times New Roman"/>
          <w:b w:val="0"/>
          <w:color w:val="auto"/>
          <w:kern w:val="2"/>
          <w:sz w:val="56"/>
          <w:szCs w:val="56"/>
          <w:highlight w:val="none"/>
          <w:lang w:val="en-US" w:eastAsia="zh-CN" w:bidi="ar-SA"/>
        </w:rPr>
        <w:t>卷</w:t>
      </w:r>
      <w:bookmarkEnd w:id="10"/>
    </w:p>
    <w:p>
      <w:pPr>
        <w:pStyle w:val="2"/>
        <w:pageBreakBefore w:val="0"/>
        <w:kinsoku/>
        <w:wordWrap w:val="0"/>
        <w:bidi w:val="0"/>
        <w:jc w:val="center"/>
        <w:rPr>
          <w:rFonts w:hint="default" w:ascii="Times New Roman" w:hAnsi="Times New Roman" w:cs="Times New Roman"/>
          <w:color w:val="auto"/>
          <w:highlight w:val="none"/>
        </w:rPr>
        <w:sectPr>
          <w:headerReference r:id="rId7" w:type="default"/>
          <w:footerReference r:id="rId8" w:type="default"/>
          <w:footnotePr>
            <w:numFmt w:val="decimalEnclosedCircleChinese"/>
            <w:numRestart w:val="eachPage"/>
          </w:footnotePr>
          <w:pgSz w:w="11906" w:h="16838"/>
          <w:pgMar w:top="1417" w:right="1417" w:bottom="1417" w:left="1417" w:header="720" w:footer="720" w:gutter="0"/>
          <w:pgNumType w:fmt="decimal" w:start="1"/>
          <w:cols w:space="720" w:num="1"/>
          <w:docGrid w:linePitch="285" w:charSpace="0"/>
        </w:sectPr>
      </w:pPr>
    </w:p>
    <w:p>
      <w:pPr>
        <w:pageBreakBefore w:val="0"/>
        <w:kinsoku/>
        <w:wordWrap w:val="0"/>
        <w:bidi w:val="0"/>
        <w:jc w:val="center"/>
        <w:outlineLvl w:val="9"/>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ind w:left="0" w:leftChars="0" w:firstLine="0" w:firstLineChars="0"/>
        <w:jc w:val="center"/>
        <w:rPr>
          <w:rStyle w:val="47"/>
          <w:rFonts w:hint="default" w:ascii="Times New Roman" w:hAnsi="Times New Roman" w:eastAsia="黑体" w:cs="Times New Roman"/>
          <w:color w:val="auto"/>
          <w:sz w:val="42"/>
          <w:szCs w:val="42"/>
          <w:highlight w:val="none"/>
        </w:rPr>
      </w:pPr>
      <w:r>
        <w:rPr>
          <w:rFonts w:hint="default" w:ascii="Times New Roman" w:hAnsi="Times New Roman" w:eastAsia="黑体" w:cs="Times New Roman"/>
          <w:color w:val="auto"/>
          <w:sz w:val="56"/>
          <w:szCs w:val="56"/>
          <w:highlight w:val="none"/>
        </w:rPr>
        <w:t>第一章  招标公告</w:t>
      </w:r>
    </w:p>
    <w:p>
      <w:pPr>
        <w:pStyle w:val="2"/>
        <w:pageBreakBefore w:val="0"/>
        <w:kinsoku/>
        <w:wordWrap w:val="0"/>
        <w:bidi w:val="0"/>
        <w:spacing w:line="240" w:lineRule="auto"/>
        <w:jc w:val="center"/>
        <w:rPr>
          <w:rFonts w:hint="default" w:ascii="Times New Roman" w:hAnsi="Times New Roman" w:cs="Times New Roman"/>
          <w:color w:val="auto"/>
          <w:highlight w:val="none"/>
        </w:rPr>
        <w:sectPr>
          <w:footnotePr>
            <w:numFmt w:val="decimalEnclosedCircleChinese"/>
            <w:numRestart w:val="eachPage"/>
          </w:footnotePr>
          <w:type w:val="continuous"/>
          <w:pgSz w:w="11906" w:h="16838"/>
          <w:pgMar w:top="1417" w:right="1417" w:bottom="1417" w:left="1417" w:header="720" w:footer="720" w:gutter="0"/>
          <w:pgNumType w:fmt="decimal"/>
          <w:cols w:space="720" w:num="1"/>
          <w:docGrid w:linePitch="285" w:charSpace="0"/>
        </w:sectPr>
      </w:pPr>
    </w:p>
    <w:p>
      <w:pPr>
        <w:pStyle w:val="2"/>
        <w:pageBreakBefore w:val="0"/>
        <w:kinsoku/>
        <w:wordWrap w:val="0"/>
        <w:bidi w:val="0"/>
        <w:spacing w:line="240" w:lineRule="auto"/>
        <w:ind w:left="0" w:leftChars="0" w:firstLine="0" w:firstLineChars="0"/>
        <w:jc w:val="center"/>
        <w:rPr>
          <w:rFonts w:hint="default" w:ascii="Times New Roman" w:hAnsi="Times New Roman" w:cs="Times New Roman"/>
          <w:color w:val="auto"/>
          <w:highlight w:val="none"/>
        </w:rPr>
      </w:pPr>
      <w:bookmarkStart w:id="11" w:name="_Toc10806"/>
      <w:r>
        <w:rPr>
          <w:rFonts w:hint="default" w:ascii="Times New Roman" w:hAnsi="Times New Roman" w:eastAsia="黑体" w:cs="Times New Roman"/>
          <w:color w:val="auto"/>
          <w:highlight w:val="none"/>
        </w:rPr>
        <w:t>第一章</w:t>
      </w:r>
      <w:r>
        <w:rPr>
          <w:rStyle w:val="47"/>
          <w:rFonts w:hint="default" w:ascii="Times New Roman" w:hAnsi="Times New Roman" w:eastAsia="黑体" w:cs="Times New Roman"/>
          <w:b/>
          <w:color w:val="auto"/>
          <w:sz w:val="42"/>
          <w:szCs w:val="42"/>
          <w:highlight w:val="none"/>
        </w:rPr>
        <w:t xml:space="preserve">  </w:t>
      </w:r>
      <w:r>
        <w:rPr>
          <w:rFonts w:hint="default" w:ascii="Times New Roman" w:hAnsi="Times New Roman" w:eastAsia="黑体" w:cs="Times New Roman"/>
          <w:color w:val="auto"/>
          <w:highlight w:val="none"/>
        </w:rPr>
        <w:t>招标公告</w:t>
      </w:r>
      <w:r>
        <w:rPr>
          <w:rStyle w:val="37"/>
          <w:rFonts w:hint="default" w:ascii="Times New Roman" w:hAnsi="Times New Roman" w:eastAsia="黑体" w:cs="Times New Roman"/>
          <w:color w:val="auto"/>
          <w:sz w:val="42"/>
          <w:szCs w:val="42"/>
          <w:highlight w:val="none"/>
        </w:rPr>
        <w:footnoteReference w:id="0"/>
      </w:r>
      <w:bookmarkEnd w:id="11"/>
    </w:p>
    <w:p>
      <w:pPr>
        <w:pageBreakBefore w:val="0"/>
        <w:kinsoku/>
        <w:wordWrap w:val="0"/>
        <w:bidi w:val="0"/>
        <w:spacing w:line="440" w:lineRule="exact"/>
        <w:ind w:left="0" w:leftChars="0" w:firstLine="0" w:firstLineChars="0"/>
        <w:jc w:val="center"/>
        <w:rPr>
          <w:rFonts w:hint="default" w:ascii="Times New Roman" w:hAnsi="Times New Roman" w:eastAsia="黑体" w:cs="Times New Roman"/>
          <w:color w:val="auto"/>
          <w:sz w:val="28"/>
          <w:highlight w:val="none"/>
          <w:lang w:val="en-US"/>
        </w:rPr>
      </w:pPr>
      <w:r>
        <w:rPr>
          <w:rFonts w:hint="default" w:ascii="Times New Roman" w:hAnsi="Times New Roman" w:eastAsia="黑体" w:cs="Times New Roman"/>
          <w:b w:val="0"/>
          <w:bCs w:val="0"/>
          <w:color w:val="auto"/>
          <w:sz w:val="31"/>
          <w:szCs w:val="31"/>
          <w:highlight w:val="none"/>
          <w:u w:val="single"/>
          <w:lang w:val="en-US" w:eastAsia="zh-CN"/>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采购招标公告</w:t>
      </w:r>
      <w:r>
        <w:rPr>
          <w:rStyle w:val="37"/>
          <w:rFonts w:hint="default" w:ascii="Times New Roman" w:hAnsi="Times New Roman" w:eastAsia="黑体" w:cs="Times New Roman"/>
          <w:color w:val="auto"/>
          <w:sz w:val="28"/>
          <w:szCs w:val="28"/>
          <w:highlight w:val="none"/>
        </w:rPr>
        <w:footnoteReference w:id="1"/>
      </w:r>
    </w:p>
    <w:p>
      <w:pPr>
        <w:pageBreakBefore w:val="0"/>
        <w:kinsoku/>
        <w:wordWrap w:val="0"/>
        <w:bidi w:val="0"/>
        <w:spacing w:line="440" w:lineRule="exact"/>
        <w:jc w:val="center"/>
        <w:rPr>
          <w:rFonts w:hint="default" w:ascii="Times New Roman" w:hAnsi="Times New Roman" w:eastAsia="黑体" w:cs="Times New Roman"/>
          <w:color w:val="auto"/>
          <w:sz w:val="20"/>
          <w:highlight w:val="none"/>
        </w:rPr>
      </w:pPr>
    </w:p>
    <w:p>
      <w:pPr>
        <w:pStyle w:val="3"/>
        <w:pageBreakBefore w:val="0"/>
        <w:kinsoku/>
        <w:wordWrap w:val="0"/>
        <w:bidi w:val="0"/>
        <w:spacing w:line="240" w:lineRule="auto"/>
        <w:rPr>
          <w:rFonts w:hint="default" w:ascii="Times New Roman" w:hAnsi="Times New Roman" w:cs="Times New Roman"/>
          <w:color w:val="auto"/>
          <w:highlight w:val="none"/>
        </w:rPr>
      </w:pPr>
      <w:bookmarkStart w:id="12" w:name="_Toc9575"/>
      <w:r>
        <w:rPr>
          <w:rFonts w:hint="default" w:ascii="Times New Roman" w:hAnsi="Times New Roman" w:cs="Times New Roman"/>
          <w:color w:val="auto"/>
          <w:highlight w:val="none"/>
        </w:rPr>
        <w:t>1. 招标条件</w:t>
      </w:r>
      <w:bookmarkEnd w:id="1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本招标项目</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（项目名称）已由</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（项目审批、核准或备案机关名称）以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（批文名称及编号）批准建设，项目业主为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，建设资金来自</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（资金来源），出资比例为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lang w:val="en-US" w:eastAsia="zh-CN"/>
        </w:rPr>
        <w:t>本项目设备材料采购的</w:t>
      </w:r>
      <w:r>
        <w:rPr>
          <w:rFonts w:hint="default" w:ascii="Times New Roman" w:hAnsi="Times New Roman" w:cs="Times New Roman"/>
          <w:color w:val="auto"/>
          <w:sz w:val="24"/>
          <w:highlight w:val="none"/>
        </w:rPr>
        <w:t>招标人为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。项目已具备招标条件，现对</w:t>
      </w:r>
      <w:r>
        <w:rPr>
          <w:rFonts w:hint="eastAsia" w:ascii="Times New Roman" w:hAnsi="Times New Roman" w:cs="Times New Roman"/>
          <w:color w:val="auto"/>
          <w:sz w:val="24"/>
          <w:highlight w:val="none"/>
          <w:u w:val="single"/>
          <w:lang w:val="en-US" w:eastAsia="zh-CN"/>
        </w:rPr>
        <w:t xml:space="preserve">      </w:t>
      </w:r>
      <w:r>
        <w:rPr>
          <w:rFonts w:hint="eastAsia" w:ascii="Times New Roman" w:hAnsi="Times New Roman" w:cs="Times New Roman"/>
          <w:color w:val="auto"/>
          <w:sz w:val="24"/>
          <w:szCs w:val="24"/>
          <w:highlight w:val="none"/>
          <w:lang w:val="en-US" w:eastAsia="zh-CN"/>
        </w:rPr>
        <w:t>（设备材料名称）</w:t>
      </w:r>
      <w:r>
        <w:rPr>
          <w:rFonts w:hint="default" w:ascii="Times New Roman" w:hAnsi="Times New Roman" w:cs="Times New Roman"/>
          <w:color w:val="auto"/>
          <w:sz w:val="24"/>
          <w:highlight w:val="none"/>
        </w:rPr>
        <w:t>进行公开招标。</w:t>
      </w:r>
    </w:p>
    <w:p>
      <w:pPr>
        <w:pStyle w:val="3"/>
        <w:pageBreakBefore w:val="0"/>
        <w:widowControl w:val="0"/>
        <w:kinsoku/>
        <w:wordWrap w:val="0"/>
        <w:overflowPunct/>
        <w:topLinePunct w:val="0"/>
        <w:autoSpaceDE/>
        <w:autoSpaceDN/>
        <w:bidi w:val="0"/>
        <w:adjustRightInd/>
        <w:snapToGrid/>
        <w:spacing w:line="240" w:lineRule="auto"/>
        <w:textAlignment w:val="auto"/>
        <w:rPr>
          <w:rFonts w:hint="default" w:ascii="Times New Roman" w:hAnsi="Times New Roman" w:cs="Times New Roman"/>
          <w:color w:val="auto"/>
          <w:highlight w:val="none"/>
        </w:rPr>
      </w:pPr>
      <w:bookmarkStart w:id="13" w:name="_Toc22520"/>
      <w:r>
        <w:rPr>
          <w:rFonts w:hint="default" w:ascii="Times New Roman" w:hAnsi="Times New Roman" w:cs="Times New Roman"/>
          <w:color w:val="auto"/>
          <w:highlight w:val="none"/>
        </w:rPr>
        <w:t>2. 项目概况与招标范围</w:t>
      </w:r>
      <w:bookmarkEnd w:id="13"/>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lang w:val="en-US" w:eastAsia="zh-CN"/>
        </w:rPr>
        <w:t>2.1项目概况</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w:t>
      </w:r>
      <w:r>
        <w:rPr>
          <w:rFonts w:hint="default" w:ascii="Times New Roman" w:hAnsi="Times New Roman" w:cs="Times New Roman"/>
          <w:color w:val="auto"/>
          <w:sz w:val="24"/>
          <w:highlight w:val="none"/>
          <w:u w:val="none"/>
          <w:lang w:val="en-US" w:eastAsia="zh-CN"/>
        </w:rPr>
        <w:t>详细</w:t>
      </w:r>
      <w:r>
        <w:rPr>
          <w:rFonts w:hint="default" w:ascii="Times New Roman" w:hAnsi="Times New Roman" w:cs="Times New Roman"/>
          <w:color w:val="auto"/>
          <w:sz w:val="24"/>
          <w:highlight w:val="none"/>
          <w:u w:val="none"/>
        </w:rPr>
        <w:t>的建设地点、规模、</w:t>
      </w:r>
      <w:r>
        <w:rPr>
          <w:rFonts w:hint="default" w:ascii="Times New Roman" w:hAnsi="Times New Roman" w:cs="Times New Roman"/>
          <w:color w:val="auto"/>
          <w:sz w:val="24"/>
          <w:highlight w:val="none"/>
          <w:u w:val="none"/>
          <w:lang w:val="en-US" w:eastAsia="zh-CN"/>
        </w:rPr>
        <w:t>建设工期等信息</w:t>
      </w:r>
      <w:r>
        <w:rPr>
          <w:rFonts w:hint="default" w:ascii="Times New Roman" w:hAnsi="Times New Roman" w:cs="Times New Roman"/>
          <w:color w:val="auto"/>
          <w:sz w:val="24"/>
          <w:highlight w:val="none"/>
          <w:u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lang w:val="en-US" w:eastAsia="zh-CN"/>
        </w:rPr>
        <w:t>2.2标段划分</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说明本次招标项目的标段划分等</w:t>
      </w:r>
      <w:r>
        <w:rPr>
          <w:rFonts w:hint="default" w:ascii="Times New Roman" w:hAnsi="Times New Roman" w:cs="Times New Roman"/>
          <w:color w:val="auto"/>
          <w:sz w:val="24"/>
          <w:highlight w:val="none"/>
          <w:u w:val="none"/>
          <w:lang w:val="en-US" w:eastAsia="zh-CN"/>
        </w:rPr>
        <w:t>信息</w:t>
      </w:r>
      <w:r>
        <w:rPr>
          <w:rFonts w:hint="default" w:ascii="Times New Roman" w:hAnsi="Times New Roman"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lang w:val="en-US" w:eastAsia="zh-CN"/>
        </w:rPr>
        <w:t>2.3招标范围</w:t>
      </w:r>
    </w:p>
    <w:p>
      <w:pPr>
        <w:pageBreakBefore w:val="0"/>
        <w:kinsoku/>
        <w:wordWrap w:val="0"/>
        <w:bidi w:val="0"/>
        <w:spacing w:line="400" w:lineRule="atLeast"/>
        <w:ind w:firstLine="480" w:firstLineChars="200"/>
        <w:rPr>
          <w:rFonts w:hint="default" w:ascii="Times New Roman" w:hAnsi="Times New Roman" w:eastAsia="宋体"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u w:val="none"/>
          <w:lang w:val="en-US" w:eastAsia="zh-CN"/>
        </w:rPr>
        <w:t>设备材料名称、数量、技术规格</w:t>
      </w:r>
      <w:r>
        <w:rPr>
          <w:rFonts w:hint="default" w:ascii="Times New Roman" w:hAnsi="Times New Roman" w:cs="Times New Roman"/>
          <w:color w:val="auto"/>
          <w:sz w:val="24"/>
          <w:highlight w:val="none"/>
          <w:u w:val="none"/>
        </w:rPr>
        <w:t>等</w:t>
      </w:r>
      <w:r>
        <w:rPr>
          <w:rFonts w:hint="default" w:ascii="Times New Roman" w:hAnsi="Times New Roman" w:cs="Times New Roman"/>
          <w:color w:val="auto"/>
          <w:sz w:val="24"/>
          <w:highlight w:val="none"/>
          <w:u w:val="none"/>
          <w:lang w:val="en-US" w:eastAsia="zh-CN"/>
        </w:rPr>
        <w:t>信息</w:t>
      </w:r>
      <w:r>
        <w:rPr>
          <w:rFonts w:hint="default" w:ascii="Times New Roman" w:hAnsi="Times New Roman" w:cs="Times New Roman"/>
          <w:color w:val="auto"/>
          <w:sz w:val="24"/>
          <w:highlight w:val="none"/>
          <w:lang w:eastAsia="zh-CN"/>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lang w:val="en-US" w:eastAsia="zh-CN"/>
        </w:rPr>
        <w:t>2.4交货地点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u w:val="none"/>
          <w:lang w:val="en-US" w:eastAsia="zh-CN"/>
        </w:rPr>
        <w:t>交货地点</w:t>
      </w:r>
      <w:r>
        <w:rPr>
          <w:rFonts w:hint="default" w:ascii="Times New Roman" w:hAnsi="Times New Roman" w:cs="Times New Roman"/>
          <w:color w:val="auto"/>
          <w:sz w:val="24"/>
          <w:highlight w:val="none"/>
          <w:u w:val="none"/>
        </w:rPr>
        <w:t>等</w:t>
      </w:r>
      <w:r>
        <w:rPr>
          <w:rFonts w:hint="default" w:ascii="Times New Roman" w:hAnsi="Times New Roman" w:cs="Times New Roman"/>
          <w:color w:val="auto"/>
          <w:sz w:val="24"/>
          <w:highlight w:val="none"/>
          <w:u w:val="none"/>
          <w:lang w:val="en-US" w:eastAsia="zh-CN"/>
        </w:rPr>
        <w:t>信息</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u w:val="none"/>
          <w:lang w:val="en-US" w:eastAsia="zh-CN"/>
        </w:rPr>
      </w:pPr>
      <w:r>
        <w:rPr>
          <w:rFonts w:hint="default" w:ascii="Times New Roman" w:hAnsi="Times New Roman" w:cs="Times New Roman"/>
          <w:color w:val="auto"/>
          <w:sz w:val="24"/>
          <w:highlight w:val="none"/>
          <w:u w:val="none"/>
          <w:lang w:val="en-US" w:eastAsia="zh-CN"/>
        </w:rPr>
        <w:t>2.5交货期</w:t>
      </w:r>
    </w:p>
    <w:p>
      <w:pPr>
        <w:pageBreakBefore w:val="0"/>
        <w:kinsoku/>
        <w:wordWrap w:val="0"/>
        <w:bidi w:val="0"/>
        <w:spacing w:line="400" w:lineRule="exact"/>
        <w:ind w:firstLine="42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u w:val="none"/>
        </w:rPr>
        <w:t>说明本次招标项目的</w:t>
      </w:r>
      <w:r>
        <w:rPr>
          <w:rFonts w:hint="default" w:ascii="Times New Roman" w:hAnsi="Times New Roman" w:cs="Times New Roman"/>
          <w:color w:val="auto"/>
          <w:sz w:val="24"/>
          <w:highlight w:val="none"/>
          <w:u w:val="none"/>
          <w:lang w:val="en-US" w:eastAsia="zh-CN"/>
        </w:rPr>
        <w:t>交货期限</w:t>
      </w:r>
      <w:r>
        <w:rPr>
          <w:rFonts w:hint="default" w:ascii="Times New Roman" w:hAnsi="Times New Roman" w:cs="Times New Roman"/>
          <w:color w:val="auto"/>
          <w:sz w:val="24"/>
          <w:highlight w:val="none"/>
          <w:u w:val="none"/>
        </w:rPr>
        <w:t>等</w:t>
      </w:r>
      <w:r>
        <w:rPr>
          <w:rFonts w:hint="default" w:ascii="Times New Roman" w:hAnsi="Times New Roman" w:cs="Times New Roman"/>
          <w:color w:val="auto"/>
          <w:sz w:val="24"/>
          <w:highlight w:val="none"/>
          <w:u w:val="none"/>
          <w:lang w:val="en-US" w:eastAsia="zh-CN"/>
        </w:rPr>
        <w:t>信息</w:t>
      </w:r>
      <w:r>
        <w:rPr>
          <w:rFonts w:hint="default" w:ascii="Times New Roman" w:hAnsi="Times New Roman" w:cs="Times New Roman"/>
          <w:color w:val="auto"/>
          <w:sz w:val="24"/>
          <w:highlight w:val="none"/>
          <w:lang w:eastAsia="zh-CN"/>
        </w:rPr>
        <w:t>。</w:t>
      </w:r>
    </w:p>
    <w:p>
      <w:pPr>
        <w:pStyle w:val="3"/>
        <w:pageBreakBefore w:val="0"/>
        <w:kinsoku/>
        <w:wordWrap w:val="0"/>
        <w:bidi w:val="0"/>
        <w:spacing w:line="240" w:lineRule="auto"/>
        <w:rPr>
          <w:rFonts w:hint="default" w:ascii="Times New Roman" w:hAnsi="Times New Roman" w:cs="Times New Roman"/>
          <w:color w:val="auto"/>
          <w:highlight w:val="none"/>
        </w:rPr>
      </w:pPr>
      <w:bookmarkStart w:id="14" w:name="_Toc26889"/>
      <w:r>
        <w:rPr>
          <w:rFonts w:hint="default" w:ascii="Times New Roman" w:hAnsi="Times New Roman" w:cs="Times New Roman"/>
          <w:color w:val="auto"/>
          <w:highlight w:val="none"/>
        </w:rPr>
        <w:t>3. 投标人资格要求</w:t>
      </w:r>
      <w:r>
        <w:rPr>
          <w:rStyle w:val="37"/>
          <w:rFonts w:hint="default" w:ascii="Times New Roman" w:hAnsi="Times New Roman" w:eastAsia="黑体" w:cs="Times New Roman"/>
          <w:color w:val="auto"/>
          <w:sz w:val="28"/>
          <w:szCs w:val="28"/>
          <w:highlight w:val="none"/>
        </w:rPr>
        <w:footnoteReference w:id="2"/>
      </w:r>
      <w:bookmarkEnd w:id="14"/>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3.1 本次招标要求投标人具有与本招标项目相应的供货能力</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须具备</w:t>
      </w:r>
      <w:r>
        <w:rPr>
          <w:rFonts w:hint="default" w:ascii="Times New Roman" w:hAnsi="Times New Roman" w:cs="Times New Roman"/>
          <w:color w:val="auto"/>
          <w:sz w:val="24"/>
          <w:szCs w:val="24"/>
          <w:highlight w:val="none"/>
          <w:lang w:val="en-US" w:eastAsia="zh-CN"/>
        </w:rPr>
        <w:t>的资格条件如下：</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3.1.1资质要求</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3.1.2财务要求</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3.1.3业绩要求</w:t>
      </w:r>
    </w:p>
    <w:p>
      <w:pPr>
        <w:pageBreakBefore w:val="0"/>
        <w:kinsoku/>
        <w:wordWrap w:val="0"/>
        <w:bidi w:val="0"/>
        <w:spacing w:line="400" w:lineRule="atLeast"/>
        <w:ind w:firstLine="0" w:firstLineChars="0"/>
        <w:rPr>
          <w:rFonts w:hint="default" w:ascii="Times New Roman" w:hAnsi="Times New Roman"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3.1.4信誉要求</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3.1.5其他要求</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3.2 本次招标</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（接受或不接受）联合体投标。联合体投标的，应满足下列要求：</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w:t>
      </w:r>
    </w:p>
    <w:p>
      <w:pPr>
        <w:keepNext w:val="0"/>
        <w:keepLines w:val="0"/>
        <w:pageBreakBefore w:val="0"/>
        <w:widowControl w:val="0"/>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3.3 每个投标人最多可对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（具体数量）个标段投标；每个投标人允许中</w:t>
      </w:r>
      <w:r>
        <w:rPr>
          <w:rFonts w:hint="default" w:ascii="Times New Roman" w:hAnsi="Times New Roman" w:cs="Times New Roman"/>
          <w:color w:val="auto"/>
          <w:sz w:val="24"/>
          <w:highlight w:val="none"/>
          <w:lang w:val="en-US" w:eastAsia="zh-CN"/>
        </w:rPr>
        <w:t>其中</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 w:val="24"/>
          <w:highlight w:val="none"/>
        </w:rPr>
        <w:t>个标</w:t>
      </w:r>
      <w:r>
        <w:rPr>
          <w:rFonts w:hint="default" w:ascii="Times New Roman" w:hAnsi="Times New Roman" w:cs="Times New Roman"/>
          <w:color w:val="auto"/>
          <w:sz w:val="24"/>
          <w:highlight w:val="none"/>
          <w:lang w:val="en-US" w:eastAsia="zh-CN"/>
        </w:rPr>
        <w:t>段</w:t>
      </w:r>
      <w:r>
        <w:rPr>
          <w:rFonts w:hint="default" w:ascii="Times New Roman" w:hAnsi="Times New Roman" w:cs="Times New Roman"/>
          <w:color w:val="auto"/>
          <w:sz w:val="24"/>
          <w:highlight w:val="none"/>
        </w:rPr>
        <w:t>。</w:t>
      </w:r>
    </w:p>
    <w:p>
      <w:pPr>
        <w:pageBreakBefore w:val="0"/>
        <w:tabs>
          <w:tab w:val="left" w:pos="360"/>
        </w:tabs>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3.4</w:t>
      </w:r>
      <w:bookmarkStart w:id="15" w:name="_Hlk493498874"/>
      <w:r>
        <w:rPr>
          <w:rFonts w:hint="default" w:ascii="Times New Roman" w:hAnsi="Times New Roman" w:cs="Times New Roman"/>
          <w:color w:val="auto"/>
          <w:sz w:val="24"/>
          <w:highlight w:val="none"/>
        </w:rPr>
        <w:t xml:space="preserve"> 与招标人存在利害关系可能影响招标公正性的单位，不得参加投标。</w:t>
      </w:r>
      <w:bookmarkEnd w:id="15"/>
      <w:r>
        <w:rPr>
          <w:rFonts w:hint="default" w:ascii="Times New Roman" w:hAnsi="Times New Roman" w:cs="Times New Roman"/>
          <w:color w:val="auto"/>
          <w:sz w:val="24"/>
          <w:highlight w:val="none"/>
        </w:rPr>
        <w:t>单位负责人为同一人或存在控股、管理关系的不同单位，不得参加同一标段投标，否则，相关投标均无效。</w:t>
      </w:r>
    </w:p>
    <w:p>
      <w:pPr>
        <w:pageBreakBefore w:val="0"/>
        <w:kinsoku/>
        <w:wordWrap w:val="0"/>
        <w:bidi w:val="0"/>
        <w:spacing w:line="400" w:lineRule="atLeas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3.5</w:t>
      </w:r>
      <w:r>
        <w:rPr>
          <w:rFonts w:hint="default" w:ascii="Times New Roman" w:hAnsi="Times New Roman" w:cs="Times New Roman"/>
          <w:color w:val="auto"/>
          <w:sz w:val="24"/>
          <w:szCs w:val="24"/>
          <w:highlight w:val="none"/>
        </w:rPr>
        <w:t xml:space="preserve"> 一个制造商对同一品牌同一型号的</w:t>
      </w:r>
      <w:r>
        <w:rPr>
          <w:rFonts w:hint="default" w:ascii="Times New Roman" w:hAnsi="Times New Roman" w:cs="Times New Roman"/>
          <w:color w:val="auto"/>
          <w:sz w:val="24"/>
          <w:szCs w:val="24"/>
          <w:highlight w:val="none"/>
          <w:lang w:val="en-US" w:eastAsia="zh-CN"/>
        </w:rPr>
        <w:t>设备</w:t>
      </w:r>
      <w:r>
        <w:rPr>
          <w:rFonts w:hint="default" w:ascii="Times New Roman" w:hAnsi="Times New Roman" w:cs="Times New Roman"/>
          <w:color w:val="auto"/>
          <w:sz w:val="24"/>
          <w:szCs w:val="24"/>
          <w:highlight w:val="none"/>
        </w:rPr>
        <w:t>材料，仅能委托一个代理商参加投标</w:t>
      </w:r>
      <w:r>
        <w:rPr>
          <w:rFonts w:hint="default" w:ascii="Times New Roman" w:hAnsi="Times New Roman" w:cs="Times New Roman"/>
          <w:color w:val="auto"/>
          <w:sz w:val="24"/>
          <w:highlight w:val="none"/>
        </w:rPr>
        <w:t>；</w:t>
      </w:r>
      <w:r>
        <w:rPr>
          <w:rFonts w:hint="default" w:ascii="Times New Roman" w:hAnsi="Times New Roman" w:cs="Times New Roman"/>
          <w:color w:val="auto"/>
          <w:sz w:val="24"/>
          <w:szCs w:val="24"/>
          <w:highlight w:val="none"/>
        </w:rPr>
        <w:t>同一品牌同一型号</w:t>
      </w:r>
      <w:r>
        <w:rPr>
          <w:rFonts w:hint="default" w:ascii="Times New Roman" w:hAnsi="Times New Roman" w:cs="Times New Roman"/>
          <w:color w:val="auto"/>
          <w:sz w:val="24"/>
          <w:highlight w:val="none"/>
        </w:rPr>
        <w:t>的</w:t>
      </w:r>
      <w:r>
        <w:rPr>
          <w:rFonts w:hint="default" w:ascii="Times New Roman" w:hAnsi="Times New Roman" w:cs="Times New Roman"/>
          <w:color w:val="auto"/>
          <w:sz w:val="24"/>
          <w:szCs w:val="24"/>
          <w:highlight w:val="none"/>
        </w:rPr>
        <w:t>制造商</w:t>
      </w:r>
      <w:r>
        <w:rPr>
          <w:rFonts w:hint="default" w:ascii="Times New Roman" w:hAnsi="Times New Roman" w:cs="Times New Roman"/>
          <w:color w:val="auto"/>
          <w:sz w:val="24"/>
          <w:highlight w:val="none"/>
        </w:rPr>
        <w:t>和其代理商不能同时参与本项目的投标。否则，相关投标均无效</w:t>
      </w:r>
      <w:r>
        <w:rPr>
          <w:rFonts w:hint="default" w:ascii="Times New Roman" w:hAnsi="Times New Roman" w:cs="Times New Roman"/>
          <w:color w:val="auto"/>
          <w:sz w:val="24"/>
          <w:szCs w:val="24"/>
          <w:highlight w:val="none"/>
        </w:rPr>
        <w:t>。</w:t>
      </w:r>
    </w:p>
    <w:p>
      <w:pPr>
        <w:pStyle w:val="3"/>
        <w:pageBreakBefore w:val="0"/>
        <w:kinsoku/>
        <w:wordWrap w:val="0"/>
        <w:bidi w:val="0"/>
        <w:spacing w:line="240" w:lineRule="auto"/>
        <w:rPr>
          <w:rFonts w:hint="default" w:ascii="Times New Roman" w:hAnsi="Times New Roman" w:cs="Times New Roman"/>
          <w:color w:val="auto"/>
          <w:highlight w:val="none"/>
        </w:rPr>
      </w:pPr>
      <w:bookmarkStart w:id="16" w:name="_Toc15349"/>
      <w:r>
        <w:rPr>
          <w:rFonts w:hint="default" w:ascii="Times New Roman" w:hAnsi="Times New Roman" w:cs="Times New Roman"/>
          <w:color w:val="auto"/>
          <w:highlight w:val="none"/>
        </w:rPr>
        <w:t>4. 招标文件的获取</w:t>
      </w:r>
      <w:bookmarkEnd w:id="16"/>
    </w:p>
    <w:p>
      <w:pPr>
        <w:keepNext w:val="0"/>
        <w:keepLines w:val="0"/>
        <w:pageBreakBefore w:val="0"/>
        <w:widowControl w:val="0"/>
        <w:tabs>
          <w:tab w:val="left" w:pos="360"/>
        </w:tabs>
        <w:kinsoku/>
        <w:wordWrap w:val="0"/>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.1 凡有意参加投标者，请在</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szCs w:val="24"/>
          <w:highlight w:val="none"/>
          <w:u w:val="single"/>
          <w:lang w:eastAsia="zh-CN"/>
        </w:rPr>
        <w:t>辽宁省公共资源交易</w:t>
      </w:r>
      <w:r>
        <w:rPr>
          <w:rFonts w:hint="eastAsia" w:ascii="宋体" w:hAnsi="宋体" w:eastAsia="宋体" w:cs="宋体"/>
          <w:color w:val="auto"/>
          <w:sz w:val="24"/>
          <w:szCs w:val="24"/>
          <w:highlight w:val="none"/>
          <w:u w:val="single"/>
          <w:lang w:eastAsia="zh-CN"/>
        </w:rPr>
        <w:t>“</w:t>
      </w:r>
      <w:r>
        <w:rPr>
          <w:rFonts w:hint="default" w:ascii="Times New Roman" w:hAnsi="Times New Roman" w:cs="Times New Roman"/>
          <w:color w:val="auto"/>
          <w:sz w:val="24"/>
          <w:szCs w:val="24"/>
          <w:highlight w:val="none"/>
          <w:u w:val="single"/>
          <w:lang w:eastAsia="zh-CN"/>
        </w:rPr>
        <w:t>一张网</w:t>
      </w:r>
      <w:r>
        <w:rPr>
          <w:rFonts w:hint="eastAsia" w:ascii="宋体" w:hAnsi="宋体" w:eastAsia="宋体" w:cs="宋体"/>
          <w:color w:val="auto"/>
          <w:sz w:val="24"/>
          <w:szCs w:val="24"/>
          <w:highlight w:val="none"/>
          <w:u w:val="single"/>
          <w:lang w:eastAsia="zh-CN"/>
        </w:rPr>
        <w:t>”</w:t>
      </w:r>
      <w:r>
        <w:rPr>
          <w:rFonts w:hint="default" w:ascii="Times New Roman" w:hAnsi="Times New Roman" w:cs="Times New Roman"/>
          <w:color w:val="auto"/>
          <w:sz w:val="24"/>
          <w:szCs w:val="24"/>
          <w:highlight w:val="none"/>
          <w:u w:val="single"/>
          <w:lang w:eastAsia="zh-CN"/>
        </w:rPr>
        <w:t>电子化平台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电子交易平台（以下简称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，网址：</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eastAsiaTheme="minorEastAsia"/>
          <w:color w:val="auto"/>
          <w:sz w:val="24"/>
          <w:szCs w:val="24"/>
          <w:highlight w:val="none"/>
          <w:u w:val="single" w:color="auto"/>
          <w:lang w:val="en-US" w:eastAsia="zh-CN"/>
        </w:rPr>
        <w:t>https://www.lnsggzy.com/EpointSSO/login/oauth2login</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）进行网员注册，并</w:t>
      </w:r>
      <w:r>
        <w:rPr>
          <w:rFonts w:hint="default" w:ascii="Times New Roman" w:hAnsi="Times New Roman" w:cs="Times New Roman"/>
          <w:color w:val="auto"/>
          <w:sz w:val="24"/>
          <w:highlight w:val="none"/>
          <w:lang w:val="en-US" w:eastAsia="zh-CN"/>
        </w:rPr>
        <w:t>办理</w:t>
      </w:r>
      <w:r>
        <w:rPr>
          <w:rFonts w:hint="default" w:ascii="Times New Roman" w:hAnsi="Times New Roman" w:cs="Times New Roman"/>
          <w:color w:val="auto"/>
          <w:sz w:val="24"/>
          <w:highlight w:val="none"/>
        </w:rPr>
        <w:t>CA数字证书。</w:t>
      </w:r>
    </w:p>
    <w:p>
      <w:pPr>
        <w:keepNext w:val="0"/>
        <w:keepLines w:val="0"/>
        <w:pageBreakBefore w:val="0"/>
        <w:widowControl w:val="0"/>
        <w:tabs>
          <w:tab w:val="left" w:pos="360"/>
        </w:tabs>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rPr>
        <w:t>.2 完成网员注册后，请于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至</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时</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分</w:t>
      </w:r>
      <w:r>
        <w:rPr>
          <w:rFonts w:hint="default" w:ascii="Times New Roman" w:hAnsi="Times New Roman" w:cs="Times New Roman"/>
          <w:color w:val="auto"/>
          <w:sz w:val="24"/>
          <w:highlight w:val="none"/>
        </w:rPr>
        <w:t>，通过互联网使用CA数字证书登录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，明确所投标段，</w:t>
      </w:r>
      <w:r>
        <w:rPr>
          <w:rFonts w:hint="default" w:ascii="Times New Roman" w:hAnsi="Times New Roman" w:cs="Times New Roman"/>
          <w:color w:val="auto"/>
          <w:sz w:val="24"/>
          <w:highlight w:val="none"/>
          <w:lang w:val="en-US" w:eastAsia="zh-CN"/>
        </w:rPr>
        <w:t>匿名免费下载招标文件和参考资料</w:t>
      </w:r>
      <w:r>
        <w:rPr>
          <w:rFonts w:hint="default" w:ascii="Times New Roman" w:hAnsi="Times New Roman" w:cs="Times New Roman"/>
          <w:color w:val="auto"/>
          <w:sz w:val="24"/>
          <w:highlight w:val="none"/>
        </w:rPr>
        <w:t>。联合体投标的，由联合体牵头人完成招标文件等资料下载。</w:t>
      </w:r>
    </w:p>
    <w:p>
      <w:pPr>
        <w:pStyle w:val="3"/>
        <w:pageBreakBefore w:val="0"/>
        <w:kinsoku/>
        <w:wordWrap w:val="0"/>
        <w:bidi w:val="0"/>
        <w:spacing w:line="240" w:lineRule="auto"/>
        <w:rPr>
          <w:rFonts w:hint="default" w:ascii="Times New Roman" w:hAnsi="Times New Roman" w:eastAsia="黑体" w:cs="Times New Roman"/>
          <w:color w:val="auto"/>
          <w:highlight w:val="none"/>
          <w:lang w:eastAsia="zh-CN"/>
        </w:rPr>
      </w:pPr>
      <w:bookmarkStart w:id="17" w:name="_Toc28546"/>
      <w:r>
        <w:rPr>
          <w:rFonts w:hint="default" w:ascii="Times New Roman" w:hAnsi="Times New Roman" w:cs="Times New Roman"/>
          <w:color w:val="auto"/>
          <w:highlight w:val="none"/>
        </w:rPr>
        <w:t>5. 投标文件的递交</w:t>
      </w:r>
      <w:bookmarkEnd w:id="17"/>
    </w:p>
    <w:p>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val="0"/>
          <w:bCs w:val="0"/>
          <w:color w:val="auto"/>
          <w:sz w:val="24"/>
          <w:szCs w:val="24"/>
          <w:highlight w:val="none"/>
        </w:rPr>
      </w:pPr>
      <w:r>
        <w:rPr>
          <w:rFonts w:hint="default" w:ascii="Times New Roman" w:hAnsi="Times New Roman" w:cs="Times New Roman"/>
          <w:color w:val="auto"/>
          <w:sz w:val="24"/>
          <w:highlight w:val="none"/>
        </w:rPr>
        <w:t>5.1 招标人将</w:t>
      </w:r>
      <w:r>
        <w:rPr>
          <w:rFonts w:hint="default" w:ascii="Times New Roman" w:hAnsi="Times New Roman" w:cs="Times New Roman"/>
          <w:color w:val="auto"/>
          <w:sz w:val="24"/>
          <w:highlight w:val="none"/>
          <w:lang w:val="en-US" w:eastAsia="zh-CN"/>
        </w:rPr>
        <w:t xml:space="preserve"> </w:t>
      </w:r>
      <w:r>
        <w:rPr>
          <w:rFonts w:hint="default" w:ascii="Times New Roman" w:hAnsi="Times New Roman" w:eastAsia="宋体" w:cs="Times New Roman"/>
          <w:b w:val="0"/>
          <w:bCs w:val="0"/>
          <w:color w:val="auto"/>
          <w:sz w:val="24"/>
          <w:szCs w:val="24"/>
          <w:highlight w:val="none"/>
          <w:lang w:val="en-US" w:eastAsia="zh-CN"/>
        </w:rPr>
        <w:t xml:space="preserve">  </w:t>
      </w:r>
      <w:sdt>
        <w:sdtPr>
          <w:rPr>
            <w:rFonts w:hint="default" w:ascii="Times New Roman" w:hAnsi="Times New Roman" w:eastAsia="宋体" w:cs="Times New Roman"/>
            <w:b w:val="0"/>
            <w:bCs w:val="0"/>
            <w:color w:val="auto"/>
            <w:sz w:val="24"/>
            <w:szCs w:val="24"/>
            <w:highlight w:val="none"/>
            <w:shd w:val="clear" w:color="auto" w:fill="FFFFFF"/>
          </w:rPr>
          <w:id w:val="1763176505"/>
          <w14:checkbox>
            <w14:checked w14:val="0"/>
            <w14:checkedState w14:val="0052" w14:font="Wingdings 2"/>
            <w14:uncheckedState w14:val="2610" w14:font="MS Gothic"/>
          </w14:checkbox>
        </w:sdtPr>
        <w:sdtEndPr>
          <w:rPr>
            <w:rFonts w:hint="default" w:ascii="Times New Roman" w:hAnsi="Times New Roman" w:eastAsia="宋体" w:cs="Times New Roman"/>
            <w:b w:val="0"/>
            <w:bCs w:val="0"/>
            <w:color w:val="auto"/>
            <w:sz w:val="24"/>
            <w:szCs w:val="24"/>
            <w:highlight w:val="none"/>
            <w:shd w:val="clear" w:color="auto" w:fill="FFFFFF"/>
          </w:rPr>
        </w:sdtEndPr>
        <w:sdtContent>
          <w:r>
            <w:rPr>
              <w:rFonts w:hint="default" w:ascii="Times New Roman" w:hAnsi="Times New Roman" w:eastAsia="宋体" w:cs="Times New Roman"/>
              <w:b w:val="0"/>
              <w:bCs w:val="0"/>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b w:val="0"/>
          <w:bCs w:val="0"/>
          <w:color w:val="auto"/>
          <w:sz w:val="24"/>
          <w:szCs w:val="24"/>
          <w:highlight w:val="none"/>
        </w:rPr>
        <w:t xml:space="preserve"> 不组织进行工程现场踏勘和召开投标预备会。</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160" w:firstLineChars="900"/>
        <w:textAlignment w:val="auto"/>
        <w:rPr>
          <w:rFonts w:hint="default" w:ascii="Times New Roman" w:hAnsi="Times New Roman" w:eastAsia="宋体" w:cs="Times New Roman"/>
          <w:b w:val="0"/>
          <w:bCs w:val="0"/>
          <w:color w:val="auto"/>
          <w:sz w:val="24"/>
          <w:szCs w:val="24"/>
          <w:highlight w:val="none"/>
        </w:rPr>
      </w:pPr>
      <w:sdt>
        <w:sdtPr>
          <w:rPr>
            <w:rFonts w:hint="default" w:ascii="Times New Roman" w:hAnsi="Times New Roman" w:eastAsia="宋体" w:cs="Times New Roman"/>
            <w:b w:val="0"/>
            <w:bCs w:val="0"/>
            <w:color w:val="auto"/>
            <w:sz w:val="24"/>
            <w:szCs w:val="24"/>
            <w:highlight w:val="none"/>
            <w:shd w:val="clear" w:color="auto" w:fill="FFFFFF"/>
          </w:rPr>
          <w:id w:val="49361775"/>
          <w14:checkbox>
            <w14:checked w14:val="0"/>
            <w14:checkedState w14:val="0052" w14:font="Wingdings 2"/>
            <w14:uncheckedState w14:val="2610" w14:font="MS Gothic"/>
          </w14:checkbox>
        </w:sdtPr>
        <w:sdtEndPr>
          <w:rPr>
            <w:rFonts w:hint="default" w:ascii="Times New Roman" w:hAnsi="Times New Roman" w:eastAsia="宋体" w:cs="Times New Roman"/>
            <w:b w:val="0"/>
            <w:bCs w:val="0"/>
            <w:color w:val="auto"/>
            <w:sz w:val="24"/>
            <w:szCs w:val="24"/>
            <w:highlight w:val="none"/>
            <w:shd w:val="clear" w:color="auto" w:fill="FFFFFF"/>
          </w:rPr>
        </w:sdtEndPr>
        <w:sdtContent>
          <w:r>
            <w:rPr>
              <w:rFonts w:hint="default" w:ascii="Times New Roman" w:hAnsi="Times New Roman" w:eastAsia="MS Gothic" w:cs="Times New Roman"/>
              <w:b w:val="0"/>
              <w:bCs w:val="0"/>
              <w:color w:val="auto"/>
              <w:kern w:val="2"/>
              <w:sz w:val="24"/>
              <w:szCs w:val="24"/>
              <w:highlight w:val="none"/>
              <w:shd w:val="clear" w:color="auto" w:fill="FFFFFF"/>
              <w:lang w:val="en-US" w:eastAsia="zh-CN" w:bidi="ar-SA"/>
            </w:rPr>
            <w:t>☐</w:t>
          </w:r>
        </w:sdtContent>
      </w:sdt>
      <w:r>
        <w:rPr>
          <w:rFonts w:hint="default" w:ascii="Times New Roman" w:hAnsi="Times New Roman" w:eastAsia="宋体" w:cs="Times New Roman"/>
          <w:b w:val="0"/>
          <w:bCs w:val="0"/>
          <w:color w:val="auto"/>
          <w:sz w:val="24"/>
          <w:szCs w:val="24"/>
          <w:highlight w:val="none"/>
        </w:rPr>
        <w:t xml:space="preserve"> 组织进行工程现场踏勘和召开投标预备会，时间地点：</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踏勘现场时间：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分，集中地点：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投标预备会时间：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分，地点：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pageBreakBefore w:val="0"/>
        <w:kinsoku/>
        <w:wordWrap w:val="0"/>
        <w:bidi w:val="0"/>
        <w:spacing w:line="400" w:lineRule="atLeas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5.2 投标文件应为加密的投标文件。投标文件递交的截止时间（投标截止时间，下同）为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时</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分</w:t>
      </w:r>
      <w:r>
        <w:rPr>
          <w:rFonts w:ascii="Times New Roman" w:hAnsi="Times New Roman"/>
          <w:color w:val="auto"/>
          <w:sz w:val="24"/>
          <w:highlight w:val="none"/>
        </w:rPr>
        <w:t>（北京时间，下同）</w:t>
      </w:r>
      <w:r>
        <w:rPr>
          <w:rFonts w:hint="default" w:ascii="Times New Roman" w:hAnsi="Times New Roman" w:cs="Times New Roman"/>
          <w:color w:val="auto"/>
          <w:sz w:val="24"/>
          <w:highlight w:val="none"/>
        </w:rPr>
        <w:t>，投标人应在投标截止时间前，通过互联网使用CA数字证书登录</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lang w:eastAsia="zh-CN"/>
        </w:rPr>
        <w:t>电子交易平台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，将加密的投标文件上传。逾期未完成上传或未按规定加密的投标文件，招标人予以拒收。联合体投标的，由联合体牵头人完成投标文件的上传等工作。</w:t>
      </w:r>
    </w:p>
    <w:p>
      <w:pPr>
        <w:keepNext w:val="0"/>
        <w:keepLines w:val="0"/>
        <w:pageBreakBefore w:val="0"/>
        <w:widowControl w:val="0"/>
        <w:tabs>
          <w:tab w:val="left" w:pos="360"/>
        </w:tabs>
        <w:kinsoku/>
        <w:wordWrap w:val="0"/>
        <w:overflowPunct/>
        <w:topLinePunct w:val="0"/>
        <w:autoSpaceDE/>
        <w:autoSpaceDN/>
        <w:bidi w:val="0"/>
        <w:adjustRightInd/>
        <w:snapToGrid/>
        <w:spacing w:line="400" w:lineRule="exact"/>
        <w:ind w:firstLine="480" w:firstLineChars="200"/>
        <w:textAlignment w:val="auto"/>
        <w:rPr>
          <w:rFonts w:hint="default" w:ascii="Times New Roman" w:hAnsi="Times New Roman" w:cs="Times New Roman"/>
          <w:color w:val="auto"/>
          <w:sz w:val="24"/>
          <w:szCs w:val="24"/>
          <w:highlight w:val="none"/>
        </w:rPr>
      </w:pPr>
    </w:p>
    <w:p>
      <w:pPr>
        <w:pStyle w:val="3"/>
        <w:pageBreakBefore w:val="0"/>
        <w:kinsoku/>
        <w:wordWrap w:val="0"/>
        <w:bidi w:val="0"/>
        <w:spacing w:line="240" w:lineRule="auto"/>
        <w:rPr>
          <w:rFonts w:hint="default" w:ascii="Times New Roman" w:hAnsi="Times New Roman" w:cs="Times New Roman"/>
          <w:color w:val="auto"/>
          <w:highlight w:val="none"/>
        </w:rPr>
      </w:pPr>
      <w:bookmarkStart w:id="18" w:name="_Toc6994_WPSOffice_Level2"/>
      <w:bookmarkStart w:id="19" w:name="_Toc21468"/>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 评标办法</w:t>
      </w:r>
      <w:bookmarkEnd w:id="18"/>
      <w:bookmarkEnd w:id="19"/>
    </w:p>
    <w:p>
      <w:pPr>
        <w:pageBreakBefore w:val="0"/>
        <w:shd w:val="clear"/>
        <w:kinsoku/>
        <w:wordWrap w:val="0"/>
        <w:overflowPunct w:val="0"/>
        <w:autoSpaceDE/>
        <w:autoSpaceDN/>
        <w:bidi w:val="0"/>
        <w:adjustRightInd/>
        <w:snapToGrid/>
        <w:spacing w:line="360" w:lineRule="auto"/>
        <w:ind w:firstLine="472" w:firstLineChars="200"/>
        <w:jc w:val="both"/>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本项目评标办法采用</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cs="Times New Roman" w:eastAsiaTheme="minorEastAsia"/>
          <w:color w:val="auto"/>
          <w:spacing w:val="-2"/>
          <w:sz w:val="24"/>
          <w:szCs w:val="24"/>
          <w:highlight w:val="none"/>
          <w:u w:val="none"/>
          <w:lang w:val="en-US" w:eastAsia="zh-CN"/>
        </w:rPr>
        <w:t>评标办法</w:t>
      </w:r>
      <w:r>
        <w:rPr>
          <w:rFonts w:hint="default" w:ascii="Times New Roman" w:hAnsi="Times New Roman" w:cs="Times New Roman" w:eastAsiaTheme="minorEastAsia"/>
          <w:color w:val="auto"/>
          <w:spacing w:val="-2"/>
          <w:sz w:val="24"/>
          <w:szCs w:val="24"/>
          <w:highlight w:val="none"/>
          <w:u w:val="none"/>
          <w:lang w:eastAsia="zh-CN"/>
        </w:rPr>
        <w:t>）</w:t>
      </w:r>
      <w:r>
        <w:rPr>
          <w:rFonts w:hint="default" w:ascii="Times New Roman" w:hAnsi="Times New Roman" w:eastAsia="宋体" w:cs="Times New Roman"/>
          <w:color w:val="auto"/>
          <w:spacing w:val="-2"/>
          <w:sz w:val="24"/>
          <w:szCs w:val="24"/>
          <w:highlight w:val="none"/>
        </w:rPr>
        <w:t>，评标标准和方法详见</w:t>
      </w:r>
      <w:r>
        <w:rPr>
          <w:rFonts w:hint="default" w:ascii="Times New Roman" w:hAnsi="Times New Roman" w:cs="Times New Roman" w:eastAsiaTheme="minorEastAsia"/>
          <w:color w:val="auto"/>
          <w:spacing w:val="129"/>
          <w:sz w:val="24"/>
          <w:szCs w:val="24"/>
          <w:highlight w:val="none"/>
          <w:u w:val="single"/>
        </w:rPr>
        <w:t xml:space="preserve"> </w:t>
      </w:r>
      <w:r>
        <w:rPr>
          <w:rFonts w:hint="default" w:ascii="Times New Roman" w:hAnsi="Times New Roman" w:cs="Times New Roman" w:eastAsiaTheme="minorEastAsia"/>
          <w:color w:val="auto"/>
          <w:spacing w:val="129"/>
          <w:sz w:val="24"/>
          <w:szCs w:val="24"/>
          <w:highlight w:val="none"/>
          <w:u w:val="single"/>
          <w:lang w:val="en-US" w:eastAsia="zh-CN"/>
        </w:rPr>
        <w:t xml:space="preserve"> </w:t>
      </w:r>
      <w:r>
        <w:rPr>
          <w:rFonts w:hint="default" w:ascii="Times New Roman" w:hAnsi="Times New Roman" w:eastAsia="宋体" w:cs="Times New Roman"/>
          <w:color w:val="auto"/>
          <w:spacing w:val="-2"/>
          <w:sz w:val="24"/>
          <w:szCs w:val="24"/>
          <w:highlight w:val="none"/>
          <w:u w:val="single"/>
          <w:lang w:val="en-US" w:eastAsia="zh-CN"/>
        </w:rPr>
        <w:t xml:space="preserve">  </w:t>
      </w:r>
      <w:r>
        <w:rPr>
          <w:rFonts w:hint="default" w:ascii="Times New Roman" w:hAnsi="Times New Roman" w:cs="Times New Roman" w:eastAsiaTheme="minorEastAsia"/>
          <w:color w:val="auto"/>
          <w:spacing w:val="-2"/>
          <w:sz w:val="24"/>
          <w:szCs w:val="24"/>
          <w:highlight w:val="none"/>
          <w:u w:val="single"/>
        </w:rPr>
        <w:t xml:space="preserve">  </w:t>
      </w:r>
      <w:r>
        <w:rPr>
          <w:rFonts w:hint="default" w:ascii="Times New Roman" w:hAnsi="Times New Roman" w:eastAsia="宋体" w:cs="Times New Roman"/>
          <w:color w:val="auto"/>
          <w:spacing w:val="-6"/>
          <w:sz w:val="24"/>
          <w:szCs w:val="24"/>
          <w:highlight w:val="none"/>
        </w:rPr>
        <w:t>。</w:t>
      </w:r>
    </w:p>
    <w:p>
      <w:pPr>
        <w:pStyle w:val="3"/>
        <w:pageBreakBefore w:val="0"/>
        <w:kinsoku/>
        <w:wordWrap w:val="0"/>
        <w:bidi w:val="0"/>
        <w:spacing w:line="240" w:lineRule="auto"/>
        <w:rPr>
          <w:rFonts w:hint="default" w:ascii="Times New Roman" w:hAnsi="Times New Roman" w:cs="Times New Roman"/>
          <w:color w:val="auto"/>
          <w:highlight w:val="none"/>
        </w:rPr>
      </w:pPr>
      <w:bookmarkStart w:id="20" w:name="_Toc24063"/>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 发布公告的媒介</w:t>
      </w:r>
      <w:bookmarkEnd w:id="20"/>
    </w:p>
    <w:p>
      <w:pPr>
        <w:pageBreakBefore w:val="0"/>
        <w:kinsoku/>
        <w:wordWrap w:val="0"/>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本次招标公告同时在</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（发布公告的媒介名称）上发布。</w:t>
      </w:r>
    </w:p>
    <w:p>
      <w:pPr>
        <w:pStyle w:val="3"/>
        <w:bidi w:val="0"/>
        <w:rPr>
          <w:rFonts w:hint="default" w:ascii="Times New Roman" w:hAnsi="Times New Roman" w:cs="Times New Roman"/>
          <w:color w:val="auto"/>
          <w:highlight w:val="none"/>
        </w:rPr>
      </w:pPr>
      <w:bookmarkStart w:id="21" w:name="_Toc15729"/>
      <w:r>
        <w:rPr>
          <w:rFonts w:hint="default" w:ascii="Times New Roman" w:hAnsi="Times New Roman"/>
          <w:color w:val="auto"/>
          <w:highlight w:val="none"/>
          <w:lang w:val="en-US" w:eastAsia="zh-CN"/>
        </w:rPr>
        <w:t>8</w:t>
      </w:r>
      <w:r>
        <w:rPr>
          <w:rFonts w:hint="default" w:ascii="Times New Roman" w:hAnsi="Times New Roman"/>
          <w:color w:val="auto"/>
          <w:highlight w:val="none"/>
        </w:rPr>
        <w:t xml:space="preserve">. </w:t>
      </w:r>
      <w:r>
        <w:rPr>
          <w:rFonts w:hint="default" w:ascii="Times New Roman" w:hAnsi="Times New Roman" w:cs="Times New Roman"/>
          <w:color w:val="auto"/>
          <w:highlight w:val="none"/>
        </w:rPr>
        <w:t>联系方式</w:t>
      </w:r>
      <w:bookmarkEnd w:id="21"/>
    </w:p>
    <w:bookmarkEnd w:id="6"/>
    <w:bookmarkEnd w:id="7"/>
    <w:bookmarkEnd w:id="8"/>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bookmarkStart w:id="22" w:name="_Toc369531495"/>
      <w:bookmarkEnd w:id="22"/>
      <w:bookmarkStart w:id="23" w:name="_Toc17972"/>
      <w:bookmarkEnd w:id="23"/>
      <w:bookmarkStart w:id="24" w:name="_Toc300834929"/>
      <w:bookmarkEnd w:id="24"/>
      <w:bookmarkStart w:id="25" w:name="_Toc369531498"/>
      <w:bookmarkEnd w:id="25"/>
      <w:bookmarkStart w:id="26" w:name="_Toc247513934"/>
      <w:bookmarkEnd w:id="26"/>
      <w:bookmarkStart w:id="27" w:name="_Toc352691456"/>
      <w:bookmarkEnd w:id="27"/>
      <w:bookmarkStart w:id="28" w:name="_Toc369531497"/>
      <w:bookmarkEnd w:id="28"/>
      <w:bookmarkStart w:id="29" w:name="_Toc300834927"/>
      <w:bookmarkEnd w:id="29"/>
      <w:bookmarkStart w:id="30" w:name="_Toc384308187"/>
      <w:bookmarkEnd w:id="30"/>
      <w:bookmarkStart w:id="31" w:name="_Toc384308188"/>
      <w:bookmarkEnd w:id="31"/>
      <w:bookmarkStart w:id="32" w:name="_Toc352691453"/>
      <w:bookmarkEnd w:id="32"/>
      <w:bookmarkStart w:id="33" w:name="_Toc247527536"/>
      <w:bookmarkEnd w:id="33"/>
      <w:bookmarkStart w:id="34" w:name="_Toc144974481"/>
      <w:bookmarkEnd w:id="34"/>
      <w:bookmarkStart w:id="35" w:name="_Toc10785"/>
      <w:bookmarkEnd w:id="35"/>
      <w:bookmarkStart w:id="36" w:name="_Toc30817"/>
      <w:bookmarkEnd w:id="36"/>
      <w:bookmarkStart w:id="37" w:name="_Toc384308185"/>
      <w:bookmarkEnd w:id="37"/>
      <w:bookmarkStart w:id="38" w:name="_Toc352691455"/>
      <w:bookmarkEnd w:id="38"/>
      <w:bookmarkStart w:id="39" w:name="_Toc300834930"/>
      <w:bookmarkEnd w:id="39"/>
      <w:bookmarkStart w:id="40" w:name="_Toc152042289"/>
      <w:bookmarkEnd w:id="40"/>
      <w:bookmarkStart w:id="41" w:name="_Toc247513935"/>
      <w:bookmarkEnd w:id="41"/>
      <w:bookmarkStart w:id="42" w:name="_Toc247527535"/>
      <w:bookmarkEnd w:id="42"/>
      <w:bookmarkStart w:id="43" w:name="_Toc152042288"/>
      <w:bookmarkEnd w:id="43"/>
      <w:bookmarkStart w:id="44" w:name="_Toc152045513"/>
      <w:bookmarkEnd w:id="44"/>
      <w:bookmarkStart w:id="45" w:name="_Toc361508560"/>
      <w:bookmarkEnd w:id="45"/>
      <w:bookmarkStart w:id="46" w:name="_Toc361508562"/>
      <w:bookmarkEnd w:id="46"/>
      <w:bookmarkStart w:id="47" w:name="_Toc361508563"/>
      <w:bookmarkEnd w:id="47"/>
      <w:bookmarkStart w:id="48" w:name="_Toc144974480"/>
      <w:bookmarkEnd w:id="48"/>
      <w:bookmarkStart w:id="49" w:name="_Toc152045512"/>
      <w:bookmarkEnd w:id="49"/>
      <w:r>
        <w:rPr>
          <w:rFonts w:hint="default" w:ascii="Times New Roman" w:hAnsi="Times New Roman" w:cs="Times New Roman"/>
          <w:color w:val="auto"/>
          <w:sz w:val="24"/>
          <w:szCs w:val="24"/>
          <w:highlight w:val="none"/>
        </w:rPr>
        <w:t>监督部门：</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 标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bookmarkStart w:id="50" w:name="_Toc3520"/>
      <w:bookmarkStart w:id="51" w:name="_Toc352691454"/>
      <w:bookmarkStart w:id="52" w:name="_Toc361508561"/>
      <w:bookmarkStart w:id="53" w:name="_Toc384308186"/>
      <w:bookmarkStart w:id="54" w:name="_Toc247527534"/>
      <w:bookmarkStart w:id="55" w:name="_Toc247513933"/>
      <w:bookmarkStart w:id="56" w:name="_Toc369531496"/>
      <w:bookmarkStart w:id="57" w:name="_Toc300834928"/>
      <w:r>
        <w:rPr>
          <w:rFonts w:hint="default" w:ascii="Times New Roman" w:hAnsi="Times New Roman" w:eastAsia="黑体" w:cs="Times New Roman"/>
          <w:color w:val="auto"/>
          <w:sz w:val="24"/>
          <w:szCs w:val="24"/>
          <w:highlight w:val="none"/>
          <w:u w:val="single"/>
        </w:rPr>
        <w:t xml:space="preserve">                   </w:t>
      </w:r>
      <w:bookmarkEnd w:id="50"/>
      <w:bookmarkEnd w:id="51"/>
      <w:bookmarkEnd w:id="52"/>
      <w:bookmarkEnd w:id="53"/>
      <w:bookmarkEnd w:id="54"/>
      <w:bookmarkEnd w:id="55"/>
      <w:bookmarkEnd w:id="56"/>
      <w:bookmarkEnd w:id="57"/>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lang w:val="en-US" w:eastAsia="zh-CN"/>
        </w:rPr>
      </w:pP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招标代理机构</w:t>
      </w:r>
      <w:r>
        <w:rPr>
          <w:rFonts w:hint="default" w:ascii="Times New Roman" w:hAnsi="Times New Roman" w:cs="Times New Roman"/>
          <w:color w:val="auto"/>
          <w:sz w:val="24"/>
          <w:szCs w:val="24"/>
          <w:highlight w:val="none"/>
        </w:rPr>
        <w:t>：</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邮    编：</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联 系 人：</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电    话：</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eastAsia="黑体" w:cs="Times New Roman"/>
          <w:color w:val="auto"/>
          <w:sz w:val="24"/>
          <w:szCs w:val="24"/>
          <w:highlight w:val="none"/>
          <w:u w:val="single"/>
        </w:rPr>
      </w:pPr>
      <w:r>
        <w:rPr>
          <w:rFonts w:hint="default" w:ascii="Times New Roman" w:hAnsi="Times New Roman" w:cs="Times New Roman"/>
          <w:color w:val="auto"/>
          <w:sz w:val="24"/>
          <w:szCs w:val="24"/>
          <w:highlight w:val="none"/>
        </w:rPr>
        <w:t>电子邮件：</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网    址：</w:t>
      </w:r>
      <w:r>
        <w:rPr>
          <w:rFonts w:hint="default" w:ascii="Times New Roman" w:hAnsi="Times New Roman" w:eastAsia="黑体" w:cs="Times New Roman"/>
          <w:color w:val="auto"/>
          <w:sz w:val="24"/>
          <w:szCs w:val="24"/>
          <w:highlight w:val="none"/>
          <w:u w:val="single"/>
        </w:rPr>
        <w:t xml:space="preserve">                   </w:t>
      </w:r>
    </w:p>
    <w:p>
      <w:pPr>
        <w:pageBreakBefore w:val="0"/>
        <w:kinsoku/>
        <w:wordWrap w:val="0"/>
        <w:topLinePunct/>
        <w:bidi w:val="0"/>
        <w:spacing w:line="400" w:lineRule="exact"/>
        <w:ind w:firstLine="480" w:firstLineChars="200"/>
        <w:rPr>
          <w:rFonts w:hint="default" w:ascii="Times New Roman" w:hAnsi="Times New Roman" w:cs="Times New Roman"/>
          <w:color w:val="auto"/>
          <w:sz w:val="24"/>
          <w:szCs w:val="24"/>
          <w:highlight w:val="none"/>
        </w:rPr>
      </w:pPr>
    </w:p>
    <w:p>
      <w:pPr>
        <w:pageBreakBefore w:val="0"/>
        <w:kinsoku/>
        <w:wordWrap w:val="0"/>
        <w:bidi w:val="0"/>
        <w:spacing w:line="400" w:lineRule="exact"/>
        <w:rPr>
          <w:rFonts w:hint="default" w:ascii="Times New Roman" w:hAnsi="Times New Roman" w:cs="Times New Roman"/>
          <w:color w:val="auto"/>
          <w:sz w:val="24"/>
          <w:szCs w:val="24"/>
          <w:highlight w:val="none"/>
        </w:rPr>
      </w:pPr>
    </w:p>
    <w:p>
      <w:pPr>
        <w:pageBreakBefore w:val="0"/>
        <w:kinsoku/>
        <w:wordWrap w:val="0"/>
        <w:bidi w:val="0"/>
        <w:spacing w:line="40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p>
      <w:pPr>
        <w:pageBreakBefore w:val="0"/>
        <w:kinsoku/>
        <w:wordWrap w:val="0"/>
        <w:bidi w:val="0"/>
        <w:spacing w:line="40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topLinePunct/>
        <w:spacing w:line="240" w:lineRule="atLeast"/>
        <w:ind w:right="36" w:rightChars="15" w:firstLine="0" w:firstLineChars="0"/>
        <w:jc w:val="center"/>
        <w:outlineLvl w:val="0"/>
        <w:rPr>
          <w:rFonts w:hint="default" w:ascii="Times New Roman" w:hAnsi="Times New Roman" w:eastAsia="黑体" w:cs="Times New Roman"/>
          <w:color w:val="auto"/>
          <w:sz w:val="56"/>
          <w:szCs w:val="56"/>
          <w:highlight w:val="none"/>
        </w:rPr>
      </w:pPr>
      <w:bookmarkStart w:id="58" w:name="_Toc31549"/>
      <w:bookmarkStart w:id="59" w:name="_Toc16415"/>
      <w:bookmarkStart w:id="60" w:name="_Toc19420"/>
      <w:bookmarkStart w:id="61" w:name="_Toc10465"/>
      <w:r>
        <w:rPr>
          <w:rFonts w:hint="default" w:ascii="Times New Roman" w:hAnsi="Times New Roman" w:eastAsia="黑体" w:cs="Times New Roman"/>
          <w:color w:val="auto"/>
          <w:sz w:val="56"/>
          <w:szCs w:val="56"/>
          <w:highlight w:val="none"/>
        </w:rPr>
        <w:t>第二章  投标人须知</w:t>
      </w:r>
      <w:bookmarkEnd w:id="58"/>
      <w:bookmarkEnd w:id="59"/>
      <w:bookmarkEnd w:id="60"/>
      <w:bookmarkEnd w:id="61"/>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spacing w:line="440" w:lineRule="exact"/>
        <w:jc w:val="center"/>
        <w:rPr>
          <w:rStyle w:val="47"/>
          <w:rFonts w:hint="default" w:ascii="Times New Roman" w:hAnsi="Times New Roman" w:eastAsia="黑体" w:cs="Times New Roman"/>
          <w:color w:val="auto"/>
          <w:sz w:val="44"/>
          <w:szCs w:val="44"/>
          <w:highlight w:val="none"/>
        </w:rPr>
        <w:sectPr>
          <w:footerReference r:id="rId9" w:type="default"/>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p>
    <w:p>
      <w:pPr>
        <w:spacing w:line="440" w:lineRule="exact"/>
        <w:ind w:firstLine="0" w:firstLineChars="0"/>
        <w:jc w:val="center"/>
        <w:rPr>
          <w:rStyle w:val="47"/>
          <w:rFonts w:hint="default" w:ascii="Times New Roman" w:hAnsi="Times New Roman" w:eastAsia="黑体" w:cs="Times New Roman"/>
          <w:color w:val="auto"/>
          <w:sz w:val="42"/>
          <w:szCs w:val="42"/>
          <w:highlight w:val="none"/>
        </w:rPr>
      </w:pPr>
      <w:bookmarkStart w:id="62" w:name="_Toc510015667"/>
      <w:bookmarkStart w:id="63" w:name="_Toc503235734"/>
      <w:bookmarkStart w:id="64" w:name="_Toc27744"/>
      <w:bookmarkStart w:id="65" w:name="_Toc31170"/>
      <w:bookmarkStart w:id="66" w:name="_Toc6266"/>
      <w:r>
        <w:rPr>
          <w:rStyle w:val="47"/>
          <w:rFonts w:hint="default" w:ascii="Times New Roman" w:hAnsi="Times New Roman" w:eastAsia="黑体" w:cs="Times New Roman"/>
          <w:color w:val="auto"/>
          <w:sz w:val="42"/>
          <w:szCs w:val="42"/>
          <w:highlight w:val="none"/>
        </w:rPr>
        <w:t>第二章  投标人须知</w:t>
      </w:r>
      <w:bookmarkEnd w:id="62"/>
      <w:bookmarkEnd w:id="63"/>
    </w:p>
    <w:bookmarkEnd w:id="64"/>
    <w:bookmarkEnd w:id="65"/>
    <w:bookmarkEnd w:id="66"/>
    <w:p>
      <w:pPr>
        <w:pStyle w:val="3"/>
        <w:keepNext/>
        <w:keepLines/>
        <w:pageBreakBefore w:val="0"/>
        <w:widowControl w:val="0"/>
        <w:kinsoku/>
        <w:wordWrap w:val="0"/>
        <w:overflowPunct/>
        <w:topLinePunct w:val="0"/>
        <w:autoSpaceDE/>
        <w:autoSpaceDN/>
        <w:bidi w:val="0"/>
        <w:adjustRightInd/>
        <w:snapToGrid/>
        <w:spacing w:after="0" w:line="413" w:lineRule="auto"/>
        <w:textAlignment w:val="auto"/>
        <w:rPr>
          <w:rFonts w:hint="default" w:ascii="Times New Roman" w:hAnsi="Times New Roman" w:cs="Times New Roman"/>
          <w:color w:val="auto"/>
          <w:highlight w:val="none"/>
        </w:rPr>
      </w:pPr>
      <w:bookmarkStart w:id="67" w:name="_Toc7314"/>
      <w:r>
        <w:rPr>
          <w:rFonts w:hint="default" w:ascii="Times New Roman" w:hAnsi="Times New Roman" w:cs="Times New Roman"/>
          <w:color w:val="auto"/>
          <w:highlight w:val="none"/>
        </w:rPr>
        <w:t>投标人须知前附表</w:t>
      </w:r>
      <w:r>
        <w:rPr>
          <w:rStyle w:val="37"/>
          <w:rFonts w:hint="default" w:ascii="Times New Roman" w:hAnsi="Times New Roman" w:eastAsia="黑体" w:cs="Times New Roman"/>
          <w:color w:val="auto"/>
          <w:sz w:val="28"/>
          <w:szCs w:val="28"/>
          <w:highlight w:val="none"/>
        </w:rPr>
        <w:footnoteReference w:id="3"/>
      </w:r>
      <w:bookmarkEnd w:id="67"/>
    </w:p>
    <w:tbl>
      <w:tblPr>
        <w:tblStyle w:val="30"/>
        <w:tblW w:w="9280" w:type="dxa"/>
        <w:tblInd w:w="0" w:type="dxa"/>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1154"/>
        <w:gridCol w:w="2888"/>
        <w:gridCol w:w="5238"/>
      </w:tblGrid>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blHeader/>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b/>
                <w:color w:val="auto"/>
                <w:sz w:val="24"/>
                <w:szCs w:val="24"/>
                <w:highlight w:val="none"/>
              </w:rPr>
            </w:pPr>
            <w:r>
              <w:rPr>
                <w:rFonts w:ascii="Times New Roman" w:hAnsi="Times New Roman"/>
                <w:b/>
                <w:color w:val="auto"/>
                <w:sz w:val="24"/>
                <w:szCs w:val="24"/>
                <w:highlight w:val="none"/>
              </w:rPr>
              <w:t>条款号</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b/>
                <w:color w:val="auto"/>
                <w:sz w:val="24"/>
                <w:szCs w:val="24"/>
                <w:highlight w:val="none"/>
              </w:rPr>
            </w:pPr>
            <w:r>
              <w:rPr>
                <w:rFonts w:ascii="Times New Roman" w:hAnsi="Times New Roman"/>
                <w:b/>
                <w:color w:val="auto"/>
                <w:sz w:val="24"/>
                <w:szCs w:val="24"/>
                <w:highlight w:val="none"/>
              </w:rPr>
              <w:t>条款名称</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b/>
                <w:color w:val="auto"/>
                <w:sz w:val="24"/>
                <w:szCs w:val="24"/>
                <w:highlight w:val="none"/>
              </w:rPr>
            </w:pPr>
            <w:r>
              <w:rPr>
                <w:rFonts w:ascii="Times New Roman" w:hAnsi="Times New Roman"/>
                <w:b/>
                <w:color w:val="auto"/>
                <w:sz w:val="24"/>
                <w:szCs w:val="24"/>
                <w:highlight w:val="none"/>
              </w:rPr>
              <w:t>编列内容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1.1.2</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招标人</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1.1.3</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招标代理机构</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1.1.4</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招标项目名称</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1.1.5</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工程项目名称</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1.2.1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资金来源及比例</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1.2.2</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资金落实情况</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1.3.1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招标范围</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1.3.2</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交货期</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1.3.3</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交货地点</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1.3.4</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hint="default" w:ascii="Times New Roman" w:hAnsi="Times New Roman"/>
                <w:color w:val="auto"/>
                <w:sz w:val="24"/>
                <w:szCs w:val="24"/>
                <w:highlight w:val="none"/>
              </w:rPr>
              <w:t>技术性能指标/质量标准</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详见</w:t>
            </w:r>
            <w:r>
              <w:rPr>
                <w:rFonts w:hint="default" w:ascii="Times New Roman" w:hAnsi="Times New Roman" w:cs="Times New Roman"/>
                <w:color w:val="auto"/>
                <w:sz w:val="24"/>
                <w:szCs w:val="24"/>
                <w:highlight w:val="none"/>
                <w:lang w:eastAsia="zh-CN"/>
              </w:rPr>
              <w:t>第一章</w:t>
            </w:r>
            <w:r>
              <w:rPr>
                <w:rFonts w:hint="eastAsia" w:ascii="宋体" w:hAnsi="宋体" w:eastAsia="宋体" w:cs="宋体"/>
                <w:color w:val="auto"/>
                <w:sz w:val="24"/>
                <w:szCs w:val="24"/>
                <w:highlight w:val="none"/>
                <w:lang w:eastAsia="zh-CN"/>
              </w:rPr>
              <w:t>“</w:t>
            </w:r>
            <w:r>
              <w:rPr>
                <w:rFonts w:hint="default" w:ascii="Times New Roman" w:hAnsi="Times New Roman" w:cs="Times New Roman"/>
                <w:color w:val="auto"/>
                <w:sz w:val="24"/>
                <w:szCs w:val="24"/>
                <w:highlight w:val="none"/>
                <w:lang w:eastAsia="zh-CN"/>
              </w:rPr>
              <w:t>招标公告</w:t>
            </w:r>
            <w:r>
              <w:rPr>
                <w:rFonts w:hint="eastAsia" w:ascii="宋体" w:hAnsi="宋体" w:eastAsia="宋体" w:cs="宋体"/>
                <w:color w:val="auto"/>
                <w:sz w:val="24"/>
                <w:szCs w:val="24"/>
                <w:highlight w:val="none"/>
                <w:lang w:eastAsia="zh-CN"/>
              </w:rPr>
              <w:t>”</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1.4.1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投标人资质条件、能力、信誉</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wordWrap w:val="0"/>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资质要求：见</w:t>
            </w:r>
            <w:r>
              <w:rPr>
                <w:rFonts w:hint="default" w:ascii="Times New Roman" w:hAnsi="Times New Roman" w:eastAsia="黑体" w:cs="Times New Roman"/>
                <w:color w:val="auto"/>
                <w:sz w:val="24"/>
                <w:szCs w:val="24"/>
                <w:highlight w:val="none"/>
              </w:rPr>
              <w:t>附录1</w:t>
            </w:r>
          </w:p>
          <w:p>
            <w:pPr>
              <w:pStyle w:val="9"/>
              <w:keepNext w:val="0"/>
              <w:keepLines w:val="0"/>
              <w:pageBreakBefore w:val="0"/>
              <w:widowControl w:val="0"/>
              <w:kinsoku/>
              <w:wordWrap w:val="0"/>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财务</w:t>
            </w:r>
            <w:r>
              <w:rPr>
                <w:rFonts w:hint="default" w:ascii="Times New Roman" w:hAnsi="Times New Roman" w:cs="Times New Roman"/>
                <w:color w:val="auto"/>
                <w:sz w:val="24"/>
                <w:szCs w:val="24"/>
                <w:highlight w:val="none"/>
              </w:rPr>
              <w:t>要求：见</w:t>
            </w:r>
            <w:r>
              <w:rPr>
                <w:rFonts w:hint="default" w:ascii="Times New Roman" w:hAnsi="Times New Roman" w:eastAsia="黑体" w:cs="Times New Roman"/>
                <w:color w:val="auto"/>
                <w:sz w:val="24"/>
                <w:szCs w:val="24"/>
                <w:highlight w:val="none"/>
              </w:rPr>
              <w:t>附录2</w:t>
            </w:r>
          </w:p>
          <w:p>
            <w:pPr>
              <w:pStyle w:val="9"/>
              <w:keepNext w:val="0"/>
              <w:keepLines w:val="0"/>
              <w:pageBreakBefore w:val="0"/>
              <w:widowControl w:val="0"/>
              <w:kinsoku/>
              <w:wordWrap w:val="0"/>
              <w:overflowPunct/>
              <w:topLinePunct/>
              <w:autoSpaceDE/>
              <w:autoSpaceDN/>
              <w:bidi w:val="0"/>
              <w:adjustRightInd/>
              <w:snapToGrid/>
              <w:spacing w:line="360" w:lineRule="atLeast"/>
              <w:ind w:left="0" w:firstLine="0" w:firstLineChars="0"/>
              <w:textAlignment w:val="auto"/>
              <w:rPr>
                <w:rFonts w:hint="default" w:ascii="Times New Roman" w:hAnsi="Times New Roman" w:eastAsia="黑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业绩</w:t>
            </w:r>
            <w:r>
              <w:rPr>
                <w:rFonts w:hint="default" w:ascii="Times New Roman" w:hAnsi="Times New Roman" w:cs="Times New Roman"/>
                <w:color w:val="auto"/>
                <w:sz w:val="24"/>
                <w:szCs w:val="24"/>
                <w:highlight w:val="none"/>
                <w:lang w:val="en-US" w:eastAsia="zh-CN"/>
              </w:rPr>
              <w:t>要求：</w:t>
            </w:r>
            <w:r>
              <w:rPr>
                <w:rFonts w:hint="default" w:ascii="Times New Roman" w:hAnsi="Times New Roman" w:cs="Times New Roman"/>
                <w:color w:val="auto"/>
                <w:sz w:val="24"/>
                <w:szCs w:val="24"/>
                <w:highlight w:val="none"/>
              </w:rPr>
              <w:t>见</w:t>
            </w:r>
            <w:r>
              <w:rPr>
                <w:rFonts w:hint="default" w:ascii="Times New Roman" w:hAnsi="Times New Roman" w:eastAsia="黑体" w:cs="Times New Roman"/>
                <w:color w:val="auto"/>
                <w:sz w:val="24"/>
                <w:szCs w:val="24"/>
                <w:highlight w:val="none"/>
              </w:rPr>
              <w:t>附录</w:t>
            </w:r>
            <w:r>
              <w:rPr>
                <w:rFonts w:hint="default" w:ascii="Times New Roman" w:hAnsi="Times New Roman" w:eastAsia="黑体" w:cs="Times New Roman"/>
                <w:color w:val="auto"/>
                <w:sz w:val="24"/>
                <w:szCs w:val="24"/>
                <w:highlight w:val="none"/>
                <w:lang w:val="en-US" w:eastAsia="zh-CN"/>
              </w:rPr>
              <w:t>3</w:t>
            </w:r>
          </w:p>
          <w:p>
            <w:pPr>
              <w:pStyle w:val="9"/>
              <w:keepNext w:val="0"/>
              <w:keepLines w:val="0"/>
              <w:pageBreakBefore w:val="0"/>
              <w:widowControl w:val="0"/>
              <w:kinsoku/>
              <w:wordWrap w:val="0"/>
              <w:overflowPunct/>
              <w:topLinePunct/>
              <w:autoSpaceDE/>
              <w:autoSpaceDN/>
              <w:bidi w:val="0"/>
              <w:adjustRightInd/>
              <w:snapToGrid/>
              <w:spacing w:line="360" w:lineRule="atLeast"/>
              <w:ind w:left="0" w:firstLine="0" w:firstLineChars="0"/>
              <w:textAlignment w:val="auto"/>
              <w:rPr>
                <w:rFonts w:hint="default" w:ascii="Times New Roman" w:hAnsi="Times New Roman" w:eastAsia="黑体" w:cs="Times New Roman"/>
                <w:color w:val="auto"/>
                <w:sz w:val="24"/>
                <w:szCs w:val="24"/>
                <w:highlight w:val="none"/>
                <w:lang w:eastAsia="zh-CN"/>
              </w:rPr>
            </w:pPr>
            <w:r>
              <w:rPr>
                <w:rFonts w:hint="default" w:ascii="Times New Roman" w:hAnsi="Times New Roman" w:cs="Times New Roman"/>
                <w:color w:val="auto"/>
                <w:sz w:val="24"/>
                <w:szCs w:val="24"/>
                <w:highlight w:val="none"/>
              </w:rPr>
              <w:t>信誉要求：见</w:t>
            </w:r>
            <w:r>
              <w:rPr>
                <w:rFonts w:hint="default" w:ascii="Times New Roman" w:hAnsi="Times New Roman" w:eastAsia="黑体" w:cs="Times New Roman"/>
                <w:color w:val="auto"/>
                <w:sz w:val="24"/>
                <w:szCs w:val="24"/>
                <w:highlight w:val="none"/>
              </w:rPr>
              <w:t>附录</w:t>
            </w:r>
            <w:r>
              <w:rPr>
                <w:rFonts w:hint="default" w:ascii="Times New Roman" w:hAnsi="Times New Roman" w:eastAsia="黑体" w:cs="Times New Roman"/>
                <w:color w:val="auto"/>
                <w:sz w:val="24"/>
                <w:szCs w:val="24"/>
                <w:highlight w:val="none"/>
                <w:lang w:eastAsia="zh-CN"/>
              </w:rPr>
              <w:t>4</w:t>
            </w:r>
          </w:p>
          <w:p>
            <w:pPr>
              <w:pStyle w:val="9"/>
              <w:keepNext w:val="0"/>
              <w:keepLines w:val="0"/>
              <w:pageBreakBefore w:val="0"/>
              <w:widowControl w:val="0"/>
              <w:kinsoku/>
              <w:wordWrap w:val="0"/>
              <w:overflowPunct/>
              <w:topLinePunct/>
              <w:autoSpaceDE/>
              <w:autoSpaceDN/>
              <w:bidi w:val="0"/>
              <w:adjustRightInd/>
              <w:snapToGrid/>
              <w:spacing w:line="360" w:lineRule="atLeast"/>
              <w:ind w:left="0" w:firstLine="0" w:firstLineChars="0"/>
              <w:textAlignment w:val="auto"/>
              <w:rPr>
                <w:rFonts w:ascii="Times New Roman" w:hAnsi="Times New Roman"/>
                <w:color w:val="auto"/>
                <w:szCs w:val="24"/>
                <w:highlight w:val="none"/>
              </w:rPr>
            </w:pPr>
            <w:r>
              <w:rPr>
                <w:rFonts w:hint="default" w:ascii="Times New Roman" w:hAnsi="Times New Roman" w:cs="Times New Roman"/>
                <w:color w:val="auto"/>
                <w:sz w:val="24"/>
                <w:szCs w:val="24"/>
                <w:highlight w:val="none"/>
                <w:lang w:val="en-US" w:eastAsia="zh-CN"/>
              </w:rPr>
              <w:t>其他</w:t>
            </w:r>
            <w:r>
              <w:rPr>
                <w:rFonts w:hint="default" w:ascii="Times New Roman" w:hAnsi="Times New Roman" w:cs="Times New Roman"/>
                <w:color w:val="auto"/>
                <w:sz w:val="24"/>
                <w:szCs w:val="24"/>
                <w:highlight w:val="none"/>
              </w:rPr>
              <w:t>要求：见</w:t>
            </w:r>
            <w:r>
              <w:rPr>
                <w:rFonts w:hint="default" w:ascii="Times New Roman" w:hAnsi="Times New Roman" w:eastAsia="黑体" w:cs="Times New Roman"/>
                <w:color w:val="auto"/>
                <w:sz w:val="24"/>
                <w:szCs w:val="24"/>
                <w:highlight w:val="none"/>
              </w:rPr>
              <w:t>附录</w:t>
            </w:r>
            <w:r>
              <w:rPr>
                <w:rFonts w:hint="default" w:ascii="Times New Roman" w:hAnsi="Times New Roman" w:eastAsia="黑体" w:cs="Times New Roman"/>
                <w:color w:val="auto"/>
                <w:sz w:val="24"/>
                <w:szCs w:val="24"/>
                <w:highlight w:val="none"/>
                <w:lang w:val="en-US" w:eastAsia="zh-CN"/>
              </w:rPr>
              <w:t>5</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1.4.2</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是否接受联合体投标</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topLinePunct/>
              <w:autoSpaceDE/>
              <w:autoSpaceDN/>
              <w:bidi w:val="0"/>
              <w:adjustRightInd/>
              <w:snapToGrid/>
              <w:spacing w:line="440" w:lineRule="exac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不接受</w:t>
            </w:r>
          </w:p>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lang w:val="en-US" w:eastAsia="zh-CN"/>
              </w:rPr>
              <w:t>标段，</w:t>
            </w:r>
            <w:r>
              <w:rPr>
                <w:rFonts w:hint="default" w:ascii="Times New Roman" w:hAnsi="Times New Roman" w:cs="Times New Roman"/>
                <w:color w:val="auto"/>
                <w:sz w:val="24"/>
                <w:szCs w:val="24"/>
                <w:highlight w:val="none"/>
              </w:rPr>
              <w:t>接受，应满足下列要求：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1.4.3</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0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投标人不得存在的</w:t>
            </w:r>
            <w:r>
              <w:rPr>
                <w:rFonts w:hint="default" w:ascii="Times New Roman" w:hAnsi="Times New Roman"/>
                <w:color w:val="auto"/>
                <w:sz w:val="24"/>
                <w:szCs w:val="24"/>
                <w:highlight w:val="none"/>
              </w:rPr>
              <w:t>其他</w:t>
            </w:r>
            <w:r>
              <w:rPr>
                <w:rFonts w:ascii="Times New Roman" w:hAnsi="Times New Roman"/>
                <w:color w:val="auto"/>
                <w:sz w:val="24"/>
                <w:szCs w:val="24"/>
                <w:highlight w:val="none"/>
              </w:rPr>
              <w:t>情形</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topLine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1.9.1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投标预备会</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overflowPunct/>
              <w:topLinePunct/>
              <w:autoSpaceDE/>
              <w:autoSpaceDN/>
              <w:bidi w:val="0"/>
              <w:adjustRightInd/>
              <w:snapToGrid/>
              <w:spacing w:line="40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不召开</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召开，召开时间：</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召开地点：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c>
          <w:tcPr>
            <w:tcW w:w="115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w:t>
            </w:r>
            <w:r>
              <w:rPr>
                <w:rFonts w:hint="default" w:ascii="Times New Roman" w:hAnsi="Times New Roman"/>
                <w:color w:val="auto"/>
                <w:sz w:val="24"/>
                <w:szCs w:val="24"/>
                <w:highlight w:val="none"/>
              </w:rPr>
              <w:t>9</w:t>
            </w:r>
            <w:r>
              <w:rPr>
                <w:rFonts w:ascii="Times New Roman" w:hAnsi="Times New Roman"/>
                <w:color w:val="auto"/>
                <w:sz w:val="24"/>
                <w:szCs w:val="24"/>
                <w:highlight w:val="none"/>
              </w:rPr>
              <w:t>.2</w:t>
            </w:r>
          </w:p>
        </w:tc>
        <w:tc>
          <w:tcPr>
            <w:tcW w:w="2888"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投标人在投标预备会前提出问题</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时间：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22" w:hRule="atLeast"/>
        </w:trPr>
        <w:tc>
          <w:tcPr>
            <w:tcW w:w="115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p>
        </w:tc>
        <w:tc>
          <w:tcPr>
            <w:tcW w:w="2888"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形式：</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w:t>
            </w:r>
            <w:r>
              <w:rPr>
                <w:rFonts w:hint="default" w:ascii="Times New Roman" w:hAnsi="Times New Roman"/>
                <w:color w:val="auto"/>
                <w:sz w:val="24"/>
                <w:szCs w:val="24"/>
                <w:highlight w:val="none"/>
              </w:rPr>
              <w:t>9</w:t>
            </w:r>
            <w:r>
              <w:rPr>
                <w:rFonts w:ascii="Times New Roman" w:hAnsi="Times New Roman"/>
                <w:color w:val="auto"/>
                <w:sz w:val="24"/>
                <w:szCs w:val="24"/>
                <w:highlight w:val="none"/>
              </w:rPr>
              <w:t>.3</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招标文件澄清发出的形式</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发出招标文件澄清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eastAsiaTheme="minorEastAsia"/>
                <w:color w:val="auto"/>
                <w:sz w:val="24"/>
                <w:szCs w:val="24"/>
                <w:highlight w:val="none"/>
              </w:rPr>
              <w:t>1.10.1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eastAsiaTheme="minorEastAsia"/>
                <w:color w:val="auto"/>
                <w:sz w:val="24"/>
                <w:szCs w:val="24"/>
                <w:highlight w:val="none"/>
              </w:rPr>
              <w:t>分包</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不允许</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允许</w:t>
            </w:r>
            <w:r>
              <w:rPr>
                <w:rFonts w:hint="default" w:ascii="Times New Roman" w:hAnsi="Times New Roman"/>
                <w:color w:val="auto"/>
                <w:sz w:val="24"/>
                <w:szCs w:val="24"/>
                <w:highlight w:val="none"/>
              </w:rPr>
              <w:t>，</w:t>
            </w:r>
            <w:r>
              <w:rPr>
                <w:rFonts w:ascii="Times New Roman" w:hAnsi="Times New Roman"/>
                <w:color w:val="auto"/>
                <w:sz w:val="24"/>
                <w:szCs w:val="24"/>
                <w:highlight w:val="none"/>
              </w:rPr>
              <w:t>分包内容要求：</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分包金额要求：</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对分包人的资质要求：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1.11.1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实质性要求和条件</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overflowPunct/>
              <w:topLinePunct/>
              <w:autoSpaceDE/>
              <w:autoSpaceDN/>
              <w:bidi w:val="0"/>
              <w:adjustRightInd/>
              <w:snapToGrid/>
              <w:spacing w:line="40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1.11.3</w:t>
            </w:r>
          </w:p>
        </w:tc>
        <w:tc>
          <w:tcPr>
            <w:tcW w:w="2888" w:type="dxa"/>
            <w:tcBorders>
              <w:top w:val="single" w:color="auto" w:sz="4" w:space="0"/>
              <w:left w:val="single" w:color="auto" w:sz="4" w:space="0"/>
              <w:bottom w:val="single" w:color="auto" w:sz="4" w:space="0"/>
              <w:right w:val="single" w:color="auto" w:sz="4" w:space="0"/>
            </w:tcBorders>
            <w:vAlign w:val="center"/>
          </w:tcPr>
          <w:p>
            <w:pPr>
              <w:spacing w:line="400" w:lineRule="exact"/>
              <w:ind w:firstLine="0" w:firstLineChars="0"/>
              <w:jc w:val="center"/>
              <w:rPr>
                <w:rFonts w:ascii="Times New Roman" w:hAnsi="Times New Roman"/>
                <w:color w:val="auto"/>
                <w:sz w:val="24"/>
                <w:szCs w:val="24"/>
                <w:highlight w:val="none"/>
              </w:rPr>
            </w:pPr>
            <w:r>
              <w:rPr>
                <w:rFonts w:ascii="Times New Roman" w:hAnsi="Times New Roman"/>
                <w:color w:val="auto"/>
                <w:sz w:val="24"/>
                <w:szCs w:val="24"/>
                <w:highlight w:val="none"/>
              </w:rPr>
              <w:t>其他可以被接受的技术支持资料</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overflowPunct/>
              <w:topLinePunct/>
              <w:autoSpaceDE/>
              <w:autoSpaceDN/>
              <w:bidi w:val="0"/>
              <w:adjustRightInd/>
              <w:snapToGrid/>
              <w:spacing w:line="40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1.11.4</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偏差</w:t>
            </w:r>
          </w:p>
        </w:tc>
        <w:tc>
          <w:tcPr>
            <w:tcW w:w="5238"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不允许</w:t>
            </w:r>
          </w:p>
          <w:p>
            <w:pPr>
              <w:pStyle w:val="9"/>
              <w:keepNext w:val="0"/>
              <w:keepLines w:val="0"/>
              <w:pageBreakBefore w:val="0"/>
              <w:widowControl w:val="0"/>
              <w:kinsoku/>
              <w:overflowPunct/>
              <w:topLinePunct/>
              <w:autoSpaceDE/>
              <w:autoSpaceDN/>
              <w:bidi w:val="0"/>
              <w:adjustRightInd/>
              <w:snapToGrid/>
              <w:spacing w:line="40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Cs w:val="24"/>
                <w:highlight w:val="none"/>
              </w:rPr>
              <w:t>允许，</w:t>
            </w:r>
            <w:r>
              <w:rPr>
                <w:rFonts w:ascii="Times New Roman" w:hAnsi="Times New Roman"/>
                <w:color w:val="auto"/>
                <w:sz w:val="24"/>
                <w:szCs w:val="24"/>
                <w:highlight w:val="none"/>
              </w:rPr>
              <w:t>偏差范围：</w:t>
            </w:r>
          </w:p>
          <w:p>
            <w:pPr>
              <w:pStyle w:val="9"/>
              <w:keepNext w:val="0"/>
              <w:keepLines w:val="0"/>
              <w:pageBreakBefore w:val="0"/>
              <w:widowControl w:val="0"/>
              <w:kinsoku/>
              <w:overflowPunct/>
              <w:topLinePunct/>
              <w:autoSpaceDE/>
              <w:autoSpaceDN/>
              <w:bidi w:val="0"/>
              <w:adjustRightInd/>
              <w:snapToGrid/>
              <w:spacing w:line="400" w:lineRule="exact"/>
              <w:ind w:left="0" w:firstLine="0" w:firstLineChars="0"/>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最高项数：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2.1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构成招标文件的其他资料</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2.2.1</w:t>
            </w:r>
          </w:p>
        </w:tc>
        <w:tc>
          <w:tcPr>
            <w:tcW w:w="2888"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投标人要求澄清招标文件</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时间：递交投标文件截止之日</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天前（以发出时间为准）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p>
        </w:tc>
        <w:tc>
          <w:tcPr>
            <w:tcW w:w="2888"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形式：</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2.2.2</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招标文件澄清发出的形式</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发出招标文件澄清</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2.2.3</w:t>
            </w:r>
          </w:p>
        </w:tc>
        <w:tc>
          <w:tcPr>
            <w:tcW w:w="2888"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4"/>
                <w:szCs w:val="24"/>
                <w:highlight w:val="none"/>
              </w:rPr>
            </w:pPr>
            <w:r>
              <w:rPr>
                <w:rFonts w:ascii="Times New Roman" w:hAnsi="Times New Roman"/>
                <w:color w:val="auto"/>
                <w:sz w:val="24"/>
                <w:szCs w:val="24"/>
                <w:highlight w:val="none"/>
              </w:rPr>
              <w:t>投标人确认收到招标文件澄清</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招标文件</w:t>
            </w:r>
            <w:r>
              <w:rPr>
                <w:rFonts w:hint="default" w:ascii="Times New Roman" w:hAnsi="Times New Roman" w:cs="Times New Roman"/>
                <w:color w:val="auto"/>
                <w:sz w:val="24"/>
                <w:szCs w:val="24"/>
                <w:highlight w:val="none"/>
                <w:lang w:val="en-US" w:eastAsia="zh-CN"/>
              </w:rPr>
              <w:t>澄清</w:t>
            </w: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w:t>
            </w:r>
            <w:r>
              <w:rPr>
                <w:rFonts w:hint="default" w:ascii="Times New Roman" w:hAnsi="Times New Roman" w:cs="Times New Roman"/>
                <w:color w:val="auto"/>
                <w:sz w:val="24"/>
                <w:szCs w:val="24"/>
                <w:highlight w:val="none"/>
                <w:lang w:val="en-US" w:eastAsia="zh-CN"/>
              </w:rPr>
              <w:t>需</w:t>
            </w:r>
            <w:r>
              <w:rPr>
                <w:rFonts w:hint="default" w:ascii="Times New Roman" w:hAnsi="Times New Roman" w:cs="Times New Roman"/>
                <w:color w:val="auto"/>
                <w:sz w:val="24"/>
                <w:szCs w:val="24"/>
                <w:highlight w:val="none"/>
              </w:rPr>
              <w:t>回函确认。</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2.3.1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招标文件修改发出的形式</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发出招标文件</w:t>
            </w:r>
            <w:r>
              <w:rPr>
                <w:rFonts w:hint="default" w:ascii="Times New Roman" w:hAnsi="Times New Roman" w:cs="Times New Roman"/>
                <w:color w:val="auto"/>
                <w:sz w:val="24"/>
                <w:szCs w:val="24"/>
                <w:highlight w:val="none"/>
                <w:lang w:val="en-US" w:eastAsia="zh-CN"/>
              </w:rPr>
              <w:t>修改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2.3.2</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投标人确认收到招标文件修改</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招标文件修改通过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发出完成即视为潜在投标人已收悉，无需回函确认。</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3.1.1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构成投标文件的其他资料</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3.2.1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增值税税金的计算方法</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ind w:left="0" w:firstLine="0" w:firstLineChars="0"/>
              <w:textAlignment w:val="auto"/>
              <w:rPr>
                <w:rFonts w:hint="default" w:ascii="Times New Roman" w:hAnsi="Times New Roman" w:eastAsia="宋体" w:cs="Times New Roman"/>
                <w:b w:val="0"/>
                <w:bCs w:val="0"/>
                <w:color w:val="auto"/>
                <w:sz w:val="24"/>
                <w:szCs w:val="24"/>
                <w:highlight w:val="none"/>
                <w:shd w:val="clear" w:color="auto" w:fill="FFFFFF"/>
              </w:rPr>
            </w:pPr>
            <w:r>
              <w:rPr>
                <w:rFonts w:hint="default" w:ascii="Times New Roman" w:hAnsi="Times New Roman" w:cs="Times New Roman"/>
                <w:b w:val="0"/>
                <w:bCs w:val="0"/>
                <w:color w:val="auto"/>
                <w:sz w:val="24"/>
                <w:szCs w:val="24"/>
                <w:highlight w:val="none"/>
                <w:shd w:val="clear" w:color="auto" w:fill="FFFFFF"/>
                <w:lang w:eastAsia="zh-CN"/>
              </w:rPr>
              <w:t>□</w:t>
            </w:r>
            <w:r>
              <w:rPr>
                <w:rFonts w:hint="default" w:ascii="Times New Roman" w:hAnsi="Times New Roman" w:eastAsia="宋体" w:cs="Times New Roman"/>
                <w:b w:val="0"/>
                <w:bCs w:val="0"/>
                <w:color w:val="auto"/>
                <w:sz w:val="24"/>
                <w:szCs w:val="24"/>
                <w:highlight w:val="none"/>
                <w:shd w:val="clear" w:color="auto" w:fill="FFFFFF"/>
              </w:rPr>
              <w:t xml:space="preserve"> 一般计税法</w:t>
            </w:r>
          </w:p>
          <w:p>
            <w:pPr>
              <w:keepNext w:val="0"/>
              <w:keepLines w:val="0"/>
              <w:pageBreakBefore w:val="0"/>
              <w:widowControl w:val="0"/>
              <w:kinsoku/>
              <w:overflowPunct/>
              <w:autoSpaceDE/>
              <w:autoSpaceDN/>
              <w:bidi w:val="0"/>
              <w:adjustRightInd/>
              <w:snapToGrid/>
              <w:ind w:left="0" w:firstLine="0" w:firstLineChars="0"/>
              <w:textAlignment w:val="auto"/>
              <w:rPr>
                <w:rFonts w:hint="default" w:ascii="Times New Roman" w:hAnsi="Times New Roman" w:eastAsia="宋体" w:cs="Times New Roman"/>
                <w:b w:val="0"/>
                <w:bCs w:val="0"/>
                <w:color w:val="auto"/>
                <w:sz w:val="24"/>
                <w:szCs w:val="24"/>
                <w:highlight w:val="none"/>
                <w:shd w:val="clear" w:color="auto" w:fill="FFFFFF"/>
              </w:rPr>
            </w:pPr>
            <w:r>
              <w:rPr>
                <w:rFonts w:hint="default" w:ascii="Times New Roman" w:hAnsi="Times New Roman" w:cs="Times New Roman"/>
                <w:b w:val="0"/>
                <w:bCs w:val="0"/>
                <w:color w:val="auto"/>
                <w:sz w:val="24"/>
                <w:szCs w:val="24"/>
                <w:highlight w:val="none"/>
                <w:shd w:val="clear" w:color="auto" w:fill="FFFFFF"/>
                <w:lang w:eastAsia="zh-CN"/>
              </w:rPr>
              <w:t>□</w:t>
            </w:r>
            <w:r>
              <w:rPr>
                <w:rFonts w:hint="default" w:ascii="Times New Roman" w:hAnsi="Times New Roman" w:eastAsia="宋体" w:cs="Times New Roman"/>
                <w:b w:val="0"/>
                <w:bCs w:val="0"/>
                <w:color w:val="auto"/>
                <w:sz w:val="24"/>
                <w:szCs w:val="24"/>
                <w:highlight w:val="none"/>
                <w:shd w:val="clear" w:color="auto" w:fill="FFFFFF"/>
              </w:rPr>
              <w:t xml:space="preserve"> 简易计税法</w:t>
            </w:r>
          </w:p>
          <w:p>
            <w:pPr>
              <w:keepNext w:val="0"/>
              <w:keepLines w:val="0"/>
              <w:pageBreakBefore w:val="0"/>
              <w:widowControl w:val="0"/>
              <w:kinsoku/>
              <w:overflowPunct/>
              <w:autoSpaceDE/>
              <w:autoSpaceDN/>
              <w:bidi w:val="0"/>
              <w:adjustRightInd/>
              <w:snapToGrid/>
              <w:ind w:left="0" w:firstLine="0" w:firstLineChars="0"/>
              <w:textAlignment w:val="auto"/>
              <w:rPr>
                <w:rFonts w:hint="default" w:ascii="Times New Roman" w:hAnsi="Times New Roman" w:eastAsia="宋体" w:cs="Times New Roman"/>
                <w:b w:val="0"/>
                <w:bCs w:val="0"/>
                <w:color w:val="auto"/>
                <w:sz w:val="24"/>
                <w:szCs w:val="24"/>
                <w:highlight w:val="none"/>
                <w:shd w:val="clear" w:color="auto" w:fill="FFFFFF"/>
              </w:rPr>
            </w:pPr>
            <w:r>
              <w:rPr>
                <w:rFonts w:hint="default" w:ascii="Times New Roman" w:hAnsi="Times New Roman" w:cs="Times New Roman"/>
                <w:b w:val="0"/>
                <w:bCs w:val="0"/>
                <w:color w:val="auto"/>
                <w:sz w:val="24"/>
                <w:szCs w:val="24"/>
                <w:highlight w:val="none"/>
                <w:shd w:val="clear" w:color="auto" w:fill="FFFFFF"/>
                <w:lang w:eastAsia="zh-CN"/>
              </w:rPr>
              <w:t>□</w:t>
            </w:r>
            <w:r>
              <w:rPr>
                <w:rFonts w:hint="default" w:ascii="Times New Roman" w:hAnsi="Times New Roman" w:eastAsia="宋体" w:cs="Times New Roman"/>
                <w:b w:val="0"/>
                <w:bCs w:val="0"/>
                <w:color w:val="auto"/>
                <w:sz w:val="24"/>
                <w:szCs w:val="24"/>
                <w:highlight w:val="none"/>
                <w:shd w:val="clear" w:color="auto" w:fill="FFFFFF"/>
              </w:rPr>
              <w:t xml:space="preserve"> 扣缴计税法</w:t>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b w:val="0"/>
                <w:bCs w:val="0"/>
                <w:color w:val="auto"/>
                <w:sz w:val="24"/>
                <w:szCs w:val="24"/>
                <w:highlight w:val="none"/>
                <w:shd w:val="clear" w:color="auto" w:fill="FFFFFF"/>
                <w:lang w:eastAsia="zh-CN"/>
              </w:rPr>
              <w:t>□</w:t>
            </w:r>
            <w:r>
              <w:rPr>
                <w:rFonts w:hint="default" w:ascii="Times New Roman" w:hAnsi="Times New Roman" w:eastAsia="宋体" w:cs="Times New Roman"/>
                <w:b w:val="0"/>
                <w:bCs w:val="0"/>
                <w:color w:val="auto"/>
                <w:sz w:val="24"/>
                <w:szCs w:val="24"/>
                <w:highlight w:val="none"/>
                <w:shd w:val="clear" w:color="auto" w:fill="FFFFFF"/>
              </w:rPr>
              <w:t xml:space="preserve"> 其他</w:t>
            </w:r>
            <w:r>
              <w:rPr>
                <w:rFonts w:hint="default" w:ascii="Times New Roman" w:hAnsi="Times New Roman" w:eastAsia="宋体" w:cs="Times New Roman"/>
                <w:b w:val="0"/>
                <w:bCs w:val="0"/>
                <w:color w:val="auto"/>
                <w:sz w:val="24"/>
                <w:szCs w:val="24"/>
                <w:highlight w:val="none"/>
                <w:u w:val="single"/>
                <w:shd w:val="clear" w:color="auto" w:fill="FFFFFF"/>
              </w:rPr>
              <w:t xml:space="preserve">      </w:t>
            </w:r>
            <w:r>
              <w:rPr>
                <w:rFonts w:hint="default" w:ascii="Times New Roman" w:hAnsi="Times New Roman" w:eastAsia="宋体" w:cs="Times New Roman"/>
                <w:b w:val="0"/>
                <w:bCs w:val="0"/>
                <w:color w:val="auto"/>
                <w:sz w:val="24"/>
                <w:szCs w:val="24"/>
                <w:highlight w:val="none"/>
                <w:shd w:val="clear" w:color="auto" w:fill="FFFFFF"/>
              </w:rPr>
              <w:t>计税法</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3.2.</w:t>
            </w:r>
            <w:r>
              <w:rPr>
                <w:rFonts w:hint="default" w:ascii="Times New Roman" w:hAnsi="Times New Roman"/>
                <w:color w:val="auto"/>
                <w:sz w:val="24"/>
                <w:szCs w:val="24"/>
                <w:highlight w:val="none"/>
              </w:rPr>
              <w:t>4</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最高投标限价</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无</w:t>
            </w:r>
          </w:p>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hint="default" w:ascii="Times New Roman" w:hAnsi="Times New Roman" w:eastAsia="宋体" w:cs="Times New Roman"/>
                <w:color w:val="auto"/>
                <w:sz w:val="24"/>
                <w:szCs w:val="24"/>
                <w:highlight w:val="none"/>
                <w:u w:val="singl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有，最高投标限价：</w:t>
            </w:r>
            <w:r>
              <w:rPr>
                <w:rFonts w:hint="default" w:ascii="Times New Roman" w:hAnsi="Times New Roman" w:cs="Times New Roman"/>
                <w:color w:val="auto"/>
                <w:sz w:val="24"/>
                <w:szCs w:val="24"/>
                <w:highlight w:val="none"/>
                <w:u w:val="single"/>
                <w:lang w:val="en-US" w:eastAsia="zh-CN"/>
              </w:rPr>
              <w:t xml:space="preserve">       </w:t>
            </w:r>
          </w:p>
          <w:p>
            <w:pPr>
              <w:pStyle w:val="9"/>
              <w:keepNext w:val="0"/>
              <w:keepLines w:val="0"/>
              <w:pageBreakBefore w:val="0"/>
              <w:widowControl w:val="0"/>
              <w:kinsoku/>
              <w:wordWrap w:val="0"/>
              <w:overflowPunct/>
              <w:topLinePunct/>
              <w:autoSpaceDE/>
              <w:autoSpaceDN/>
              <w:bidi w:val="0"/>
              <w:adjustRightInd/>
              <w:snapToGrid/>
              <w:spacing w:line="360" w:lineRule="atLeast"/>
              <w:ind w:left="0" w:firstLine="0" w:firstLineChars="0"/>
              <w:textAlignment w:val="auto"/>
              <w:rPr>
                <w:rFonts w:ascii="Times New Roman" w:hAnsi="Times New Roman"/>
                <w:color w:val="auto"/>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有，最高投标限价以补遗书的形式通过</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发布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3.2.</w:t>
            </w:r>
            <w:r>
              <w:rPr>
                <w:rFonts w:hint="default" w:ascii="Times New Roman" w:hAnsi="Times New Roman"/>
                <w:color w:val="auto"/>
                <w:sz w:val="24"/>
                <w:szCs w:val="24"/>
                <w:highlight w:val="none"/>
              </w:rPr>
              <w:t>5</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投标报价的其他要求</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3.3.1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投标有效期</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wordWrap w:val="0"/>
              <w:overflowPunct/>
              <w:topLinePunct/>
              <w:autoSpaceDE/>
              <w:autoSpaceDN/>
              <w:bidi w:val="0"/>
              <w:adjustRightInd/>
              <w:snapToGrid/>
              <w:spacing w:line="360" w:lineRule="atLeast"/>
              <w:ind w:left="0" w:firstLine="0" w:firstLineChars="0"/>
              <w:textAlignment w:val="auto"/>
              <w:rPr>
                <w:rFonts w:ascii="Times New Roman" w:hAnsi="Times New Roman"/>
                <w:color w:val="auto"/>
                <w:szCs w:val="24"/>
                <w:highlight w:val="none"/>
              </w:rPr>
            </w:pPr>
            <w:r>
              <w:rPr>
                <w:rFonts w:hint="default" w:ascii="Times New Roman" w:hAnsi="Times New Roman" w:cs="Times New Roman"/>
                <w:color w:val="auto"/>
                <w:sz w:val="24"/>
                <w:szCs w:val="24"/>
                <w:highlight w:val="none"/>
              </w:rPr>
              <w:t>自投标人提交投标文件截止之日起计算</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6"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3.4.1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投标保证金</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是否要求投标人递交投标保证金：</w:t>
            </w:r>
          </w:p>
          <w:p>
            <w:pPr>
              <w:pStyle w:val="9"/>
              <w:keepNext w:val="0"/>
              <w:keepLines w:val="0"/>
              <w:pageBreakBefore w:val="0"/>
              <w:widowControl w:val="0"/>
              <w:kinsoku/>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要求</w:t>
            </w:r>
            <w:r>
              <w:rPr>
                <w:rFonts w:hint="default" w:ascii="Times New Roman" w:hAnsi="Times New Roman" w:cs="Times New Roman"/>
                <w:color w:val="auto"/>
                <w:sz w:val="24"/>
                <w:szCs w:val="24"/>
                <w:highlight w:val="none"/>
                <w:lang w:eastAsia="zh-CN"/>
              </w:rPr>
              <w:t>：</w:t>
            </w:r>
          </w:p>
          <w:p>
            <w:pPr>
              <w:pStyle w:val="9"/>
              <w:keepNext w:val="0"/>
              <w:keepLines w:val="0"/>
              <w:pageBreakBefore w:val="0"/>
              <w:widowControl w:val="0"/>
              <w:kinsoku/>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投标保证金的金额：</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 xml:space="preserve"> </w:t>
            </w:r>
          </w:p>
          <w:p>
            <w:pPr>
              <w:pStyle w:val="9"/>
              <w:keepNext w:val="0"/>
              <w:keepLines w:val="0"/>
              <w:pageBreakBefore w:val="0"/>
              <w:widowControl w:val="0"/>
              <w:kinsoku/>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投标保证金</w:t>
            </w:r>
            <w:r>
              <w:rPr>
                <w:rFonts w:hint="default" w:ascii="Times New Roman" w:hAnsi="Times New Roman" w:cs="Times New Roman"/>
                <w:color w:val="auto"/>
                <w:sz w:val="24"/>
                <w:szCs w:val="24"/>
                <w:highlight w:val="none"/>
                <w:lang w:eastAsia="zh-CN"/>
              </w:rPr>
              <w:t>的</w:t>
            </w:r>
            <w:r>
              <w:rPr>
                <w:rFonts w:hint="default" w:ascii="Times New Roman" w:hAnsi="Times New Roman" w:cs="Times New Roman"/>
                <w:color w:val="auto"/>
                <w:sz w:val="24"/>
                <w:szCs w:val="24"/>
                <w:highlight w:val="none"/>
              </w:rPr>
              <w:t>形式</w:t>
            </w:r>
            <w:r>
              <w:rPr>
                <w:rStyle w:val="37"/>
                <w:rFonts w:hint="default" w:ascii="Times New Roman" w:hAnsi="Times New Roman" w:cs="Times New Roman"/>
                <w:color w:val="auto"/>
                <w:sz w:val="24"/>
                <w:szCs w:val="24"/>
                <w:highlight w:val="none"/>
              </w:rPr>
              <w:footnoteReference w:id="4"/>
            </w:r>
          </w:p>
          <w:p>
            <w:pPr>
              <w:keepNext w:val="0"/>
              <w:keepLines w:val="0"/>
              <w:pageBreakBefore w:val="0"/>
              <w:widowControl w:val="0"/>
              <w:kinsoku/>
              <w:wordWrap/>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采用现金（银行电汇或网银转账或转账支票）形式：</w:t>
            </w:r>
          </w:p>
          <w:p>
            <w:pPr>
              <w:keepNext w:val="0"/>
              <w:keepLines w:val="0"/>
              <w:pageBreakBefore w:val="0"/>
              <w:widowControl w:val="0"/>
              <w:kinsoku/>
              <w:wordWrap/>
              <w:overflowPunct/>
              <w:autoSpaceDE/>
              <w:autoSpaceDN/>
              <w:bidi w:val="0"/>
              <w:adjustRightInd/>
              <w:snapToGrid/>
              <w:spacing w:line="360" w:lineRule="atLeast"/>
              <w:ind w:left="0" w:firstLine="0" w:firstLineChars="0"/>
              <w:textAlignment w:val="auto"/>
              <w:rPr>
                <w:rFonts w:hint="default" w:ascii="Times New Roman" w:hAnsi="Times New Roman" w:eastAsia="黑体" w:cs="Times New Roman"/>
                <w:bCs/>
                <w:i/>
                <w:iCs/>
                <w:color w:val="auto"/>
                <w:sz w:val="24"/>
                <w:szCs w:val="24"/>
                <w:highlight w:val="none"/>
              </w:rPr>
            </w:pPr>
            <w:r>
              <w:rPr>
                <w:rFonts w:hint="default" w:ascii="Times New Roman" w:hAnsi="Times New Roman" w:cs="Times New Roman"/>
                <w:color w:val="auto"/>
                <w:sz w:val="24"/>
                <w:szCs w:val="24"/>
                <w:highlight w:val="none"/>
              </w:rPr>
              <w:t>招标人指定的开户银行及账号如下：</w:t>
            </w:r>
          </w:p>
          <w:p>
            <w:pPr>
              <w:keepNext w:val="0"/>
              <w:keepLines w:val="0"/>
              <w:pageBreakBefore w:val="0"/>
              <w:widowControl w:val="0"/>
              <w:kinsoku/>
              <w:wordWrap/>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账户名称：</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开户银行：</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账    号：</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为确保在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rPr>
              <w:t>时间前投标保证金能到达招标人指定账户，投标人在汇款时须充分考虑银行汇款的时间误差风险，否则所造成的后果由投标人自负。</w:t>
            </w:r>
          </w:p>
          <w:p>
            <w:pPr>
              <w:pStyle w:val="9"/>
              <w:keepNext w:val="0"/>
              <w:keepLines w:val="0"/>
              <w:pageBreakBefore w:val="0"/>
              <w:widowControl w:val="0"/>
              <w:kinsoku/>
              <w:wordWrap/>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pacing w:val="-8"/>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pacing w:val="-8"/>
                <w:sz w:val="24"/>
                <w:szCs w:val="24"/>
                <w:highlight w:val="none"/>
              </w:rPr>
              <w:t>采用银行保函</w:t>
            </w:r>
            <w:r>
              <w:rPr>
                <w:rFonts w:hint="default" w:ascii="Times New Roman" w:hAnsi="Times New Roman" w:cs="Times New Roman"/>
                <w:color w:val="auto"/>
                <w:spacing w:val="-8"/>
                <w:sz w:val="24"/>
                <w:szCs w:val="24"/>
                <w:highlight w:val="none"/>
                <w:lang w:val="en-US" w:eastAsia="zh-CN"/>
              </w:rPr>
              <w:t>形式：</w:t>
            </w:r>
          </w:p>
          <w:p>
            <w:pPr>
              <w:pStyle w:val="9"/>
              <w:keepNext w:val="0"/>
              <w:keepLines w:val="0"/>
              <w:pageBreakBefore w:val="0"/>
              <w:widowControl w:val="0"/>
              <w:kinsoku/>
              <w:wordWrap/>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出具保函的银行级别：</w:t>
            </w:r>
            <w:r>
              <w:rPr>
                <w:rFonts w:hint="default" w:ascii="Times New Roman" w:hAnsi="Times New Roman" w:cs="Times New Roman"/>
                <w:color w:val="auto"/>
                <w:sz w:val="24"/>
                <w:szCs w:val="24"/>
                <w:highlight w:val="none"/>
                <w:u w:val="single"/>
              </w:rPr>
              <w:t xml:space="preserve">              </w:t>
            </w:r>
          </w:p>
          <w:p>
            <w:pPr>
              <w:pStyle w:val="9"/>
              <w:keepNext w:val="0"/>
              <w:keepLines w:val="0"/>
              <w:pageBreakBefore w:val="0"/>
              <w:widowControl w:val="0"/>
              <w:kinsoku/>
              <w:wordWrap/>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none"/>
              </w:rPr>
              <w:t>银行保函应采用招标文件提供的格式，若采用银行自有格式，其提交的银行保函内容不得对担保金额、担保范围、担保期限、担保内容作出降低担保效力的实质性修改。</w:t>
            </w:r>
          </w:p>
          <w:p>
            <w:pPr>
              <w:pStyle w:val="9"/>
              <w:keepNext w:val="0"/>
              <w:keepLines w:val="0"/>
              <w:pageBreakBefore w:val="0"/>
              <w:widowControl w:val="0"/>
              <w:kinsoku/>
              <w:wordWrap/>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采用电子保函形式：</w:t>
            </w:r>
          </w:p>
          <w:p>
            <w:pPr>
              <w:pStyle w:val="9"/>
              <w:keepNext w:val="0"/>
              <w:keepLines w:val="0"/>
              <w:pageBreakBefore w:val="0"/>
              <w:widowControl w:val="0"/>
              <w:kinsoku/>
              <w:wordWrap/>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t>保函应由投标人自主选具有金融服务担保能力的机构出具，保函办理机构应提供电子化保函验真渠道和保函财务费用支付凭证（保函财务费用应从投标人基本账户支出）。</w:t>
            </w:r>
          </w:p>
          <w:p>
            <w:pPr>
              <w:pStyle w:val="9"/>
              <w:keepNext w:val="0"/>
              <w:keepLines w:val="0"/>
              <w:pageBreakBefore w:val="0"/>
              <w:widowControl w:val="0"/>
              <w:kinsoku/>
              <w:wordWrap/>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采用其他形式：</w:t>
            </w:r>
            <w:r>
              <w:rPr>
                <w:rFonts w:hint="default" w:ascii="Times New Roman" w:hAnsi="Times New Roman" w:cs="Times New Roman"/>
                <w:color w:val="auto"/>
                <w:sz w:val="24"/>
                <w:szCs w:val="24"/>
                <w:highlight w:val="none"/>
                <w:u w:val="single"/>
                <w:lang w:val="en-US" w:eastAsia="zh-CN"/>
              </w:rPr>
              <w:t xml:space="preserve">        </w:t>
            </w:r>
          </w:p>
          <w:p>
            <w:pPr>
              <w:spacing w:line="360" w:lineRule="atLeast"/>
              <w:ind w:firstLine="0" w:firstLineChars="0"/>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不要求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77"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3.4.3</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hint="default" w:ascii="Times New Roman" w:hAnsi="Times New Roman" w:cs="Times New Roman" w:eastAsiaTheme="minorEastAsia"/>
                <w:color w:val="auto"/>
                <w:sz w:val="24"/>
                <w:szCs w:val="24"/>
                <w:highlight w:val="none"/>
              </w:rPr>
              <w:t>投标保证金利息计算原则</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6"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3.4.4</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其他可以不予退还投标保证金的情形</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6"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3.5</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资格审查资料的特殊要求</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overflowPunct/>
              <w:topLinePunct/>
              <w:autoSpaceDE/>
              <w:autoSpaceDN/>
              <w:bidi w:val="0"/>
              <w:adjustRightInd/>
              <w:snapToGrid/>
              <w:spacing w:line="40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无</w:t>
            </w:r>
          </w:p>
          <w:p>
            <w:pPr>
              <w:pStyle w:val="9"/>
              <w:keepNext w:val="0"/>
              <w:keepLines w:val="0"/>
              <w:pageBreakBefore w:val="0"/>
              <w:widowControl w:val="0"/>
              <w:kinsoku/>
              <w:overflowPunct/>
              <w:topLinePunct/>
              <w:autoSpaceDE/>
              <w:autoSpaceDN/>
              <w:bidi w:val="0"/>
              <w:adjustRightInd/>
              <w:snapToGrid/>
              <w:spacing w:line="400" w:lineRule="exact"/>
              <w:ind w:left="0" w:firstLine="0" w:firstLineChars="0"/>
              <w:textAlignment w:val="auto"/>
              <w:rPr>
                <w:rFonts w:ascii="Times New Roman" w:hAnsi="Times New Roman"/>
                <w:color w:val="auto"/>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有，具体要求：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6"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3.5.2</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近年财务状况的年份要求</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u w:val="single"/>
              </w:rPr>
            </w:pPr>
            <w:r>
              <w:rPr>
                <w:rFonts w:ascii="Times New Roman" w:hAnsi="Times New Roman" w:eastAsia="黑体"/>
                <w:color w:val="auto"/>
                <w:sz w:val="24"/>
                <w:szCs w:val="24"/>
                <w:highlight w:val="none"/>
                <w:u w:val="single"/>
              </w:rPr>
              <w:t xml:space="preserve">    </w:t>
            </w:r>
            <w:r>
              <w:rPr>
                <w:rFonts w:ascii="Times New Roman" w:hAnsi="Times New Roman"/>
                <w:color w:val="auto"/>
                <w:sz w:val="24"/>
                <w:szCs w:val="24"/>
                <w:highlight w:val="none"/>
              </w:rPr>
              <w:t>年至</w:t>
            </w:r>
            <w:r>
              <w:rPr>
                <w:rFonts w:ascii="Times New Roman" w:hAnsi="Times New Roman" w:eastAsia="黑体"/>
                <w:color w:val="auto"/>
                <w:sz w:val="24"/>
                <w:szCs w:val="24"/>
                <w:highlight w:val="none"/>
                <w:u w:val="single"/>
              </w:rPr>
              <w:t xml:space="preserve">    </w:t>
            </w:r>
            <w:r>
              <w:rPr>
                <w:rFonts w:ascii="Times New Roman" w:hAnsi="Times New Roman"/>
                <w:color w:val="auto"/>
                <w:sz w:val="24"/>
                <w:szCs w:val="24"/>
                <w:highlight w:val="none"/>
              </w:rPr>
              <w:t>年</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6"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3.5.3</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近年完成的类似项目情况</w:t>
            </w:r>
            <w:r>
              <w:rPr>
                <w:rFonts w:hint="default" w:ascii="Times New Roman" w:hAnsi="Times New Roman"/>
                <w:color w:val="auto"/>
                <w:sz w:val="24"/>
                <w:szCs w:val="24"/>
                <w:highlight w:val="none"/>
              </w:rPr>
              <w:t>的</w:t>
            </w:r>
            <w:r>
              <w:rPr>
                <w:rFonts w:ascii="Times New Roman" w:hAnsi="Times New Roman"/>
                <w:color w:val="auto"/>
                <w:sz w:val="24"/>
                <w:szCs w:val="24"/>
                <w:highlight w:val="none"/>
              </w:rPr>
              <w:t>时间要求</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年</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月</w:t>
            </w:r>
            <w:r>
              <w:rPr>
                <w:rFonts w:hint="default" w:ascii="Times New Roman" w:hAnsi="Times New Roman" w:eastAsia="黑体"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日至投标文件递交截止日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6"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3.5.5</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近年发生的诉讼及仲裁情况的时间要求</w:t>
            </w:r>
          </w:p>
        </w:tc>
        <w:tc>
          <w:tcPr>
            <w:tcW w:w="5238"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rPr>
                <w:rFonts w:ascii="Times New Roman" w:hAnsi="Times New Roman"/>
                <w:color w:val="auto"/>
                <w:sz w:val="24"/>
                <w:szCs w:val="24"/>
                <w:highlight w:val="none"/>
              </w:rPr>
            </w:pPr>
            <w:r>
              <w:rPr>
                <w:rFonts w:ascii="Times New Roman" w:hAnsi="Times New Roman" w:eastAsia="黑体"/>
                <w:color w:val="auto"/>
                <w:sz w:val="24"/>
                <w:szCs w:val="24"/>
                <w:highlight w:val="none"/>
                <w:u w:val="single"/>
              </w:rPr>
              <w:t xml:space="preserve">    </w:t>
            </w:r>
            <w:r>
              <w:rPr>
                <w:rFonts w:ascii="Times New Roman" w:hAnsi="Times New Roman"/>
                <w:color w:val="auto"/>
                <w:sz w:val="24"/>
                <w:szCs w:val="24"/>
                <w:highlight w:val="none"/>
              </w:rPr>
              <w:t>年</w:t>
            </w:r>
            <w:r>
              <w:rPr>
                <w:rFonts w:ascii="Times New Roman" w:hAnsi="Times New Roman" w:eastAsia="黑体"/>
                <w:color w:val="auto"/>
                <w:sz w:val="24"/>
                <w:szCs w:val="24"/>
                <w:highlight w:val="none"/>
                <w:u w:val="single"/>
              </w:rPr>
              <w:t xml:space="preserve">    </w:t>
            </w:r>
            <w:r>
              <w:rPr>
                <w:rFonts w:ascii="Times New Roman" w:hAnsi="Times New Roman"/>
                <w:color w:val="auto"/>
                <w:sz w:val="24"/>
                <w:szCs w:val="24"/>
                <w:highlight w:val="none"/>
              </w:rPr>
              <w:t>月</w:t>
            </w:r>
            <w:r>
              <w:rPr>
                <w:rFonts w:ascii="Times New Roman" w:hAnsi="Times New Roman" w:eastAsia="黑体"/>
                <w:color w:val="auto"/>
                <w:sz w:val="24"/>
                <w:szCs w:val="24"/>
                <w:highlight w:val="none"/>
                <w:u w:val="single"/>
              </w:rPr>
              <w:t xml:space="preserve">    </w:t>
            </w:r>
            <w:r>
              <w:rPr>
                <w:rFonts w:ascii="Times New Roman" w:hAnsi="Times New Roman"/>
                <w:color w:val="auto"/>
                <w:sz w:val="24"/>
                <w:szCs w:val="24"/>
                <w:highlight w:val="none"/>
              </w:rPr>
              <w:t>日至</w:t>
            </w:r>
            <w:r>
              <w:rPr>
                <w:rFonts w:ascii="Times New Roman" w:hAnsi="Times New Roman" w:eastAsia="黑体"/>
                <w:color w:val="auto"/>
                <w:sz w:val="24"/>
                <w:szCs w:val="24"/>
                <w:highlight w:val="none"/>
                <w:u w:val="single"/>
              </w:rPr>
              <w:t xml:space="preserve">    </w:t>
            </w:r>
            <w:r>
              <w:rPr>
                <w:rFonts w:ascii="Times New Roman" w:hAnsi="Times New Roman"/>
                <w:color w:val="auto"/>
                <w:sz w:val="24"/>
                <w:szCs w:val="24"/>
                <w:highlight w:val="none"/>
              </w:rPr>
              <w:t>年</w:t>
            </w:r>
            <w:r>
              <w:rPr>
                <w:rFonts w:ascii="Times New Roman" w:hAnsi="Times New Roman" w:eastAsia="黑体"/>
                <w:color w:val="auto"/>
                <w:sz w:val="24"/>
                <w:szCs w:val="24"/>
                <w:highlight w:val="none"/>
                <w:u w:val="single"/>
              </w:rPr>
              <w:t xml:space="preserve">    </w:t>
            </w:r>
            <w:r>
              <w:rPr>
                <w:rFonts w:ascii="Times New Roman" w:hAnsi="Times New Roman"/>
                <w:color w:val="auto"/>
                <w:sz w:val="24"/>
                <w:szCs w:val="24"/>
                <w:highlight w:val="none"/>
              </w:rPr>
              <w:t>月</w:t>
            </w:r>
            <w:r>
              <w:rPr>
                <w:rFonts w:ascii="Times New Roman" w:hAnsi="Times New Roman" w:eastAsia="黑体"/>
                <w:color w:val="auto"/>
                <w:sz w:val="24"/>
                <w:szCs w:val="24"/>
                <w:highlight w:val="none"/>
                <w:u w:val="single"/>
              </w:rPr>
              <w:t xml:space="preserve">    </w:t>
            </w:r>
            <w:r>
              <w:rPr>
                <w:rFonts w:ascii="Times New Roman" w:hAnsi="Times New Roman"/>
                <w:color w:val="auto"/>
                <w:sz w:val="24"/>
                <w:szCs w:val="24"/>
                <w:highlight w:val="none"/>
              </w:rPr>
              <w:t>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6"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3.6.1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是否允许递交备选投标方案</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overflowPunct/>
              <w:topLinePunct/>
              <w:autoSpaceDE/>
              <w:autoSpaceDN/>
              <w:bidi w:val="0"/>
              <w:adjustRightInd/>
              <w:snapToGrid/>
              <w:spacing w:line="40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不允许</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允许</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3.7.</w:t>
            </w:r>
            <w:r>
              <w:rPr>
                <w:rFonts w:hint="default" w:ascii="Times New Roman" w:hAnsi="Times New Roman"/>
                <w:color w:val="auto"/>
                <w:sz w:val="24"/>
                <w:szCs w:val="24"/>
                <w:highlight w:val="none"/>
                <w:lang w:val="en-US" w:eastAsia="zh-CN"/>
              </w:rPr>
              <w:t>5</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00" w:lineRule="exact"/>
              <w:ind w:left="0" w:firstLine="0" w:firstLineChars="0"/>
              <w:jc w:val="center"/>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val="en-US" w:eastAsia="zh-CN"/>
              </w:rPr>
              <w:t>投标文件上传的要求</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wordWrap w:val="0"/>
              <w:overflowPunct/>
              <w:topLinePunct/>
              <w:autoSpaceDE/>
              <w:autoSpaceDN/>
              <w:bidi w:val="0"/>
              <w:adjustRightInd/>
              <w:snapToGrid/>
              <w:spacing w:line="40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投标人应在规定的投标截止时间前，通过互联网使用CA数字证书登录</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电子交易平台</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）将拒绝接收。</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3.7.</w:t>
            </w:r>
            <w:r>
              <w:rPr>
                <w:rFonts w:hint="default" w:ascii="Times New Roman" w:hAnsi="Times New Roman"/>
                <w:color w:val="auto"/>
                <w:sz w:val="24"/>
                <w:szCs w:val="24"/>
                <w:highlight w:val="none"/>
                <w:lang w:val="en-US" w:eastAsia="zh-CN"/>
              </w:rPr>
              <w:t>6</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00" w:lineRule="exact"/>
              <w:ind w:left="0" w:firstLine="0" w:firstLineChars="0"/>
              <w:jc w:val="center"/>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投标文件其他要求</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wordWrap w:val="0"/>
              <w:overflowPunct/>
              <w:topLinePunct/>
              <w:autoSpaceDE/>
              <w:autoSpaceDN/>
              <w:bidi w:val="0"/>
              <w:adjustRightInd/>
              <w:snapToGrid/>
              <w:spacing w:line="400" w:lineRule="exac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本项目采用电子招标投标形式，投标期间不需提供纸质投标文件。中标人在合同签订前需向招标人提交资料：</w:t>
            </w:r>
          </w:p>
          <w:p>
            <w:pPr>
              <w:pStyle w:val="9"/>
              <w:keepNext w:val="0"/>
              <w:keepLines w:val="0"/>
              <w:pageBreakBefore w:val="0"/>
              <w:widowControl w:val="0"/>
              <w:kinsoku/>
              <w:wordWrap w:val="0"/>
              <w:overflowPunct/>
              <w:topLinePunct/>
              <w:autoSpaceDE/>
              <w:autoSpaceDN/>
              <w:bidi w:val="0"/>
              <w:adjustRightInd/>
              <w:snapToGrid/>
              <w:spacing w:line="400" w:lineRule="exac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 xml:space="preserve"> 纸质版投标文件：</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套；</w:t>
            </w:r>
          </w:p>
          <w:p>
            <w:pPr>
              <w:pStyle w:val="9"/>
              <w:keepNext w:val="0"/>
              <w:keepLines w:val="0"/>
              <w:pageBreakBefore w:val="0"/>
              <w:widowControl w:val="0"/>
              <w:kinsoku/>
              <w:wordWrap w:val="0"/>
              <w:overflowPunct/>
              <w:topLinePunct/>
              <w:autoSpaceDE/>
              <w:autoSpaceDN/>
              <w:bidi w:val="0"/>
              <w:adjustRightInd/>
              <w:snapToGrid/>
              <w:spacing w:line="40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 xml:space="preserve"> 电子版投标文件，具体要求为：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nil"/>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5.1</w:t>
            </w:r>
            <w:r>
              <w:rPr>
                <w:rFonts w:hint="default" w:ascii="Times New Roman" w:hAnsi="Times New Roman"/>
                <w:color w:val="auto"/>
                <w:sz w:val="24"/>
                <w:szCs w:val="24"/>
                <w:highlight w:val="none"/>
                <w:lang w:val="en-US" w:eastAsia="zh-CN"/>
              </w:rPr>
              <w:t>.1</w:t>
            </w:r>
          </w:p>
        </w:tc>
        <w:tc>
          <w:tcPr>
            <w:tcW w:w="2888" w:type="dxa"/>
            <w:tcBorders>
              <w:top w:val="single" w:color="auto" w:sz="4" w:space="0"/>
              <w:left w:val="single" w:color="auto" w:sz="4" w:space="0"/>
              <w:bottom w:val="nil"/>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开标时间和地点</w:t>
            </w:r>
          </w:p>
        </w:tc>
        <w:tc>
          <w:tcPr>
            <w:tcW w:w="5238" w:type="dxa"/>
            <w:tcBorders>
              <w:top w:val="single" w:color="auto" w:sz="4" w:space="0"/>
              <w:left w:val="single" w:color="auto" w:sz="4" w:space="0"/>
              <w:bottom w:val="nil"/>
              <w:right w:val="single" w:color="auto" w:sz="4" w:space="0"/>
            </w:tcBorders>
            <w:vAlign w:val="center"/>
          </w:tcPr>
          <w:p>
            <w:pPr>
              <w:keepNext w:val="0"/>
              <w:keepLines w:val="0"/>
              <w:pageBreakBefore w:val="0"/>
              <w:widowControl w:val="0"/>
              <w:shd w:val="clear"/>
              <w:kinsoku/>
              <w:overflowPunct/>
              <w:autoSpaceDE/>
              <w:autoSpaceDN/>
              <w:bidi w:val="0"/>
              <w:adjustRightInd/>
              <w:snapToGrid/>
              <w:spacing w:line="440" w:lineRule="exact"/>
              <w:ind w:left="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投标文件第一个信封（商务及技术文件）开标时间：同投标截止时间</w:t>
            </w:r>
          </w:p>
          <w:p>
            <w:pPr>
              <w:keepNext w:val="0"/>
              <w:keepLines w:val="0"/>
              <w:pageBreakBefore w:val="0"/>
              <w:widowControl w:val="0"/>
              <w:shd w:val="clear"/>
              <w:kinsoku/>
              <w:overflowPunct/>
              <w:autoSpaceDE/>
              <w:autoSpaceDN/>
              <w:bidi w:val="0"/>
              <w:adjustRightInd/>
              <w:snapToGrid/>
              <w:spacing w:line="440" w:lineRule="exact"/>
              <w:ind w:left="0" w:firstLine="0" w:firstLineChars="0"/>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投标文件第二个信封（报价文件）开标时间：另行通知</w:t>
            </w:r>
          </w:p>
          <w:p>
            <w:pPr>
              <w:keepNext w:val="0"/>
              <w:keepLines w:val="0"/>
              <w:pageBreakBefore w:val="0"/>
              <w:widowControl w:val="0"/>
              <w:shd w:val="clear"/>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eastAsia="宋体" w:cs="Times New Roman"/>
                <w:color w:val="auto"/>
                <w:kern w:val="2"/>
                <w:sz w:val="24"/>
                <w:szCs w:val="24"/>
                <w:highlight w:val="none"/>
                <w:lang w:val="en-US" w:eastAsia="zh-CN" w:bidi="ar-SA"/>
              </w:rPr>
              <w:t>地点：</w:t>
            </w:r>
            <w:r>
              <w:rPr>
                <w:rFonts w:hint="default" w:ascii="Times New Roman" w:hAnsi="Times New Roman" w:eastAsia="宋体" w:cs="Times New Roman"/>
                <w:color w:val="auto"/>
                <w:kern w:val="2"/>
                <w:sz w:val="24"/>
                <w:szCs w:val="24"/>
                <w:highlight w:val="none"/>
                <w:u w:val="single"/>
                <w:lang w:val="en-US" w:eastAsia="zh-CN" w:bidi="ar-SA"/>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1"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5.2</w:t>
            </w:r>
            <w:r>
              <w:rPr>
                <w:rFonts w:hint="default" w:ascii="Times New Roman" w:hAnsi="Times New Roman"/>
                <w:color w:val="auto"/>
                <w:sz w:val="24"/>
                <w:szCs w:val="24"/>
                <w:highlight w:val="none"/>
                <w:lang w:val="en-US" w:eastAsia="zh-CN"/>
              </w:rPr>
              <w:t>.1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hint="default" w:ascii="Times New Roman" w:hAnsi="Times New Roman"/>
                <w:color w:val="auto"/>
                <w:sz w:val="24"/>
                <w:szCs w:val="24"/>
                <w:highlight w:val="none"/>
              </w:rPr>
              <w:t>第一个信封（商务及技术文件）</w:t>
            </w:r>
            <w:r>
              <w:rPr>
                <w:rFonts w:ascii="Times New Roman" w:hAnsi="Times New Roman"/>
                <w:color w:val="auto"/>
                <w:sz w:val="24"/>
                <w:szCs w:val="24"/>
                <w:highlight w:val="none"/>
              </w:rPr>
              <w:t>开标程序</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numPr>
                <w:ilvl w:val="0"/>
                <w:numId w:val="0"/>
              </w:numPr>
              <w:kinsoku/>
              <w:wordWrap w:val="0"/>
              <w:overflowPunct/>
              <w:autoSpaceDE/>
              <w:autoSpaceDN/>
              <w:bidi w:val="0"/>
              <w:adjustRightInd/>
              <w:snapToGrid/>
              <w:spacing w:line="440" w:lineRule="exact"/>
              <w:ind w:left="0" w:firstLine="0" w:firstLineChars="0"/>
              <w:textAlignment w:val="auto"/>
              <w:rPr>
                <w:rFonts w:hint="default" w:ascii="Times New Roman" w:hAnsi="Times New Roman" w:cs="Times New Roman"/>
                <w:color w:val="auto"/>
                <w:sz w:val="24"/>
                <w:szCs w:val="24"/>
                <w:highlight w:val="none"/>
                <w:lang w:eastAsia="zh-CN"/>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sz w:val="24"/>
                <w:szCs w:val="24"/>
                <w:highlight w:val="none"/>
                <w:lang w:eastAsia="zh-CN"/>
              </w:rPr>
              <w:t>投标文件第一个信封（商务及技术文件）解密时长：</w:t>
            </w:r>
            <w:r>
              <w:rPr>
                <w:rFonts w:hint="default" w:ascii="Times New Roman" w:hAnsi="Times New Roman" w:cs="Times New Roman"/>
                <w:color w:val="auto"/>
                <w:sz w:val="24"/>
                <w:szCs w:val="24"/>
                <w:highlight w:val="none"/>
                <w:u w:val="single"/>
                <w:lang w:eastAsia="zh-CN"/>
              </w:rPr>
              <w:t xml:space="preserve">       </w:t>
            </w:r>
            <w:r>
              <w:rPr>
                <w:rFonts w:hint="default" w:ascii="Times New Roman" w:hAnsi="Times New Roman" w:cs="Times New Roman"/>
                <w:color w:val="auto"/>
                <w:sz w:val="24"/>
                <w:szCs w:val="24"/>
                <w:highlight w:val="none"/>
                <w:lang w:eastAsia="zh-CN"/>
              </w:rPr>
              <w:t xml:space="preserve"> 分钟，当所有上传的电子投标文件均完成解密时，时长相应缩短</w:t>
            </w:r>
            <w:r>
              <w:rPr>
                <w:rFonts w:hint="default" w:ascii="Times New Roman" w:hAnsi="Times New Roman" w:cs="Times New Roman"/>
                <w:color w:val="auto"/>
                <w:sz w:val="24"/>
                <w:szCs w:val="24"/>
                <w:highlight w:val="none"/>
                <w:u w:val="none"/>
                <w:lang w:val="en-US" w:eastAsia="zh-CN"/>
              </w:rPr>
              <w:t xml:space="preserve">。        </w:t>
            </w:r>
          </w:p>
          <w:p>
            <w:pPr>
              <w:keepNext w:val="0"/>
              <w:keepLines w:val="0"/>
              <w:pageBreakBefore w:val="0"/>
              <w:widowControl w:val="0"/>
              <w:numPr>
                <w:ilvl w:val="0"/>
                <w:numId w:val="0"/>
              </w:numPr>
              <w:kinsoku/>
              <w:wordWrap w:val="0"/>
              <w:overflowPunct/>
              <w:autoSpaceDE/>
              <w:autoSpaceDN/>
              <w:bidi w:val="0"/>
              <w:adjustRightInd/>
              <w:snapToGrid/>
              <w:spacing w:line="440" w:lineRule="exact"/>
              <w:ind w:left="0" w:leftChars="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投标人必须在</w:t>
            </w:r>
            <w:r>
              <w:rPr>
                <w:rFonts w:hint="default" w:ascii="Times New Roman" w:hAnsi="Times New Roman" w:cs="Times New Roman"/>
                <w:color w:val="auto"/>
                <w:sz w:val="24"/>
                <w:szCs w:val="24"/>
                <w:highlight w:val="none"/>
                <w:lang w:val="en-US" w:eastAsia="zh-CN"/>
              </w:rPr>
              <w:t>规定</w:t>
            </w:r>
            <w:r>
              <w:rPr>
                <w:rFonts w:hint="default" w:ascii="Times New Roman" w:hAnsi="Times New Roman" w:cs="Times New Roman"/>
                <w:color w:val="auto"/>
                <w:sz w:val="24"/>
                <w:szCs w:val="24"/>
                <w:highlight w:val="none"/>
                <w:lang w:eastAsia="zh-CN"/>
              </w:rPr>
              <w:t>解密时间</w:t>
            </w:r>
            <w:r>
              <w:rPr>
                <w:rFonts w:hint="default" w:ascii="Times New Roman" w:hAnsi="Times New Roman" w:cs="Times New Roman"/>
                <w:color w:val="auto"/>
                <w:sz w:val="24"/>
                <w:szCs w:val="24"/>
                <w:highlight w:val="none"/>
                <w:lang w:val="en-US" w:eastAsia="zh-CN"/>
              </w:rPr>
              <w:t>内</w:t>
            </w:r>
            <w:r>
              <w:rPr>
                <w:rFonts w:hint="default" w:ascii="Times New Roman" w:hAnsi="Times New Roman" w:cs="Times New Roman"/>
                <w:color w:val="auto"/>
                <w:sz w:val="24"/>
                <w:szCs w:val="24"/>
                <w:highlight w:val="none"/>
                <w:lang w:eastAsia="zh-CN"/>
              </w:rPr>
              <w:t>完成投标文件的远程解密。除特殊说明情况外，若出现在规定时间未成功解密的情况，视为撤销投标文件。</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1" w:hRule="atLeast"/>
        </w:trPr>
        <w:tc>
          <w:tcPr>
            <w:tcW w:w="1154" w:type="dxa"/>
            <w:tcBorders>
              <w:top w:val="single" w:color="auto" w:sz="4" w:space="0"/>
              <w:left w:val="single" w:color="auto" w:sz="4" w:space="0"/>
              <w:bottom w:val="nil"/>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color w:val="auto"/>
                <w:sz w:val="24"/>
                <w:szCs w:val="24"/>
                <w:highlight w:val="none"/>
                <w:lang w:val="en-US" w:eastAsia="zh-CN"/>
              </w:rPr>
            </w:pPr>
            <w:r>
              <w:rPr>
                <w:rFonts w:hint="default" w:ascii="Times New Roman" w:hAnsi="Times New Roman"/>
                <w:color w:val="auto"/>
                <w:sz w:val="24"/>
                <w:szCs w:val="24"/>
                <w:highlight w:val="none"/>
                <w:lang w:val="en-US" w:eastAsia="zh-CN"/>
              </w:rPr>
              <w:t>5.2.3</w:t>
            </w:r>
          </w:p>
        </w:tc>
        <w:tc>
          <w:tcPr>
            <w:tcW w:w="2888" w:type="dxa"/>
            <w:tcBorders>
              <w:top w:val="single" w:color="auto" w:sz="4" w:space="0"/>
              <w:left w:val="single" w:color="auto" w:sz="4" w:space="0"/>
              <w:bottom w:val="nil"/>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第二个信封（报价文件）开标程序</w:t>
            </w:r>
          </w:p>
        </w:tc>
        <w:tc>
          <w:tcPr>
            <w:tcW w:w="5238" w:type="dxa"/>
            <w:tcBorders>
              <w:top w:val="single" w:color="auto" w:sz="4" w:space="0"/>
              <w:left w:val="single" w:color="auto" w:sz="4" w:space="0"/>
              <w:bottom w:val="nil"/>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（4）投标文件第二个信封（报价文件）解密时长：</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分钟，当所有参与第二个信封评审的电子投标文件均完成解密时，时长相应缩短。</w:t>
            </w:r>
          </w:p>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投标人必须在规定解密时间内完成投标文件的远程解密。除特殊说明情况外，若出现在规定时间未成功解密的情况，视为撤销投标文件。投标人应确保</w:t>
            </w:r>
            <w:r>
              <w:rPr>
                <w:rFonts w:hint="eastAsia" w:ascii="宋体" w:hAnsi="宋体" w:eastAsia="宋体" w:cs="宋体"/>
                <w:color w:val="auto"/>
                <w:sz w:val="24"/>
                <w:szCs w:val="24"/>
                <w:highlight w:val="none"/>
              </w:rPr>
              <w:t>“不见面开标大厅”</w:t>
            </w:r>
            <w:r>
              <w:rPr>
                <w:rFonts w:hint="default" w:ascii="Times New Roman" w:hAnsi="Times New Roman" w:cs="Times New Roman"/>
                <w:color w:val="auto"/>
                <w:sz w:val="24"/>
                <w:szCs w:val="24"/>
                <w:highlight w:val="none"/>
              </w:rPr>
              <w:t>所留项目联系方式正确且开评标期间全程畅通。如若投标人未解密文件或投标人电话未接通或投标人所留联系方式不正确，均视为自动放弃，按未递交处理。</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1" w:hRule="atLeast"/>
        </w:trPr>
        <w:tc>
          <w:tcPr>
            <w:tcW w:w="1154" w:type="dxa"/>
            <w:tcBorders>
              <w:top w:val="single" w:color="auto" w:sz="4" w:space="0"/>
              <w:left w:val="single" w:color="auto" w:sz="4" w:space="0"/>
              <w:bottom w:val="nil"/>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color w:val="auto"/>
                <w:sz w:val="24"/>
                <w:szCs w:val="24"/>
                <w:highlight w:val="none"/>
                <w:lang w:val="en-US" w:eastAsia="zh-CN"/>
              </w:rPr>
            </w:pPr>
            <w:r>
              <w:rPr>
                <w:rFonts w:hint="default" w:ascii="Times New Roman" w:hAnsi="Times New Roman"/>
                <w:color w:val="auto"/>
                <w:sz w:val="24"/>
                <w:szCs w:val="24"/>
                <w:highlight w:val="none"/>
                <w:lang w:val="en-US" w:eastAsia="zh-CN"/>
              </w:rPr>
              <w:t>5.3.1</w:t>
            </w:r>
          </w:p>
        </w:tc>
        <w:tc>
          <w:tcPr>
            <w:tcW w:w="2888" w:type="dxa"/>
            <w:tcBorders>
              <w:top w:val="single" w:color="auto" w:sz="4" w:space="0"/>
              <w:left w:val="single" w:color="auto" w:sz="4" w:space="0"/>
              <w:bottom w:val="nil"/>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开标补救措施</w:t>
            </w:r>
          </w:p>
        </w:tc>
        <w:tc>
          <w:tcPr>
            <w:tcW w:w="5238" w:type="dxa"/>
            <w:tcBorders>
              <w:top w:val="single" w:color="auto" w:sz="4" w:space="0"/>
              <w:left w:val="single" w:color="auto" w:sz="4" w:space="0"/>
              <w:bottom w:val="nil"/>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hint="default" w:ascii="Times New Roman" w:hAnsi="Times New Roman" w:cs="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6.1.1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评标委员会的组建</w:t>
            </w:r>
            <w:r>
              <w:rPr>
                <w:rStyle w:val="37"/>
                <w:rFonts w:ascii="Times New Roman" w:hAnsi="Times New Roman"/>
                <w:color w:val="auto"/>
                <w:sz w:val="24"/>
                <w:szCs w:val="24"/>
                <w:highlight w:val="none"/>
              </w:rPr>
              <w:footnoteReference w:id="5"/>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ascii="Times New Roman" w:hAnsi="Times New Roman"/>
                <w:color w:val="auto"/>
                <w:sz w:val="24"/>
                <w:szCs w:val="24"/>
                <w:highlight w:val="none"/>
              </w:rPr>
              <w:t>评标委员会构成：</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人</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其中招标人代表</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人，专家</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人；</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hint="default" w:ascii="Times New Roman" w:hAnsi="Times New Roman" w:eastAsia="宋体"/>
                <w:color w:val="auto"/>
                <w:sz w:val="24"/>
                <w:szCs w:val="24"/>
                <w:highlight w:val="none"/>
                <w:lang w:val="en-US" w:eastAsia="zh-CN"/>
              </w:rPr>
            </w:pPr>
            <w:r>
              <w:rPr>
                <w:rFonts w:ascii="Times New Roman" w:hAnsi="Times New Roman"/>
                <w:color w:val="auto"/>
                <w:sz w:val="24"/>
                <w:szCs w:val="24"/>
                <w:highlight w:val="none"/>
              </w:rPr>
              <w:t>评标专家确定方式：</w:t>
            </w:r>
            <w:r>
              <w:rPr>
                <w:rFonts w:hint="default" w:ascii="Times New Roman" w:hAnsi="Times New Roman"/>
                <w:color w:val="auto"/>
                <w:sz w:val="24"/>
                <w:szCs w:val="24"/>
                <w:highlight w:val="none"/>
                <w:u w:val="single"/>
                <w:lang w:val="en-US"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6.3.2</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评标委员会推荐中标候选人的人数</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7.1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0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中标候选人公示媒介及期限</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公示媒介：</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公示期限：</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日</w:t>
            </w:r>
          </w:p>
          <w:p>
            <w:pPr>
              <w:keepNext w:val="0"/>
              <w:keepLines w:val="0"/>
              <w:pageBreakBefore w:val="0"/>
              <w:widowControl w:val="0"/>
              <w:kinsoku/>
              <w:wordWrap w:val="0"/>
              <w:overflowPunct/>
              <w:topLinePunct w:val="0"/>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公示的其他内容：</w:t>
            </w:r>
          </w:p>
          <w:p>
            <w:pPr>
              <w:keepNext w:val="0"/>
              <w:keepLines w:val="0"/>
              <w:pageBreakBefore w:val="0"/>
              <w:widowControl w:val="0"/>
              <w:kinsoku/>
              <w:wordWrap w:val="0"/>
              <w:overflowPunct/>
              <w:topLinePunct w:val="0"/>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u w:val="single"/>
              </w:rPr>
              <w:t>详细评审的评标委员会成员打分</w:t>
            </w:r>
          </w:p>
          <w:p>
            <w:pPr>
              <w:keepNext w:val="0"/>
              <w:keepLines w:val="0"/>
              <w:pageBreakBefore w:val="0"/>
              <w:widowControl w:val="0"/>
              <w:kinsoku/>
              <w:wordWrap w:val="0"/>
              <w:overflowPunct/>
              <w:topLinePunct w:val="0"/>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u w:val="single"/>
              </w:rPr>
              <w:t>受理异议和投诉的联系方式</w:t>
            </w:r>
          </w:p>
          <w:p>
            <w:pPr>
              <w:pStyle w:val="10"/>
              <w:keepNext w:val="0"/>
              <w:keepLines w:val="0"/>
              <w:pageBreakBefore w:val="0"/>
              <w:widowControl w:val="0"/>
              <w:kinsoku/>
              <w:overflowPunct/>
              <w:topLinePunct w:val="0"/>
              <w:autoSpaceDE/>
              <w:autoSpaceDN/>
              <w:bidi w:val="0"/>
              <w:adjustRightInd/>
              <w:snapToGrid/>
              <w:spacing w:after="0" w:line="360" w:lineRule="atLeast"/>
              <w:ind w:left="0" w:firstLine="0" w:firstLineChars="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u w:val="none"/>
              </w:rPr>
              <w:t>如发现投标人存在弄虚作假行为，招标人将取消其中标候选人资格，并上报省级交通主管部门。</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eastAsia="宋体"/>
                <w:color w:val="auto"/>
                <w:sz w:val="24"/>
                <w:szCs w:val="24"/>
                <w:highlight w:val="none"/>
                <w:lang w:val="en-US" w:eastAsia="zh-CN"/>
              </w:rPr>
            </w:pPr>
            <w:r>
              <w:rPr>
                <w:rFonts w:ascii="Times New Roman" w:hAnsi="Times New Roman"/>
                <w:color w:val="auto"/>
                <w:sz w:val="24"/>
                <w:szCs w:val="24"/>
                <w:highlight w:val="none"/>
              </w:rPr>
              <w:t>7.</w:t>
            </w:r>
            <w:r>
              <w:rPr>
                <w:rFonts w:hint="default" w:ascii="Times New Roman" w:hAnsi="Times New Roman"/>
                <w:color w:val="auto"/>
                <w:sz w:val="24"/>
                <w:szCs w:val="24"/>
                <w:highlight w:val="none"/>
                <w:lang w:val="en-US" w:eastAsia="zh-CN"/>
              </w:rPr>
              <w:t>4.1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是否授权评标委员会确定中标人</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是</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ascii="Times New Roman" w:hAnsi="Times New Roman"/>
                <w:color w:val="auto"/>
                <w:sz w:val="24"/>
                <w:szCs w:val="24"/>
                <w:highlight w:val="none"/>
              </w:rPr>
              <w:t>否</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eastAsia="宋体"/>
                <w:color w:val="auto"/>
                <w:sz w:val="24"/>
                <w:szCs w:val="24"/>
                <w:highlight w:val="none"/>
                <w:lang w:val="en-US" w:eastAsia="zh-CN"/>
              </w:rPr>
            </w:pPr>
            <w:r>
              <w:rPr>
                <w:rFonts w:hint="default" w:ascii="Times New Roman" w:hAnsi="Times New Roman"/>
                <w:color w:val="auto"/>
                <w:sz w:val="24"/>
                <w:szCs w:val="24"/>
                <w:highlight w:val="none"/>
                <w:lang w:val="en-US" w:eastAsia="zh-CN"/>
              </w:rPr>
              <w:t>7.4.2</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val="en-US" w:eastAsia="zh-CN"/>
              </w:rPr>
              <w:t>定标规则</w:t>
            </w:r>
            <w:r>
              <w:rPr>
                <w:rStyle w:val="37"/>
                <w:rFonts w:hint="default" w:ascii="Times New Roman" w:hAnsi="Times New Roman" w:cs="Times New Roman"/>
                <w:color w:val="auto"/>
                <w:sz w:val="24"/>
                <w:szCs w:val="24"/>
                <w:highlight w:val="none"/>
                <w:lang w:val="en-US" w:eastAsia="zh-CN"/>
              </w:rPr>
              <w:footnoteReference w:id="6"/>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hint="default" w:ascii="Times New Roman" w:hAnsi="Times New Roman" w:cs="Times New Roman"/>
                <w:color w:val="auto"/>
                <w:sz w:val="24"/>
                <w:szCs w:val="24"/>
                <w:highlight w:val="none"/>
                <w:lang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eastAsia="宋体"/>
                <w:color w:val="auto"/>
                <w:sz w:val="24"/>
                <w:szCs w:val="24"/>
                <w:highlight w:val="none"/>
                <w:lang w:val="en-US" w:eastAsia="zh-CN"/>
              </w:rPr>
            </w:pPr>
            <w:r>
              <w:rPr>
                <w:rFonts w:hint="default" w:ascii="Times New Roman" w:hAnsi="Times New Roman"/>
                <w:color w:val="auto"/>
                <w:sz w:val="24"/>
                <w:szCs w:val="24"/>
                <w:highlight w:val="none"/>
                <w:lang w:val="en-US" w:eastAsia="zh-CN"/>
              </w:rPr>
              <w:t>7.5</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中标通知书和中标结果通知发出的形式</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书面形式</w:t>
            </w:r>
          </w:p>
          <w:p>
            <w:pPr>
              <w:keepNext w:val="0"/>
              <w:keepLines w:val="0"/>
              <w:pageBreakBefore w:val="0"/>
              <w:widowControl w:val="0"/>
              <w:kinsoku/>
              <w:overflowPunct/>
              <w:autoSpaceDE/>
              <w:autoSpaceDN/>
              <w:bidi w:val="0"/>
              <w:adjustRightInd/>
              <w:snapToGrid/>
              <w:spacing w:line="440" w:lineRule="exact"/>
              <w:ind w:left="0" w:firstLine="0" w:firstLineChars="0"/>
              <w:textAlignment w:val="auto"/>
              <w:rPr>
                <w:rFonts w:hint="default" w:ascii="Times New Roman" w:hAnsi="Times New Roman"/>
                <w:color w:val="auto"/>
                <w:sz w:val="24"/>
                <w:szCs w:val="24"/>
                <w:highlight w:val="none"/>
                <w:lang w:val="en-US"/>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电子形式：</w:t>
            </w:r>
            <w:r>
              <w:rPr>
                <w:rFonts w:hint="default" w:ascii="Times New Roman" w:hAnsi="Times New Roman" w:cs="Times New Roman"/>
                <w:color w:val="auto"/>
                <w:sz w:val="24"/>
                <w:szCs w:val="24"/>
                <w:highlight w:val="none"/>
                <w:u w:val="single"/>
                <w:lang w:val="en-US"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color w:val="auto"/>
                <w:sz w:val="24"/>
                <w:szCs w:val="24"/>
                <w:highlight w:val="none"/>
                <w:lang w:val="en-US" w:eastAsia="zh-CN"/>
              </w:rPr>
            </w:pPr>
            <w:r>
              <w:rPr>
                <w:rFonts w:hint="default" w:ascii="Times New Roman" w:hAnsi="Times New Roman"/>
                <w:color w:val="auto"/>
                <w:sz w:val="24"/>
                <w:szCs w:val="24"/>
                <w:highlight w:val="none"/>
                <w:lang w:val="en-US" w:eastAsia="zh-CN"/>
              </w:rPr>
              <w:t>7.6</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360" w:lineRule="atLeast"/>
              <w:ind w:left="0" w:firstLine="0" w:firstLineChars="0"/>
              <w:jc w:val="center"/>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中标结果公告媒介及期限</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公告媒介：</w:t>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公告期限：</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rPr>
              <w:t>日</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7.</w:t>
            </w:r>
            <w:r>
              <w:rPr>
                <w:rFonts w:hint="default" w:ascii="Times New Roman" w:hAnsi="Times New Roman"/>
                <w:color w:val="auto"/>
                <w:sz w:val="24"/>
                <w:szCs w:val="24"/>
                <w:highlight w:val="none"/>
                <w:lang w:val="en-US" w:eastAsia="zh-CN"/>
              </w:rPr>
              <w:t>7</w:t>
            </w:r>
            <w:r>
              <w:rPr>
                <w:rFonts w:ascii="Times New Roman" w:hAnsi="Times New Roman"/>
                <w:color w:val="auto"/>
                <w:sz w:val="24"/>
                <w:szCs w:val="24"/>
                <w:highlight w:val="none"/>
              </w:rPr>
              <w:t>.1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履约保证金</w:t>
            </w:r>
          </w:p>
        </w:tc>
        <w:tc>
          <w:tcPr>
            <w:tcW w:w="5238" w:type="dxa"/>
            <w:tcBorders>
              <w:top w:val="single" w:color="auto" w:sz="4" w:space="0"/>
              <w:left w:val="single" w:color="auto" w:sz="4" w:space="0"/>
              <w:bottom w:val="single" w:color="auto" w:sz="4" w:space="0"/>
              <w:right w:val="single" w:color="auto" w:sz="4" w:space="0"/>
            </w:tcBorders>
            <w:vAlign w:val="center"/>
          </w:tcPr>
          <w:p>
            <w:pPr>
              <w:pStyle w:val="9"/>
              <w:keepNext w:val="0"/>
              <w:keepLines w:val="0"/>
              <w:pageBreakBefore w:val="0"/>
              <w:widowControl w:val="0"/>
              <w:kinsoku/>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是否要求中标人提交履约保证金：</w:t>
            </w:r>
          </w:p>
          <w:p>
            <w:pPr>
              <w:pStyle w:val="9"/>
              <w:keepNext w:val="0"/>
              <w:keepLines w:val="0"/>
              <w:pageBreakBefore w:val="0"/>
              <w:widowControl w:val="0"/>
              <w:kinsoku/>
              <w:wordWrap w:val="0"/>
              <w:overflowPunct/>
              <w:topLine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要求，履约保证金的形式：</w:t>
            </w:r>
            <w:r>
              <w:rPr>
                <w:rFonts w:hint="default" w:ascii="Times New Roman" w:hAnsi="Times New Roman" w:cs="Times New Roman"/>
                <w:color w:val="auto"/>
                <w:sz w:val="24"/>
                <w:szCs w:val="24"/>
                <w:highlight w:val="none"/>
                <w:u w:val="single"/>
                <w:lang w:val="en-US" w:eastAsia="zh-CN"/>
              </w:rPr>
              <w:t xml:space="preserve">    </w:t>
            </w:r>
            <w:r>
              <w:rPr>
                <w:rStyle w:val="37"/>
                <w:rFonts w:hint="default" w:ascii="Times New Roman" w:hAnsi="Times New Roman" w:cs="Times New Roman"/>
                <w:color w:val="auto"/>
                <w:sz w:val="24"/>
                <w:szCs w:val="24"/>
                <w:highlight w:val="none"/>
              </w:rPr>
              <w:footnoteReference w:id="7"/>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履约保证金的金额：</w:t>
            </w:r>
            <w:r>
              <w:rPr>
                <w:rFonts w:hint="default" w:ascii="Times New Roman" w:hAnsi="Times New Roman" w:cs="Times New Roman"/>
                <w:color w:val="auto"/>
                <w:sz w:val="24"/>
                <w:szCs w:val="24"/>
                <w:highlight w:val="none"/>
                <w:u w:val="single"/>
              </w:rPr>
              <w:t xml:space="preserve">  </w:t>
            </w:r>
            <w:r>
              <w:rPr>
                <w:rFonts w:hint="default" w:ascii="Times New Roman" w:hAnsi="Times New Roman" w:cs="Times New Roman"/>
                <w:color w:val="auto"/>
                <w:sz w:val="24"/>
                <w:szCs w:val="24"/>
                <w:highlight w:val="none"/>
                <w:u w:val="single"/>
                <w:lang w:val="en-US" w:eastAsia="zh-CN"/>
              </w:rPr>
              <w:t xml:space="preserve">      </w:t>
            </w:r>
            <w:r>
              <w:rPr>
                <w:rStyle w:val="37"/>
                <w:rFonts w:hint="default" w:ascii="Times New Roman" w:hAnsi="Times New Roman" w:cs="Times New Roman"/>
                <w:color w:val="auto"/>
                <w:sz w:val="24"/>
                <w:szCs w:val="24"/>
                <w:highlight w:val="none"/>
                <w:u w:val="single"/>
                <w:lang w:val="en-US" w:eastAsia="zh-CN"/>
              </w:rPr>
              <w:footnoteReference w:id="8"/>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pacing w:val="-8"/>
                <w:sz w:val="24"/>
                <w:szCs w:val="24"/>
                <w:highlight w:val="none"/>
              </w:rPr>
              <w:t>采用银行保函时，出具保函的银行级别</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u w:val="none"/>
              </w:rPr>
              <w:t>采用电子保函：</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不要求</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eastAsia="宋体"/>
                <w:color w:val="auto"/>
                <w:sz w:val="24"/>
                <w:szCs w:val="24"/>
                <w:highlight w:val="none"/>
                <w:lang w:val="en-US" w:eastAsia="zh-CN"/>
              </w:rPr>
            </w:pPr>
            <w:r>
              <w:rPr>
                <w:rFonts w:hint="default" w:ascii="Times New Roman" w:hAnsi="Times New Roman"/>
                <w:color w:val="auto"/>
                <w:sz w:val="24"/>
                <w:szCs w:val="24"/>
                <w:highlight w:val="none"/>
                <w:lang w:val="en-US" w:eastAsia="zh-CN"/>
              </w:rPr>
              <w:t>8.5.1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360" w:lineRule="atLeast"/>
              <w:ind w:left="0" w:firstLine="0" w:firstLineChars="0"/>
              <w:jc w:val="center"/>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rPr>
              <w:t>监督部门</w:t>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监督部门：</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地    址：</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电    话：</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传    真：</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wordWrap w:val="0"/>
              <w:overflowPunct/>
              <w:autoSpaceDE/>
              <w:autoSpaceDN/>
              <w:bidi w:val="0"/>
              <w:adjustRightInd/>
              <w:snapToGrid/>
              <w:spacing w:line="360" w:lineRule="atLeast"/>
              <w:ind w:left="0" w:firstLine="0" w:firstLineChars="0"/>
              <w:textAlignment w:val="auto"/>
              <w:rPr>
                <w:rFonts w:hint="default" w:ascii="Times New Roman" w:hAnsi="Times New Roman" w:cs="Times New Roman"/>
                <w:color w:val="auto"/>
                <w:sz w:val="24"/>
                <w:szCs w:val="24"/>
                <w:highlight w:val="none"/>
                <w:u w:val="single"/>
              </w:rPr>
            </w:pPr>
            <w:r>
              <w:rPr>
                <w:rFonts w:hint="default" w:ascii="Times New Roman" w:hAnsi="Times New Roman" w:cs="Times New Roman"/>
                <w:color w:val="auto"/>
                <w:sz w:val="24"/>
                <w:szCs w:val="24"/>
                <w:highlight w:val="none"/>
              </w:rPr>
              <w:t>邮政编码：</w:t>
            </w:r>
            <w:r>
              <w:rPr>
                <w:rFonts w:hint="default" w:ascii="Times New Roman" w:hAnsi="Times New Roman" w:cs="Times New Roman"/>
                <w:color w:val="auto"/>
                <w:sz w:val="24"/>
                <w:szCs w:val="24"/>
                <w:highlight w:val="none"/>
                <w:u w:val="single"/>
              </w:rPr>
              <w:t xml:space="preserve">            </w:t>
            </w:r>
          </w:p>
          <w:p>
            <w:pPr>
              <w:keepNext w:val="0"/>
              <w:keepLines w:val="0"/>
              <w:pageBreakBefore w:val="0"/>
              <w:widowControl w:val="0"/>
              <w:kinsoku/>
              <w:overflowPunct/>
              <w:autoSpaceDE/>
              <w:autoSpaceDN/>
              <w:bidi w:val="0"/>
              <w:adjustRightInd/>
              <w:snapToGrid/>
              <w:spacing w:line="360" w:lineRule="exact"/>
              <w:ind w:left="0" w:firstLine="0" w:firstLineChars="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补充：</w:t>
            </w:r>
          </w:p>
          <w:p>
            <w:pPr>
              <w:keepNext w:val="0"/>
              <w:keepLines w:val="0"/>
              <w:pageBreakBefore w:val="0"/>
              <w:widowControl w:val="0"/>
              <w:kinsoku/>
              <w:overflowPunct/>
              <w:autoSpaceDE/>
              <w:autoSpaceDN/>
              <w:bidi w:val="0"/>
              <w:adjustRightInd/>
              <w:snapToGrid/>
              <w:spacing w:line="360" w:lineRule="exact"/>
              <w:ind w:left="0" w:firstLine="0" w:firstLineChars="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行政监督部门按照《招标投标法实施条例》《工程建设项目招标投标活动投诉处理办法》（2013年3月国家发展改革委第23号令修改）、《</w:t>
            </w:r>
            <w:r>
              <w:rPr>
                <w:rFonts w:hint="default" w:ascii="Times New Roman" w:hAnsi="Times New Roman" w:eastAsia="宋体" w:cs="Times New Roman"/>
                <w:color w:val="auto"/>
                <w:kern w:val="2"/>
                <w:sz w:val="24"/>
                <w:szCs w:val="24"/>
                <w:highlight w:val="none"/>
                <w:lang w:val="en-US" w:eastAsia="zh-CN" w:bidi="ar-SA"/>
              </w:rPr>
              <w:fldChar w:fldCharType="begin"/>
            </w:r>
            <w:r>
              <w:rPr>
                <w:rFonts w:hint="default" w:ascii="Times New Roman" w:hAnsi="Times New Roman" w:eastAsia="宋体" w:cs="Times New Roman"/>
                <w:color w:val="auto"/>
                <w:kern w:val="2"/>
                <w:sz w:val="24"/>
                <w:szCs w:val="24"/>
                <w:highlight w:val="none"/>
                <w:lang w:val="en-US" w:eastAsia="zh-CN" w:bidi="ar-SA"/>
              </w:rPr>
              <w:instrText xml:space="preserve"> HYPERLINK "https://www.ndrc.gov.cn/xwdt/tzgg/202102/t20210225_1267906.html" </w:instrText>
            </w:r>
            <w:r>
              <w:rPr>
                <w:rFonts w:hint="default" w:ascii="Times New Roman" w:hAnsi="Times New Roman" w:eastAsia="宋体" w:cs="Times New Roman"/>
                <w:color w:val="auto"/>
                <w:kern w:val="2"/>
                <w:sz w:val="24"/>
                <w:szCs w:val="24"/>
                <w:highlight w:val="none"/>
                <w:lang w:val="en-US" w:eastAsia="zh-CN" w:bidi="ar-SA"/>
              </w:rPr>
              <w:fldChar w:fldCharType="separate"/>
            </w:r>
            <w:r>
              <w:rPr>
                <w:rFonts w:hint="default" w:ascii="Times New Roman" w:hAnsi="Times New Roman" w:eastAsia="宋体" w:cs="Times New Roman"/>
                <w:color w:val="auto"/>
                <w:kern w:val="2"/>
                <w:sz w:val="24"/>
                <w:szCs w:val="24"/>
                <w:highlight w:val="none"/>
                <w:u w:val="none"/>
                <w:lang w:val="en-US" w:eastAsia="zh-CN" w:bidi="ar-SA"/>
              </w:rPr>
              <w:t>关于建立健全招标投标领域优化营商环境长效机制的通知</w:t>
            </w:r>
            <w:r>
              <w:rPr>
                <w:rFonts w:hint="default" w:ascii="Times New Roman" w:hAnsi="Times New Roman" w:eastAsia="宋体" w:cs="Times New Roman"/>
                <w:color w:val="auto"/>
                <w:kern w:val="2"/>
                <w:sz w:val="24"/>
                <w:szCs w:val="24"/>
                <w:highlight w:val="none"/>
                <w:u w:val="none"/>
                <w:lang w:val="en-US" w:eastAsia="zh-CN" w:bidi="ar-SA"/>
              </w:rPr>
              <w:fldChar w:fldCharType="end"/>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bCs/>
                <w:color w:val="auto"/>
                <w:kern w:val="2"/>
                <w:sz w:val="24"/>
                <w:szCs w:val="24"/>
                <w:highlight w:val="none"/>
                <w:lang w:val="en-US" w:eastAsia="zh-CN" w:bidi="ar-SA"/>
              </w:rPr>
              <w:t>发改法规〔2021〕240号）、交通运输部</w:t>
            </w:r>
            <w:r>
              <w:rPr>
                <w:rFonts w:hint="default" w:ascii="Times New Roman" w:hAnsi="Times New Roman" w:eastAsia="宋体" w:cs="Times New Roman"/>
                <w:color w:val="auto"/>
                <w:kern w:val="2"/>
                <w:sz w:val="24"/>
                <w:szCs w:val="24"/>
                <w:highlight w:val="none"/>
                <w:lang w:val="en-US" w:eastAsia="zh-CN" w:bidi="ar-SA"/>
              </w:rPr>
              <w:t>《公路工程建设项目招标投标管理办法》等相关规定，接受针对公示内容的投诉。投诉材料要求、投诉受理条件及查处按照上述规定执行。</w:t>
            </w:r>
          </w:p>
          <w:p>
            <w:pPr>
              <w:spacing w:line="360" w:lineRule="exact"/>
              <w:ind w:left="0" w:firstLine="0" w:firstLine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（1）如果投标人或其他利害关系人就招标文件、开标及评标结果等事项投诉的，应当按法律、法规有关异议的规定先向招标人提出异议，对招标人的答复不满意或招标人未答复的，可向有关行政监督部门投诉。</w:t>
            </w:r>
          </w:p>
          <w:p>
            <w:pPr>
              <w:spacing w:line="360" w:lineRule="exact"/>
              <w:ind w:left="0" w:firstLine="0" w:firstLine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对于按法律法规规定需要先提出异议的投诉，行政监督部门在受理投诉时另要求投诉人递交提出异议的证明文件，已向其他有关行政监督部门投诉的，应当一并说明。未按规定提出异议或者未提交已提出异议的证明文件的投诉，不予受理。</w:t>
            </w:r>
          </w:p>
          <w:p>
            <w:pPr>
              <w:spacing w:line="360" w:lineRule="exact"/>
              <w:ind w:left="0" w:firstLine="0" w:firstLineChars="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投诉人缺乏事实根据或者法律依据进行投诉的，或者有证据表明投诉人捏造事实、伪造材料的，或者投诉人以非法手段取得证明材料进行投诉的，交通运输主管部门应当予以驳回，并对恶意投诉按照有关规定追究投诉人责任。</w:t>
            </w:r>
          </w:p>
          <w:p>
            <w:pPr>
              <w:pageBreakBefore w:val="0"/>
              <w:kinsoku/>
              <w:wordWrap w:val="0"/>
              <w:overflowPunct/>
              <w:bidi w:val="0"/>
              <w:spacing w:line="360" w:lineRule="atLeast"/>
              <w:ind w:left="0" w:leftChars="0" w:firstLine="0" w:firstLineChars="0"/>
              <w:rPr>
                <w:rFonts w:hint="default" w:ascii="Times New Roman" w:hAnsi="Times New Roman" w:cs="Times New Roman"/>
                <w:color w:val="auto"/>
                <w:sz w:val="24"/>
                <w:szCs w:val="24"/>
                <w:highlight w:val="none"/>
              </w:rPr>
            </w:pPr>
            <w:r>
              <w:rPr>
                <w:rFonts w:hint="default" w:ascii="Times New Roman" w:hAnsi="Times New Roman" w:eastAsia="宋体" w:cs="Times New Roman"/>
                <w:color w:val="auto"/>
                <w:sz w:val="24"/>
                <w:szCs w:val="24"/>
                <w:highlight w:val="none"/>
              </w:rPr>
              <w:t>（4）行政监督部门对投诉事项作出的处理决定，在对该项目具有招标监督职责的部门网站上进行公告，包括投诉的事由、调查结果、处理决定、处罚依据以及处罚意见等内容。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color w:val="auto"/>
                <w:sz w:val="24"/>
                <w:szCs w:val="24"/>
                <w:highlight w:val="none"/>
              </w:rPr>
              <w:t>9</w:t>
            </w:r>
          </w:p>
        </w:tc>
        <w:tc>
          <w:tcPr>
            <w:tcW w:w="8126"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ascii="Times New Roman" w:hAnsi="Times New Roman"/>
                <w:color w:val="auto"/>
                <w:sz w:val="24"/>
                <w:szCs w:val="24"/>
                <w:highlight w:val="none"/>
              </w:rPr>
            </w:pPr>
            <w:r>
              <w:rPr>
                <w:rFonts w:ascii="Times New Roman" w:hAnsi="Times New Roman"/>
                <w:b/>
                <w:bCs/>
                <w:color w:val="auto"/>
                <w:sz w:val="24"/>
                <w:szCs w:val="24"/>
                <w:highlight w:val="none"/>
              </w:rPr>
              <w:t>需要补充的其他内容</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80" w:hRule="atLeast"/>
        </w:trPr>
        <w:tc>
          <w:tcPr>
            <w:tcW w:w="115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eastAsia="宋体"/>
                <w:color w:val="auto"/>
                <w:sz w:val="24"/>
                <w:szCs w:val="24"/>
                <w:highlight w:val="none"/>
                <w:lang w:val="en-US" w:eastAsia="zh-CN"/>
              </w:rPr>
            </w:pPr>
            <w:r>
              <w:rPr>
                <w:rFonts w:hint="default" w:ascii="Times New Roman" w:hAnsi="Times New Roman"/>
                <w:color w:val="auto"/>
                <w:sz w:val="24"/>
                <w:szCs w:val="24"/>
                <w:highlight w:val="none"/>
                <w:lang w:val="en-US" w:eastAsia="zh-CN"/>
              </w:rPr>
              <w:t>9.1</w:t>
            </w:r>
          </w:p>
        </w:tc>
        <w:tc>
          <w:tcPr>
            <w:tcW w:w="288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overflowPunct/>
              <w:autoSpaceDE/>
              <w:autoSpaceDN/>
              <w:bidi w:val="0"/>
              <w:adjustRightInd/>
              <w:snapToGrid/>
              <w:spacing w:line="440" w:lineRule="exact"/>
              <w:ind w:left="0" w:firstLine="0" w:firstLineChars="0"/>
              <w:jc w:val="center"/>
              <w:textAlignment w:val="auto"/>
              <w:rPr>
                <w:rFonts w:hint="default" w:ascii="Times New Roman" w:hAnsi="Times New Roman" w:eastAsia="宋体"/>
                <w:color w:val="auto"/>
                <w:sz w:val="24"/>
                <w:szCs w:val="24"/>
                <w:highlight w:val="none"/>
                <w:lang w:val="en-US" w:eastAsia="zh-CN"/>
              </w:rPr>
            </w:pPr>
            <w:r>
              <w:rPr>
                <w:rFonts w:hint="default" w:ascii="Times New Roman" w:hAnsi="Times New Roman"/>
                <w:color w:val="auto"/>
                <w:sz w:val="24"/>
                <w:szCs w:val="24"/>
                <w:highlight w:val="none"/>
                <w:lang w:val="en-US" w:eastAsia="zh-CN"/>
              </w:rPr>
              <w:t>相关服务计划的编制要求</w:t>
            </w:r>
            <w:r>
              <w:rPr>
                <w:rStyle w:val="37"/>
                <w:rFonts w:hint="default" w:ascii="Times New Roman" w:hAnsi="Times New Roman"/>
                <w:color w:val="auto"/>
                <w:sz w:val="24"/>
                <w:szCs w:val="24"/>
                <w:highlight w:val="none"/>
                <w:lang w:val="en-US" w:eastAsia="zh-CN"/>
              </w:rPr>
              <w:footnoteReference w:id="9"/>
            </w:r>
          </w:p>
        </w:tc>
        <w:tc>
          <w:tcPr>
            <w:tcW w:w="52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val="0"/>
              <w:overflowPunct/>
              <w:autoSpaceDE/>
              <w:autoSpaceDN/>
              <w:bidi w:val="0"/>
              <w:adjustRightInd/>
              <w:snapToGrid/>
              <w:spacing w:line="440" w:lineRule="exact"/>
              <w:ind w:left="0"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投标文件</w:t>
            </w:r>
            <w:r>
              <w:rPr>
                <w:rFonts w:hint="eastAsia" w:ascii="宋体" w:hAnsi="宋体" w:eastAsia="宋体" w:cs="宋体"/>
                <w:color w:val="auto"/>
                <w:sz w:val="24"/>
                <w:szCs w:val="24"/>
                <w:highlight w:val="none"/>
              </w:rPr>
              <w:t>“</w:t>
            </w:r>
            <w:r>
              <w:rPr>
                <w:rFonts w:hint="default" w:ascii="Times New Roman" w:hAnsi="Times New Roman" w:eastAsia="宋体" w:cs="Times New Roman"/>
                <w:color w:val="auto"/>
                <w:sz w:val="24"/>
                <w:szCs w:val="24"/>
                <w:highlight w:val="none"/>
              </w:rPr>
              <w:t>技术服务和质保期服务计划/</w:t>
            </w:r>
            <w:r>
              <w:rPr>
                <w:rFonts w:hint="default" w:ascii="Times New Roman" w:hAnsi="Times New Roman" w:cs="Times New Roman"/>
                <w:color w:val="auto"/>
                <w:sz w:val="24"/>
                <w:szCs w:val="24"/>
                <w:highlight w:val="none"/>
                <w:lang w:val="en-US" w:eastAsia="zh-CN"/>
              </w:rPr>
              <w:t>相关服务计划</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编制要求：</w:t>
            </w:r>
          </w:p>
          <w:p>
            <w:pPr>
              <w:keepNext w:val="0"/>
              <w:keepLines w:val="0"/>
              <w:pageBreakBefore w:val="0"/>
              <w:widowControl w:val="0"/>
              <w:kinsoku/>
              <w:wordWrap w:val="0"/>
              <w:overflowPunct/>
              <w:autoSpaceDE/>
              <w:autoSpaceDN/>
              <w:bidi w:val="0"/>
              <w:adjustRightInd/>
              <w:snapToGrid/>
              <w:spacing w:line="440" w:lineRule="exact"/>
              <w:ind w:left="0"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采用暗标形式，必须按下列格式编制，否则视为未对招标文件作出实质性响应，按否决投标处理。</w:t>
            </w:r>
          </w:p>
          <w:p>
            <w:pPr>
              <w:keepNext w:val="0"/>
              <w:keepLines w:val="0"/>
              <w:pageBreakBefore w:val="0"/>
              <w:widowControl w:val="0"/>
              <w:kinsoku/>
              <w:wordWrap w:val="0"/>
              <w:overflowPunct/>
              <w:autoSpaceDE/>
              <w:autoSpaceDN/>
              <w:bidi w:val="0"/>
              <w:adjustRightInd/>
              <w:snapToGrid/>
              <w:spacing w:line="440" w:lineRule="exact"/>
              <w:ind w:left="0"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（1）采用</w:t>
            </w:r>
            <w:r>
              <w:rPr>
                <w:rFonts w:hint="default" w:ascii="Times New Roman" w:hAnsi="Times New Roman" w:cs="Times New Roman"/>
                <w:color w:val="auto"/>
                <w:sz w:val="24"/>
                <w:szCs w:val="24"/>
                <w:highlight w:val="none"/>
                <w:u w:val="single"/>
              </w:rPr>
              <w:t xml:space="preserve"> A4 </w:t>
            </w:r>
            <w:r>
              <w:rPr>
                <w:rFonts w:hint="default" w:ascii="Times New Roman" w:hAnsi="Times New Roman" w:cs="Times New Roman"/>
                <w:color w:val="auto"/>
                <w:sz w:val="24"/>
                <w:szCs w:val="24"/>
                <w:highlight w:val="none"/>
              </w:rPr>
              <w:t>纸张。页边距：</w:t>
            </w:r>
            <w:r>
              <w:rPr>
                <w:rFonts w:hint="default" w:ascii="Times New Roman" w:hAnsi="Times New Roman" w:cs="Times New Roman"/>
                <w:color w:val="auto"/>
                <w:sz w:val="24"/>
                <w:szCs w:val="24"/>
                <w:highlight w:val="none"/>
                <w:u w:val="single"/>
              </w:rPr>
              <w:t xml:space="preserve"> 左边距为3.17厘米、右边及上下边距为2.54厘米</w:t>
            </w:r>
            <w:r>
              <w:rPr>
                <w:rFonts w:hint="default" w:ascii="Times New Roman" w:hAnsi="Times New Roman" w:cs="Times New Roman"/>
                <w:color w:val="auto"/>
                <w:sz w:val="24"/>
                <w:szCs w:val="24"/>
                <w:highlight w:val="none"/>
              </w:rPr>
              <w:t>。</w:t>
            </w:r>
          </w:p>
          <w:p>
            <w:pPr>
              <w:keepNext w:val="0"/>
              <w:keepLines w:val="0"/>
              <w:pageBreakBefore w:val="0"/>
              <w:widowControl w:val="0"/>
              <w:kinsoku/>
              <w:wordWrap w:val="0"/>
              <w:overflowPunct/>
              <w:autoSpaceDE/>
              <w:autoSpaceDN/>
              <w:bidi w:val="0"/>
              <w:adjustRightInd/>
              <w:snapToGrid/>
              <w:spacing w:line="440" w:lineRule="exact"/>
              <w:ind w:left="0" w:firstLine="0" w:firstLineChars="0"/>
              <w:jc w:val="left"/>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（2）除图纸、图表外所用文字采用</w:t>
            </w:r>
            <w:r>
              <w:rPr>
                <w:rFonts w:hint="default" w:ascii="Times New Roman" w:hAnsi="Times New Roman" w:cs="Times New Roman"/>
                <w:color w:val="auto"/>
                <w:sz w:val="24"/>
                <w:szCs w:val="24"/>
                <w:highlight w:val="none"/>
                <w:u w:val="single"/>
              </w:rPr>
              <w:t xml:space="preserve"> 黑色宋体四号（含标题及目录） </w:t>
            </w:r>
            <w:r>
              <w:rPr>
                <w:rFonts w:hint="default" w:ascii="Times New Roman" w:hAnsi="Times New Roman" w:cs="Times New Roman"/>
                <w:color w:val="auto"/>
                <w:sz w:val="24"/>
                <w:szCs w:val="24"/>
                <w:highlight w:val="none"/>
              </w:rPr>
              <w:t>，图纸、图表中所有文字采用</w:t>
            </w:r>
            <w:r>
              <w:rPr>
                <w:rFonts w:hint="default" w:ascii="Times New Roman" w:hAnsi="Times New Roman" w:cs="Times New Roman"/>
                <w:color w:val="auto"/>
                <w:sz w:val="24"/>
                <w:szCs w:val="24"/>
                <w:highlight w:val="none"/>
                <w:u w:val="single"/>
              </w:rPr>
              <w:t xml:space="preserve"> 黑色宋体五号 </w:t>
            </w:r>
            <w:r>
              <w:rPr>
                <w:rFonts w:hint="default" w:ascii="Times New Roman" w:hAnsi="Times New Roman" w:cs="Times New Roman"/>
                <w:color w:val="auto"/>
                <w:sz w:val="24"/>
                <w:szCs w:val="24"/>
                <w:highlight w:val="none"/>
              </w:rPr>
              <w:t>；不得有任何加粗、斜体、下划线、边框、底纹、阴影等标记。不得设置页码、页眉、页脚；段落设置：</w:t>
            </w:r>
            <w:r>
              <w:rPr>
                <w:rFonts w:hint="default" w:ascii="Times New Roman" w:hAnsi="Times New Roman" w:cs="Times New Roman"/>
                <w:color w:val="auto"/>
                <w:sz w:val="24"/>
                <w:szCs w:val="24"/>
                <w:highlight w:val="none"/>
                <w:u w:val="single"/>
              </w:rPr>
              <w:t xml:space="preserve"> 行距为固定值18磅 </w:t>
            </w:r>
            <w:r>
              <w:rPr>
                <w:rFonts w:hint="default" w:ascii="Times New Roman" w:hAnsi="Times New Roman" w:cs="Times New Roman"/>
                <w:color w:val="auto"/>
                <w:sz w:val="24"/>
                <w:szCs w:val="24"/>
                <w:highlight w:val="none"/>
              </w:rPr>
              <w:t>，段落设置中</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如果定义了文档网格，则自动调整右缩进</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不打勾，</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如果定义了文档网格，则对齐到网格</w:t>
            </w:r>
            <w:r>
              <w:rPr>
                <w:rFonts w:hint="eastAsia" w:ascii="宋体" w:hAnsi="宋体" w:eastAsia="宋体" w:cs="宋体"/>
                <w:color w:val="auto"/>
                <w:sz w:val="24"/>
                <w:szCs w:val="24"/>
                <w:highlight w:val="none"/>
              </w:rPr>
              <w:t>”</w:t>
            </w:r>
            <w:r>
              <w:rPr>
                <w:rFonts w:hint="default" w:ascii="Times New Roman" w:hAnsi="Times New Roman" w:cs="Times New Roman"/>
                <w:color w:val="auto"/>
                <w:sz w:val="24"/>
                <w:szCs w:val="24"/>
                <w:highlight w:val="none"/>
              </w:rPr>
              <w:t>要打勾。</w:t>
            </w:r>
          </w:p>
          <w:p>
            <w:pPr>
              <w:keepNext w:val="0"/>
              <w:keepLines w:val="0"/>
              <w:pageBreakBefore w:val="0"/>
              <w:widowControl w:val="0"/>
              <w:kinsoku/>
              <w:wordWrap w:val="0"/>
              <w:overflowPunct/>
              <w:autoSpaceDE/>
              <w:autoSpaceDN/>
              <w:bidi w:val="0"/>
              <w:adjustRightInd/>
              <w:snapToGrid/>
              <w:spacing w:line="440" w:lineRule="exact"/>
              <w:ind w:left="0" w:firstLine="0" w:firstLineChars="0"/>
              <w:jc w:val="both"/>
              <w:textAlignment w:val="auto"/>
              <w:rPr>
                <w:rFonts w:hint="default" w:ascii="Times New Roman" w:hAnsi="Times New Roman" w:cs="Times New Roman"/>
                <w:color w:val="auto"/>
                <w:sz w:val="24"/>
                <w:szCs w:val="24"/>
                <w:highlight w:val="none"/>
                <w:lang w:eastAsia="zh-CN"/>
              </w:rPr>
            </w:pPr>
            <w:r>
              <w:rPr>
                <w:rFonts w:hint="default" w:ascii="Times New Roman" w:hAnsi="Times New Roman" w:cs="Times New Roman"/>
                <w:color w:val="auto"/>
                <w:sz w:val="24"/>
                <w:szCs w:val="24"/>
                <w:highlight w:val="none"/>
              </w:rPr>
              <w:t>（3）内容、文字均不得出现彩色文字与彩色图形，不得出现投标单位名称、相关人员姓名等能体现有关投标单位信息的提示性标记、文字、语句等，不得出现</w:t>
            </w:r>
            <w:r>
              <w:rPr>
                <w:rFonts w:hint="default" w:ascii="Times New Roman" w:hAnsi="Times New Roman" w:cs="Times New Roman"/>
                <w:color w:val="auto"/>
                <w:sz w:val="24"/>
                <w:szCs w:val="24"/>
                <w:highlight w:val="none"/>
                <w:lang w:val="en-US" w:eastAsia="zh-CN"/>
              </w:rPr>
              <w:t>投标人</w:t>
            </w:r>
            <w:r>
              <w:rPr>
                <w:rFonts w:hint="default" w:ascii="Times New Roman" w:hAnsi="Times New Roman" w:cs="Times New Roman"/>
                <w:color w:val="auto"/>
                <w:sz w:val="24"/>
                <w:szCs w:val="24"/>
                <w:highlight w:val="none"/>
              </w:rPr>
              <w:t>或人员电子签章，不得出现其他不符合暗标要求的内容</w:t>
            </w:r>
            <w:r>
              <w:rPr>
                <w:rFonts w:hint="default" w:ascii="Times New Roman" w:hAnsi="Times New Roman" w:cs="Times New Roman"/>
                <w:color w:val="auto"/>
                <w:sz w:val="24"/>
                <w:szCs w:val="24"/>
                <w:highlight w:val="none"/>
                <w:lang w:eastAsia="zh-CN"/>
              </w:rPr>
              <w:t>。</w:t>
            </w:r>
          </w:p>
          <w:p>
            <w:pPr>
              <w:keepNext w:val="0"/>
              <w:keepLines w:val="0"/>
              <w:pageBreakBefore w:val="0"/>
              <w:widowControl w:val="0"/>
              <w:kinsoku/>
              <w:wordWrap w:val="0"/>
              <w:overflowPunct/>
              <w:autoSpaceDE/>
              <w:autoSpaceDN/>
              <w:bidi w:val="0"/>
              <w:adjustRightInd/>
              <w:snapToGrid/>
              <w:spacing w:line="440" w:lineRule="exact"/>
              <w:ind w:left="0" w:firstLine="0" w:firstLineChars="0"/>
              <w:jc w:val="left"/>
              <w:textAlignment w:val="auto"/>
              <w:rPr>
                <w:rFonts w:ascii="Times New Roman" w:hAnsi="Times New Roman"/>
                <w:color w:val="auto"/>
                <w:sz w:val="24"/>
                <w:szCs w:val="24"/>
                <w:highlight w:val="none"/>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其他要求：</w:t>
            </w:r>
            <w:r>
              <w:rPr>
                <w:rFonts w:hint="default" w:ascii="Times New Roman" w:hAnsi="Times New Roman" w:cs="Times New Roman"/>
                <w:color w:val="auto"/>
                <w:sz w:val="24"/>
                <w:szCs w:val="24"/>
                <w:highlight w:val="none"/>
                <w:u w:val="single"/>
                <w:lang w:val="en-US" w:eastAsia="zh-CN"/>
              </w:rPr>
              <w:t xml:space="preserve">         </w:t>
            </w:r>
            <w:r>
              <w:rPr>
                <w:rFonts w:hint="default" w:ascii="Times New Roman" w:hAnsi="Times New Roman" w:cs="Times New Roman"/>
                <w:color w:val="auto"/>
                <w:sz w:val="24"/>
                <w:szCs w:val="24"/>
                <w:highlight w:val="none"/>
              </w:rPr>
              <w:t>。</w:t>
            </w:r>
          </w:p>
        </w:tc>
      </w:tr>
    </w:tbl>
    <w:p>
      <w:pPr>
        <w:pageBreakBefore w:val="0"/>
        <w:kinsoku/>
        <w:wordWrap w:val="0"/>
        <w:bidi w:val="0"/>
        <w:spacing w:line="40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pStyle w:val="2"/>
        <w:spacing w:before="240" w:after="240" w:line="240" w:lineRule="atLeast"/>
        <w:jc w:val="center"/>
        <w:rPr>
          <w:rFonts w:hint="default" w:ascii="Times New Roman" w:hAnsi="Times New Roman" w:cs="Times New Roman"/>
          <w:color w:val="auto"/>
          <w:highlight w:val="none"/>
        </w:rPr>
      </w:pPr>
      <w:bookmarkStart w:id="68" w:name="_Toc14236"/>
      <w:bookmarkStart w:id="69" w:name="_Toc234832863"/>
      <w:bookmarkStart w:id="70" w:name="_Toc501257053"/>
      <w:r>
        <w:rPr>
          <w:rFonts w:hint="default" w:ascii="Times New Roman" w:hAnsi="Times New Roman" w:eastAsia="黑体" w:cs="Times New Roman"/>
          <w:b w:val="0"/>
          <w:bCs/>
          <w:color w:val="auto"/>
          <w:sz w:val="28"/>
          <w:szCs w:val="28"/>
          <w:highlight w:val="none"/>
        </w:rPr>
        <w:t>附录1  资格审查条件（资质最低</w:t>
      </w:r>
      <w:r>
        <w:rPr>
          <w:rFonts w:hint="default" w:ascii="Times New Roman" w:hAnsi="Times New Roman" w:eastAsia="黑体" w:cs="Times New Roman"/>
          <w:b w:val="0"/>
          <w:bCs/>
          <w:color w:val="auto"/>
          <w:sz w:val="28"/>
          <w:szCs w:val="28"/>
          <w:highlight w:val="none"/>
          <w:lang w:eastAsia="zh-CN"/>
        </w:rPr>
        <w:t>要求</w:t>
      </w:r>
      <w:r>
        <w:rPr>
          <w:rFonts w:hint="default" w:ascii="Times New Roman" w:hAnsi="Times New Roman" w:eastAsia="黑体" w:cs="Times New Roman"/>
          <w:b w:val="0"/>
          <w:bCs/>
          <w:color w:val="auto"/>
          <w:sz w:val="28"/>
          <w:szCs w:val="28"/>
          <w:highlight w:val="none"/>
        </w:rPr>
        <w:t>）</w:t>
      </w:r>
      <w:r>
        <w:rPr>
          <w:rStyle w:val="37"/>
          <w:rFonts w:hint="default" w:ascii="Times New Roman" w:hAnsi="Times New Roman" w:eastAsia="黑体" w:cs="Times New Roman"/>
          <w:color w:val="auto"/>
          <w:sz w:val="28"/>
          <w:szCs w:val="28"/>
          <w:highlight w:val="none"/>
        </w:rPr>
        <w:footnoteReference w:id="10"/>
      </w:r>
      <w:bookmarkEnd w:id="68"/>
      <w:bookmarkEnd w:id="69"/>
      <w:bookmarkEnd w:id="70"/>
    </w:p>
    <w:tbl>
      <w:tblPr>
        <w:tblStyle w:val="30"/>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1711" w:type="dxa"/>
            <w:vAlign w:val="center"/>
          </w:tcPr>
          <w:p>
            <w:pPr>
              <w:adjustRightInd w:val="0"/>
              <w:snapToGrid w:val="0"/>
              <w:spacing w:line="400" w:lineRule="atLeast"/>
              <w:ind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标段号</w:t>
            </w:r>
          </w:p>
        </w:tc>
        <w:tc>
          <w:tcPr>
            <w:tcW w:w="7108" w:type="dxa"/>
            <w:vAlign w:val="center"/>
          </w:tcPr>
          <w:p>
            <w:pPr>
              <w:adjustRightInd w:val="0"/>
              <w:snapToGrid w:val="0"/>
              <w:spacing w:line="400" w:lineRule="atLeas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资质等级要求</w:t>
            </w:r>
            <w:r>
              <w:rPr>
                <w:rStyle w:val="37"/>
                <w:rFonts w:hint="default" w:ascii="Times New Roman" w:hAnsi="Times New Roman" w:cs="Times New Roman"/>
                <w:color w:val="auto"/>
                <w:szCs w:val="21"/>
                <w:highlight w:val="none"/>
              </w:rPr>
              <w:footnoteReference w:id="11"/>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8" w:hRule="atLeast"/>
          <w:jc w:val="center"/>
        </w:trPr>
        <w:tc>
          <w:tcPr>
            <w:tcW w:w="1711" w:type="dxa"/>
            <w:vAlign w:val="top"/>
          </w:tcPr>
          <w:p>
            <w:pPr>
              <w:adjustRightInd w:val="0"/>
              <w:snapToGrid w:val="0"/>
              <w:spacing w:line="400" w:lineRule="atLeast"/>
              <w:ind w:firstLine="0" w:firstLineChars="0"/>
              <w:jc w:val="left"/>
              <w:rPr>
                <w:rFonts w:hint="default" w:ascii="Times New Roman" w:hAnsi="Times New Roman" w:cs="Times New Roman"/>
                <w:color w:val="auto"/>
                <w:szCs w:val="21"/>
                <w:highlight w:val="none"/>
                <w:lang w:val="en-US" w:eastAsia="zh-CN"/>
              </w:rPr>
            </w:pPr>
          </w:p>
        </w:tc>
        <w:tc>
          <w:tcPr>
            <w:tcW w:w="7108" w:type="dxa"/>
            <w:vAlign w:val="top"/>
          </w:tcPr>
          <w:p>
            <w:pPr>
              <w:adjustRightInd w:val="0"/>
              <w:snapToGrid w:val="0"/>
              <w:spacing w:line="400" w:lineRule="atLeast"/>
              <w:ind w:firstLine="0" w:firstLineChars="0"/>
              <w:jc w:val="left"/>
              <w:rPr>
                <w:rFonts w:hint="default" w:ascii="Times New Roman" w:hAnsi="Times New Roman" w:cs="Times New Roman"/>
                <w:color w:val="auto"/>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1" w:hRule="atLeast"/>
          <w:jc w:val="center"/>
        </w:trPr>
        <w:tc>
          <w:tcPr>
            <w:tcW w:w="8819" w:type="dxa"/>
            <w:gridSpan w:val="2"/>
            <w:vAlign w:val="top"/>
          </w:tcPr>
          <w:p>
            <w:pPr>
              <w:adjustRightInd w:val="0"/>
              <w:snapToGrid w:val="0"/>
              <w:spacing w:line="400" w:lineRule="atLeast"/>
              <w:ind w:firstLine="0" w:firstLineChars="0"/>
              <w:jc w:val="left"/>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tc>
      </w:tr>
    </w:tbl>
    <w:p>
      <w:pPr>
        <w:adjustRightInd w:val="0"/>
        <w:snapToGrid w:val="0"/>
        <w:spacing w:line="300" w:lineRule="exact"/>
        <w:rPr>
          <w:rFonts w:hint="default" w:ascii="Times New Roman" w:hAnsi="Times New Roman" w:eastAsia="隶书" w:cs="Times New Roman"/>
          <w:b/>
          <w:color w:val="auto"/>
          <w:sz w:val="32"/>
          <w:highlight w:val="none"/>
        </w:rPr>
      </w:pPr>
    </w:p>
    <w:p>
      <w:pPr>
        <w:adjustRightInd w:val="0"/>
        <w:snapToGrid w:val="0"/>
        <w:spacing w:line="300" w:lineRule="exact"/>
        <w:rPr>
          <w:rFonts w:hint="default" w:ascii="Times New Roman" w:hAnsi="Times New Roman" w:eastAsia="隶书" w:cs="Times New Roman"/>
          <w:b/>
          <w:color w:val="auto"/>
          <w:sz w:val="32"/>
          <w:highlight w:val="none"/>
        </w:rPr>
      </w:pPr>
    </w:p>
    <w:p>
      <w:pPr>
        <w:spacing w:before="240" w:after="240" w:line="240" w:lineRule="atLeast"/>
        <w:jc w:val="center"/>
        <w:rPr>
          <w:rFonts w:hint="default" w:ascii="Times New Roman" w:hAnsi="Times New Roman" w:eastAsia="黑体" w:cs="Times New Roman"/>
          <w:color w:val="auto"/>
          <w:sz w:val="28"/>
          <w:szCs w:val="28"/>
          <w:highlight w:val="none"/>
        </w:rPr>
      </w:pPr>
      <w:bookmarkStart w:id="71" w:name="_Toc234832864"/>
      <w:bookmarkStart w:id="72" w:name="_Toc501257054"/>
      <w:r>
        <w:rPr>
          <w:rFonts w:hint="default" w:ascii="Times New Roman" w:hAnsi="Times New Roman" w:eastAsia="黑体" w:cs="Times New Roman"/>
          <w:color w:val="auto"/>
          <w:sz w:val="28"/>
          <w:szCs w:val="28"/>
          <w:highlight w:val="none"/>
        </w:rPr>
        <w:br w:type="page"/>
      </w:r>
    </w:p>
    <w:p>
      <w:pPr>
        <w:pStyle w:val="2"/>
        <w:spacing w:before="240" w:after="240" w:line="240" w:lineRule="atLeast"/>
        <w:jc w:val="center"/>
        <w:rPr>
          <w:rFonts w:hint="default" w:ascii="Times New Roman" w:hAnsi="Times New Roman" w:eastAsia="黑体" w:cs="Times New Roman"/>
          <w:color w:val="auto"/>
          <w:sz w:val="28"/>
          <w:szCs w:val="28"/>
          <w:highlight w:val="none"/>
        </w:rPr>
      </w:pPr>
      <w:bookmarkStart w:id="73" w:name="_Toc79"/>
      <w:r>
        <w:rPr>
          <w:rFonts w:hint="default" w:ascii="Times New Roman" w:hAnsi="Times New Roman" w:eastAsia="黑体" w:cs="Times New Roman"/>
          <w:b w:val="0"/>
          <w:bCs/>
          <w:color w:val="auto"/>
          <w:sz w:val="28"/>
          <w:szCs w:val="28"/>
          <w:highlight w:val="none"/>
        </w:rPr>
        <w:t>附录2  资格审查条件（财务最低要求）</w:t>
      </w:r>
      <w:r>
        <w:rPr>
          <w:rStyle w:val="37"/>
          <w:rFonts w:hint="default" w:ascii="Times New Roman" w:hAnsi="Times New Roman" w:eastAsia="黑体" w:cs="Times New Roman"/>
          <w:color w:val="auto"/>
          <w:sz w:val="28"/>
          <w:szCs w:val="28"/>
          <w:highlight w:val="none"/>
        </w:rPr>
        <w:footnoteReference w:id="12"/>
      </w:r>
      <w:bookmarkEnd w:id="71"/>
      <w:bookmarkEnd w:id="72"/>
      <w:bookmarkEnd w:id="73"/>
    </w:p>
    <w:tbl>
      <w:tblPr>
        <w:tblStyle w:val="30"/>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1711" w:type="dxa"/>
            <w:vAlign w:val="center"/>
          </w:tcPr>
          <w:p>
            <w:pPr>
              <w:adjustRightInd w:val="0"/>
              <w:snapToGrid w:val="0"/>
              <w:spacing w:line="400" w:lineRule="atLeast"/>
              <w:ind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标段号</w:t>
            </w:r>
          </w:p>
        </w:tc>
        <w:tc>
          <w:tcPr>
            <w:tcW w:w="7108" w:type="dxa"/>
            <w:vAlign w:val="center"/>
          </w:tcPr>
          <w:p>
            <w:pPr>
              <w:adjustRightInd w:val="0"/>
              <w:snapToGrid w:val="0"/>
              <w:spacing w:line="400" w:lineRule="atLeas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 xml:space="preserve">财 务 </w:t>
            </w:r>
            <w:r>
              <w:rPr>
                <w:rFonts w:hint="default" w:ascii="Times New Roman" w:hAnsi="Times New Roman" w:cs="Times New Roman"/>
                <w:color w:val="auto"/>
                <w:szCs w:val="21"/>
                <w:highlight w:val="none"/>
              </w:rPr>
              <w:t>要</w:t>
            </w:r>
            <w:r>
              <w:rPr>
                <w:rFonts w:hint="default" w:ascii="Times New Roman" w:hAnsi="Times New Roman" w:cs="Times New Roman"/>
                <w:color w:val="auto"/>
                <w:szCs w:val="21"/>
                <w:highlight w:val="none"/>
                <w:lang w:val="en-US" w:eastAsia="zh-CN"/>
              </w:rPr>
              <w:t xml:space="preserve"> </w:t>
            </w:r>
            <w:r>
              <w:rPr>
                <w:rFonts w:hint="default" w:ascii="Times New Roman" w:hAnsi="Times New Roman" w:cs="Times New Roman"/>
                <w:color w:val="auto"/>
                <w:szCs w:val="21"/>
                <w:highlight w:val="none"/>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4" w:hRule="atLeast"/>
          <w:jc w:val="center"/>
        </w:trPr>
        <w:tc>
          <w:tcPr>
            <w:tcW w:w="1711" w:type="dxa"/>
            <w:vAlign w:val="center"/>
          </w:tcPr>
          <w:p>
            <w:pPr>
              <w:adjustRightInd w:val="0"/>
              <w:snapToGrid w:val="0"/>
              <w:spacing w:line="400" w:lineRule="atLeast"/>
              <w:ind w:firstLine="0" w:firstLineChars="0"/>
              <w:jc w:val="center"/>
              <w:rPr>
                <w:rFonts w:hint="default" w:ascii="Times New Roman" w:hAnsi="Times New Roman" w:cs="Times New Roman"/>
                <w:color w:val="auto"/>
                <w:szCs w:val="21"/>
                <w:highlight w:val="none"/>
              </w:rPr>
            </w:pPr>
          </w:p>
        </w:tc>
        <w:tc>
          <w:tcPr>
            <w:tcW w:w="7108" w:type="dxa"/>
            <w:vAlign w:val="center"/>
          </w:tcPr>
          <w:p>
            <w:pPr>
              <w:adjustRightInd w:val="0"/>
              <w:snapToGrid w:val="0"/>
              <w:spacing w:line="400" w:lineRule="atLeast"/>
              <w:ind w:firstLine="0" w:firstLineChars="0"/>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8" w:hRule="atLeast"/>
          <w:jc w:val="center"/>
        </w:trPr>
        <w:tc>
          <w:tcPr>
            <w:tcW w:w="8819" w:type="dxa"/>
            <w:gridSpan w:val="2"/>
            <w:vAlign w:val="top"/>
          </w:tcPr>
          <w:p>
            <w:pPr>
              <w:adjustRightInd w:val="0"/>
              <w:snapToGrid w:val="0"/>
              <w:spacing w:line="400" w:lineRule="atLeast"/>
              <w:ind w:firstLine="0" w:firstLineChars="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tc>
      </w:tr>
    </w:tbl>
    <w:p>
      <w:pPr>
        <w:adjustRightInd w:val="0"/>
        <w:snapToGrid w:val="0"/>
        <w:spacing w:line="300" w:lineRule="exact"/>
        <w:rPr>
          <w:rFonts w:hint="default" w:ascii="Times New Roman" w:hAnsi="Times New Roman" w:eastAsia="黑体" w:cs="Times New Roman"/>
          <w:color w:val="auto"/>
          <w:sz w:val="24"/>
          <w:highlight w:val="none"/>
        </w:rPr>
      </w:pPr>
    </w:p>
    <w:p>
      <w:pPr>
        <w:pStyle w:val="2"/>
        <w:spacing w:before="240" w:after="240" w:line="240" w:lineRule="atLeast"/>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4"/>
          <w:highlight w:val="none"/>
        </w:rPr>
        <w:br w:type="page"/>
      </w:r>
      <w:bookmarkStart w:id="74" w:name="_Toc501257055"/>
      <w:bookmarkStart w:id="75" w:name="_Toc234832865"/>
      <w:bookmarkStart w:id="76" w:name="_Toc17074"/>
      <w:r>
        <w:rPr>
          <w:rFonts w:hint="default" w:ascii="Times New Roman" w:hAnsi="Times New Roman" w:eastAsia="黑体" w:cs="Times New Roman"/>
          <w:b w:val="0"/>
          <w:bCs/>
          <w:color w:val="auto"/>
          <w:sz w:val="28"/>
          <w:szCs w:val="28"/>
          <w:highlight w:val="none"/>
        </w:rPr>
        <w:t xml:space="preserve">附录3 </w:t>
      </w:r>
      <w:r>
        <w:rPr>
          <w:rFonts w:hint="default" w:ascii="Times New Roman" w:hAnsi="Times New Roman" w:eastAsia="黑体" w:cs="Times New Roman"/>
          <w:b w:val="0"/>
          <w:bCs/>
          <w:color w:val="auto"/>
          <w:sz w:val="28"/>
          <w:szCs w:val="28"/>
          <w:highlight w:val="none"/>
          <w:lang w:eastAsia="zh-CN"/>
        </w:rPr>
        <w:t xml:space="preserve"> </w:t>
      </w:r>
      <w:r>
        <w:rPr>
          <w:rFonts w:hint="default" w:ascii="Times New Roman" w:hAnsi="Times New Roman" w:eastAsia="黑体" w:cs="Times New Roman"/>
          <w:b w:val="0"/>
          <w:bCs/>
          <w:color w:val="auto"/>
          <w:sz w:val="28"/>
          <w:szCs w:val="28"/>
          <w:highlight w:val="none"/>
        </w:rPr>
        <w:t>资格审查条件（业绩最低要求）</w:t>
      </w:r>
      <w:r>
        <w:rPr>
          <w:rStyle w:val="37"/>
          <w:rFonts w:hint="default" w:ascii="Times New Roman" w:hAnsi="Times New Roman" w:eastAsia="黑体" w:cs="Times New Roman"/>
          <w:color w:val="auto"/>
          <w:sz w:val="28"/>
          <w:szCs w:val="28"/>
          <w:highlight w:val="none"/>
        </w:rPr>
        <w:footnoteReference w:id="13"/>
      </w:r>
      <w:bookmarkEnd w:id="74"/>
      <w:bookmarkEnd w:id="75"/>
      <w:bookmarkEnd w:id="76"/>
    </w:p>
    <w:tbl>
      <w:tblPr>
        <w:tblStyle w:val="30"/>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1711" w:type="dxa"/>
            <w:vAlign w:val="center"/>
          </w:tcPr>
          <w:p>
            <w:pPr>
              <w:adjustRightInd w:val="0"/>
              <w:snapToGrid w:val="0"/>
              <w:spacing w:line="400" w:lineRule="atLeast"/>
              <w:ind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标段号</w:t>
            </w:r>
          </w:p>
        </w:tc>
        <w:tc>
          <w:tcPr>
            <w:tcW w:w="7108" w:type="dxa"/>
            <w:vAlign w:val="center"/>
          </w:tcPr>
          <w:p>
            <w:pPr>
              <w:adjustRightInd w:val="0"/>
              <w:snapToGrid w:val="0"/>
              <w:spacing w:line="400" w:lineRule="atLeas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 xml:space="preserve">业 绩 </w:t>
            </w:r>
            <w:r>
              <w:rPr>
                <w:rFonts w:hint="default" w:ascii="Times New Roman" w:hAnsi="Times New Roman" w:cs="Times New Roman"/>
                <w:color w:val="auto"/>
                <w:szCs w:val="21"/>
                <w:highlight w:val="none"/>
              </w:rPr>
              <w:t>要</w:t>
            </w:r>
            <w:r>
              <w:rPr>
                <w:rFonts w:hint="default" w:ascii="Times New Roman" w:hAnsi="Times New Roman" w:cs="Times New Roman"/>
                <w:color w:val="auto"/>
                <w:szCs w:val="21"/>
                <w:highlight w:val="none"/>
                <w:lang w:val="en-US" w:eastAsia="zh-CN"/>
              </w:rPr>
              <w:t xml:space="preserve"> </w:t>
            </w:r>
            <w:r>
              <w:rPr>
                <w:rFonts w:hint="default" w:ascii="Times New Roman" w:hAnsi="Times New Roman" w:cs="Times New Roman"/>
                <w:color w:val="auto"/>
                <w:szCs w:val="21"/>
                <w:highlight w:val="none"/>
              </w:rPr>
              <w:t>求</w:t>
            </w:r>
            <w:r>
              <w:rPr>
                <w:rStyle w:val="37"/>
                <w:rFonts w:hint="default" w:ascii="Times New Roman" w:hAnsi="Times New Roman" w:cs="Times New Roman"/>
                <w:color w:val="auto"/>
                <w:szCs w:val="21"/>
                <w:highlight w:val="none"/>
              </w:rPr>
              <w:footnoteReference w:id="1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1711" w:type="dxa"/>
            <w:vAlign w:val="center"/>
          </w:tcPr>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tc>
        <w:tc>
          <w:tcPr>
            <w:tcW w:w="7108" w:type="dxa"/>
            <w:vAlign w:val="center"/>
          </w:tcPr>
          <w:p>
            <w:pPr>
              <w:ind w:firstLine="0" w:firstLineChars="0"/>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3" w:hRule="atLeast"/>
          <w:jc w:val="center"/>
        </w:trPr>
        <w:tc>
          <w:tcPr>
            <w:tcW w:w="8819" w:type="dxa"/>
            <w:gridSpan w:val="2"/>
            <w:vAlign w:val="top"/>
          </w:tcPr>
          <w:p>
            <w:pPr>
              <w:adjustRightInd w:val="0"/>
              <w:snapToGrid w:val="0"/>
              <w:spacing w:line="400" w:lineRule="atLeast"/>
              <w:ind w:firstLine="0" w:firstLineChars="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tc>
      </w:tr>
    </w:tbl>
    <w:p>
      <w:pPr>
        <w:adjustRightInd w:val="0"/>
        <w:snapToGrid w:val="0"/>
        <w:spacing w:line="300" w:lineRule="exact"/>
        <w:rPr>
          <w:rFonts w:hint="default" w:ascii="Times New Roman" w:hAnsi="Times New Roman" w:eastAsia="隶书" w:cs="Times New Roman"/>
          <w:b/>
          <w:color w:val="auto"/>
          <w:sz w:val="32"/>
          <w:highlight w:val="none"/>
        </w:rPr>
      </w:pPr>
    </w:p>
    <w:p>
      <w:pPr>
        <w:spacing w:before="240" w:after="240" w:line="240" w:lineRule="atLeast"/>
        <w:jc w:val="center"/>
        <w:rPr>
          <w:rFonts w:hint="default" w:ascii="Times New Roman" w:hAnsi="Times New Roman" w:eastAsia="黑体" w:cs="Times New Roman"/>
          <w:color w:val="auto"/>
          <w:sz w:val="28"/>
          <w:szCs w:val="28"/>
          <w:highlight w:val="none"/>
        </w:rPr>
      </w:pPr>
      <w:bookmarkStart w:id="77" w:name="_Toc234832866"/>
      <w:bookmarkStart w:id="78" w:name="_Toc501257056"/>
      <w:r>
        <w:rPr>
          <w:rFonts w:hint="default" w:ascii="Times New Roman" w:hAnsi="Times New Roman" w:eastAsia="黑体" w:cs="Times New Roman"/>
          <w:color w:val="auto"/>
          <w:sz w:val="28"/>
          <w:szCs w:val="28"/>
          <w:highlight w:val="none"/>
        </w:rPr>
        <w:br w:type="page"/>
      </w:r>
    </w:p>
    <w:p>
      <w:pPr>
        <w:pStyle w:val="2"/>
        <w:spacing w:before="240" w:after="240" w:line="240" w:lineRule="atLeast"/>
        <w:jc w:val="center"/>
        <w:rPr>
          <w:rFonts w:hint="default" w:ascii="Times New Roman" w:hAnsi="Times New Roman" w:eastAsia="黑体" w:cs="Times New Roman"/>
          <w:color w:val="auto"/>
          <w:sz w:val="28"/>
          <w:szCs w:val="28"/>
          <w:highlight w:val="none"/>
        </w:rPr>
      </w:pPr>
      <w:bookmarkStart w:id="79" w:name="_Toc10311"/>
      <w:r>
        <w:rPr>
          <w:rFonts w:hint="default" w:ascii="Times New Roman" w:hAnsi="Times New Roman" w:eastAsia="黑体" w:cs="Times New Roman"/>
          <w:b w:val="0"/>
          <w:bCs/>
          <w:color w:val="auto"/>
          <w:sz w:val="28"/>
          <w:szCs w:val="28"/>
          <w:highlight w:val="none"/>
        </w:rPr>
        <w:t>附录4  资格审查条件（信誉最低要求）</w:t>
      </w:r>
      <w:r>
        <w:rPr>
          <w:rStyle w:val="37"/>
          <w:rFonts w:hint="default" w:ascii="Times New Roman" w:hAnsi="Times New Roman" w:eastAsia="黑体" w:cs="Times New Roman"/>
          <w:color w:val="auto"/>
          <w:sz w:val="28"/>
          <w:szCs w:val="28"/>
          <w:highlight w:val="none"/>
        </w:rPr>
        <w:footnoteReference w:id="15"/>
      </w:r>
      <w:bookmarkEnd w:id="77"/>
      <w:bookmarkEnd w:id="78"/>
      <w:bookmarkEnd w:id="79"/>
    </w:p>
    <w:tbl>
      <w:tblPr>
        <w:tblStyle w:val="30"/>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1711" w:type="dxa"/>
            <w:vAlign w:val="center"/>
          </w:tcPr>
          <w:p>
            <w:pPr>
              <w:adjustRightInd w:val="0"/>
              <w:snapToGrid w:val="0"/>
              <w:spacing w:line="400" w:lineRule="atLeast"/>
              <w:ind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标段号</w:t>
            </w:r>
          </w:p>
        </w:tc>
        <w:tc>
          <w:tcPr>
            <w:tcW w:w="7108" w:type="dxa"/>
            <w:vAlign w:val="center"/>
          </w:tcPr>
          <w:p>
            <w:pPr>
              <w:adjustRightInd w:val="0"/>
              <w:snapToGrid w:val="0"/>
              <w:spacing w:line="400" w:lineRule="atLeas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 xml:space="preserve">信 誉 </w:t>
            </w:r>
            <w:r>
              <w:rPr>
                <w:rFonts w:hint="default" w:ascii="Times New Roman" w:hAnsi="Times New Roman" w:cs="Times New Roman"/>
                <w:color w:val="auto"/>
                <w:szCs w:val="21"/>
                <w:highlight w:val="none"/>
              </w:rPr>
              <w:t>要</w:t>
            </w:r>
            <w:r>
              <w:rPr>
                <w:rFonts w:hint="default" w:ascii="Times New Roman" w:hAnsi="Times New Roman" w:cs="Times New Roman"/>
                <w:color w:val="auto"/>
                <w:szCs w:val="21"/>
                <w:highlight w:val="none"/>
                <w:lang w:val="en-US" w:eastAsia="zh-CN"/>
              </w:rPr>
              <w:t xml:space="preserve"> </w:t>
            </w:r>
            <w:r>
              <w:rPr>
                <w:rFonts w:hint="default" w:ascii="Times New Roman" w:hAnsi="Times New Roman" w:cs="Times New Roman"/>
                <w:color w:val="auto"/>
                <w:szCs w:val="21"/>
                <w:highlight w:val="none"/>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1711" w:type="dxa"/>
            <w:vAlign w:val="center"/>
          </w:tcPr>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tc>
        <w:tc>
          <w:tcPr>
            <w:tcW w:w="7108" w:type="dxa"/>
            <w:vAlign w:val="center"/>
          </w:tcPr>
          <w:p>
            <w:pPr>
              <w:ind w:firstLine="0" w:firstLineChars="0"/>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3" w:hRule="atLeast"/>
          <w:jc w:val="center"/>
        </w:trPr>
        <w:tc>
          <w:tcPr>
            <w:tcW w:w="8819" w:type="dxa"/>
            <w:gridSpan w:val="2"/>
            <w:vAlign w:val="top"/>
          </w:tcPr>
          <w:p>
            <w:pPr>
              <w:adjustRightInd w:val="0"/>
              <w:snapToGrid w:val="0"/>
              <w:spacing w:line="400" w:lineRule="atLeast"/>
              <w:ind w:firstLine="0" w:firstLineChars="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tc>
      </w:tr>
    </w:tbl>
    <w:p>
      <w:pPr>
        <w:adjustRightInd w:val="0"/>
        <w:snapToGrid w:val="0"/>
        <w:spacing w:line="300" w:lineRule="exact"/>
        <w:rPr>
          <w:rFonts w:hint="default" w:ascii="Times New Roman" w:hAnsi="Times New Roman" w:eastAsia="隶书" w:cs="Times New Roman"/>
          <w:color w:val="auto"/>
          <w:sz w:val="32"/>
          <w:highlight w:val="none"/>
        </w:rPr>
      </w:pPr>
    </w:p>
    <w:p>
      <w:pPr>
        <w:adjustRightInd w:val="0"/>
        <w:snapToGrid w:val="0"/>
        <w:spacing w:line="300" w:lineRule="auto"/>
        <w:rPr>
          <w:rFonts w:hint="default" w:ascii="Times New Roman" w:hAnsi="Times New Roman" w:cs="Times New Roman"/>
          <w:bCs/>
          <w:color w:val="auto"/>
          <w:highlight w:val="none"/>
        </w:rPr>
      </w:pPr>
    </w:p>
    <w:p>
      <w:pPr>
        <w:adjustRightInd/>
        <w:snapToGrid/>
        <w:spacing w:line="240" w:lineRule="auto"/>
        <w:ind w:firstLine="0" w:firstLineChars="0"/>
        <w:jc w:val="both"/>
        <w:rPr>
          <w:rFonts w:hint="default" w:ascii="Times New Roman" w:hAnsi="Times New Roman" w:eastAsia="黑体" w:cs="Times New Roman"/>
          <w:b/>
          <w:color w:val="auto"/>
          <w:sz w:val="24"/>
          <w:highlight w:val="none"/>
        </w:rPr>
      </w:pPr>
      <w:r>
        <w:rPr>
          <w:rFonts w:hint="default" w:ascii="Times New Roman" w:hAnsi="Times New Roman" w:eastAsia="黑体" w:cs="Times New Roman"/>
          <w:b/>
          <w:color w:val="auto"/>
          <w:sz w:val="24"/>
          <w:highlight w:val="none"/>
        </w:rPr>
        <w:br w:type="page"/>
      </w:r>
    </w:p>
    <w:p>
      <w:pPr>
        <w:pStyle w:val="2"/>
        <w:spacing w:before="240" w:after="240" w:line="240" w:lineRule="atLeast"/>
        <w:jc w:val="center"/>
        <w:rPr>
          <w:rFonts w:hint="default" w:ascii="Times New Roman" w:hAnsi="Times New Roman" w:eastAsia="黑体" w:cs="Times New Roman"/>
          <w:color w:val="auto"/>
          <w:sz w:val="28"/>
          <w:szCs w:val="28"/>
          <w:highlight w:val="none"/>
        </w:rPr>
      </w:pPr>
      <w:bookmarkStart w:id="80" w:name="_Toc10938"/>
      <w:r>
        <w:rPr>
          <w:rFonts w:hint="default" w:ascii="Times New Roman" w:hAnsi="Times New Roman" w:eastAsia="黑体" w:cs="Times New Roman"/>
          <w:b w:val="0"/>
          <w:bCs/>
          <w:color w:val="auto"/>
          <w:sz w:val="28"/>
          <w:szCs w:val="28"/>
          <w:highlight w:val="none"/>
        </w:rPr>
        <w:t>附录</w:t>
      </w:r>
      <w:r>
        <w:rPr>
          <w:rFonts w:hint="default" w:eastAsia="黑体" w:cs="Times New Roman"/>
          <w:b w:val="0"/>
          <w:bCs/>
          <w:color w:val="auto"/>
          <w:sz w:val="28"/>
          <w:szCs w:val="28"/>
          <w:highlight w:val="none"/>
          <w:lang w:val="en-US" w:eastAsia="zh-CN"/>
        </w:rPr>
        <w:t>5</w:t>
      </w:r>
      <w:r>
        <w:rPr>
          <w:rFonts w:hint="default" w:ascii="Times New Roman" w:hAnsi="Times New Roman" w:eastAsia="黑体" w:cs="Times New Roman"/>
          <w:b w:val="0"/>
          <w:bCs/>
          <w:color w:val="auto"/>
          <w:sz w:val="28"/>
          <w:szCs w:val="28"/>
          <w:highlight w:val="none"/>
        </w:rPr>
        <w:t xml:space="preserve">  资格审查条件（</w:t>
      </w:r>
      <w:r>
        <w:rPr>
          <w:rFonts w:hint="default" w:eastAsia="黑体" w:cs="Times New Roman"/>
          <w:b w:val="0"/>
          <w:bCs/>
          <w:color w:val="auto"/>
          <w:sz w:val="28"/>
          <w:szCs w:val="28"/>
          <w:highlight w:val="none"/>
          <w:lang w:val="en-US" w:eastAsia="zh-CN"/>
        </w:rPr>
        <w:t>其他</w:t>
      </w:r>
      <w:r>
        <w:rPr>
          <w:rFonts w:hint="default" w:ascii="Times New Roman" w:hAnsi="Times New Roman" w:eastAsia="黑体" w:cs="Times New Roman"/>
          <w:b w:val="0"/>
          <w:bCs/>
          <w:color w:val="auto"/>
          <w:sz w:val="28"/>
          <w:szCs w:val="28"/>
          <w:highlight w:val="none"/>
        </w:rPr>
        <w:t>要求）</w:t>
      </w:r>
      <w:r>
        <w:rPr>
          <w:rStyle w:val="37"/>
          <w:rFonts w:hint="default" w:ascii="Times New Roman" w:hAnsi="Times New Roman" w:eastAsia="黑体" w:cs="Times New Roman"/>
          <w:color w:val="auto"/>
          <w:sz w:val="28"/>
          <w:szCs w:val="28"/>
          <w:highlight w:val="none"/>
        </w:rPr>
        <w:footnoteReference w:id="16"/>
      </w:r>
      <w:bookmarkEnd w:id="80"/>
    </w:p>
    <w:tbl>
      <w:tblPr>
        <w:tblStyle w:val="30"/>
        <w:tblW w:w="8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 w:hRule="atLeast"/>
          <w:jc w:val="center"/>
        </w:trPr>
        <w:tc>
          <w:tcPr>
            <w:tcW w:w="1711" w:type="dxa"/>
            <w:vAlign w:val="center"/>
          </w:tcPr>
          <w:p>
            <w:pPr>
              <w:adjustRightInd w:val="0"/>
              <w:snapToGrid w:val="0"/>
              <w:spacing w:line="400" w:lineRule="atLeast"/>
              <w:ind w:firstLine="0" w:firstLineChars="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标段号</w:t>
            </w:r>
          </w:p>
        </w:tc>
        <w:tc>
          <w:tcPr>
            <w:tcW w:w="7108" w:type="dxa"/>
            <w:vAlign w:val="center"/>
          </w:tcPr>
          <w:p>
            <w:pPr>
              <w:adjustRightInd w:val="0"/>
              <w:snapToGrid w:val="0"/>
              <w:spacing w:line="400" w:lineRule="atLeas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 xml:space="preserve">其 他 </w:t>
            </w:r>
            <w:r>
              <w:rPr>
                <w:rFonts w:hint="default" w:ascii="Times New Roman" w:hAnsi="Times New Roman" w:cs="Times New Roman"/>
                <w:color w:val="auto"/>
                <w:szCs w:val="21"/>
                <w:highlight w:val="none"/>
              </w:rPr>
              <w:t>要</w:t>
            </w:r>
            <w:r>
              <w:rPr>
                <w:rFonts w:hint="default" w:ascii="Times New Roman" w:hAnsi="Times New Roman" w:cs="Times New Roman"/>
                <w:color w:val="auto"/>
                <w:szCs w:val="21"/>
                <w:highlight w:val="none"/>
                <w:lang w:val="en-US" w:eastAsia="zh-CN"/>
              </w:rPr>
              <w:t xml:space="preserve"> </w:t>
            </w:r>
            <w:r>
              <w:rPr>
                <w:rFonts w:hint="default" w:ascii="Times New Roman" w:hAnsi="Times New Roman" w:cs="Times New Roman"/>
                <w:color w:val="auto"/>
                <w:szCs w:val="21"/>
                <w:highlight w:val="none"/>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3" w:hRule="atLeast"/>
          <w:jc w:val="center"/>
        </w:trPr>
        <w:tc>
          <w:tcPr>
            <w:tcW w:w="1711" w:type="dxa"/>
            <w:vAlign w:val="center"/>
          </w:tcPr>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p>
            <w:pPr>
              <w:ind w:firstLine="0" w:firstLineChars="0"/>
              <w:rPr>
                <w:rFonts w:ascii="Times New Roman" w:hAnsi="Times New Roman"/>
                <w:color w:val="auto"/>
                <w:highlight w:val="none"/>
              </w:rPr>
            </w:pPr>
          </w:p>
        </w:tc>
        <w:tc>
          <w:tcPr>
            <w:tcW w:w="7108" w:type="dxa"/>
            <w:vAlign w:val="center"/>
          </w:tcPr>
          <w:p>
            <w:pPr>
              <w:ind w:firstLine="0" w:firstLineChars="0"/>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3" w:hRule="atLeast"/>
          <w:jc w:val="center"/>
        </w:trPr>
        <w:tc>
          <w:tcPr>
            <w:tcW w:w="8819" w:type="dxa"/>
            <w:gridSpan w:val="2"/>
            <w:vAlign w:val="top"/>
          </w:tcPr>
          <w:p>
            <w:pPr>
              <w:adjustRightInd w:val="0"/>
              <w:snapToGrid w:val="0"/>
              <w:spacing w:line="400" w:lineRule="atLeast"/>
              <w:ind w:firstLine="0" w:firstLineChars="0"/>
              <w:jc w:val="both"/>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注：</w:t>
            </w:r>
          </w:p>
        </w:tc>
      </w:tr>
    </w:tbl>
    <w:p>
      <w:pPr>
        <w:adjustRightInd w:val="0"/>
        <w:snapToGrid w:val="0"/>
        <w:spacing w:line="300" w:lineRule="auto"/>
        <w:ind w:firstLine="963" w:firstLineChars="400"/>
        <w:jc w:val="center"/>
        <w:rPr>
          <w:rFonts w:hint="default" w:ascii="Times New Roman" w:hAnsi="Times New Roman" w:eastAsia="黑体" w:cs="Times New Roman"/>
          <w:b/>
          <w:color w:val="auto"/>
          <w:sz w:val="24"/>
          <w:highlight w:val="none"/>
        </w:rPr>
      </w:pPr>
    </w:p>
    <w:p>
      <w:pPr>
        <w:adjustRightInd w:val="0"/>
        <w:snapToGrid w:val="0"/>
        <w:spacing w:line="240" w:lineRule="exact"/>
        <w:rPr>
          <w:rFonts w:hint="default" w:ascii="Times New Roman" w:hAnsi="Times New Roman" w:eastAsia="隶书" w:cs="Times New Roman"/>
          <w:b/>
          <w:bCs/>
          <w:color w:val="auto"/>
          <w:sz w:val="32"/>
          <w:szCs w:val="32"/>
          <w:highlight w:val="none"/>
        </w:rPr>
      </w:pPr>
    </w:p>
    <w:p>
      <w:pPr>
        <w:adjustRightInd w:val="0"/>
        <w:snapToGrid w:val="0"/>
        <w:spacing w:line="300" w:lineRule="auto"/>
        <w:ind w:right="-586" w:rightChars="-244" w:firstLine="481" w:firstLineChars="200"/>
        <w:rPr>
          <w:rFonts w:hint="default" w:ascii="Times New Roman" w:hAnsi="Times New Roman" w:cs="Times New Roman"/>
          <w:b/>
          <w:iCs/>
          <w:color w:val="auto"/>
          <w:szCs w:val="21"/>
          <w:highlight w:val="none"/>
        </w:rPr>
      </w:pPr>
    </w:p>
    <w:p>
      <w:pPr>
        <w:pStyle w:val="3"/>
        <w:rPr>
          <w:rFonts w:ascii="Times New Roman" w:hAnsi="Times New Roman"/>
          <w:color w:val="auto"/>
          <w:highlight w:val="none"/>
        </w:rPr>
      </w:pPr>
      <w:r>
        <w:rPr>
          <w:rFonts w:hint="default" w:ascii="Times New Roman" w:hAnsi="Times New Roman" w:eastAsia="黑体" w:cs="Times New Roman"/>
          <w:color w:val="auto"/>
          <w:sz w:val="28"/>
          <w:szCs w:val="28"/>
          <w:highlight w:val="none"/>
        </w:rPr>
        <w:br w:type="page"/>
      </w:r>
      <w:bookmarkStart w:id="81" w:name="_Toc7550"/>
      <w:bookmarkStart w:id="82" w:name="_Toc491883095"/>
      <w:r>
        <w:rPr>
          <w:rFonts w:ascii="Times New Roman" w:hAnsi="Times New Roman"/>
          <w:b w:val="0"/>
          <w:bCs/>
          <w:color w:val="auto"/>
          <w:highlight w:val="none"/>
        </w:rPr>
        <w:t>1. 总则</w:t>
      </w:r>
      <w:bookmarkEnd w:id="81"/>
      <w:bookmarkEnd w:id="82"/>
    </w:p>
    <w:p>
      <w:pPr>
        <w:pStyle w:val="4"/>
        <w:adjustRightInd w:val="0"/>
        <w:snapToGrid w:val="0"/>
        <w:spacing w:line="240" w:lineRule="auto"/>
        <w:ind w:firstLine="137"/>
        <w:rPr>
          <w:rFonts w:hint="default" w:ascii="Times New Roman" w:hAnsi="Times New Roman"/>
          <w:color w:val="auto"/>
          <w:highlight w:val="none"/>
        </w:rPr>
      </w:pPr>
      <w:bookmarkStart w:id="83" w:name="_Toc23498"/>
      <w:bookmarkStart w:id="84" w:name="_Toc491883096"/>
      <w:r>
        <w:rPr>
          <w:rFonts w:hint="default" w:ascii="Times New Roman" w:hAnsi="Times New Roman"/>
          <w:color w:val="auto"/>
          <w:highlight w:val="none"/>
        </w:rPr>
        <w:t>1.1 招标项目概况</w:t>
      </w:r>
      <w:bookmarkEnd w:id="83"/>
      <w:bookmarkEnd w:id="84"/>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1.1.1根据《中华人民共和国招标投标法》、《中华人民共和国招标投标法实施条例》等有关法律、法规和规章的规定，本招标项目已具备招标条件，现对设备</w:t>
      </w:r>
      <w:r>
        <w:rPr>
          <w:rFonts w:hint="default" w:ascii="Times New Roman" w:hAnsi="Times New Roman"/>
          <w:color w:val="auto"/>
          <w:highlight w:val="none"/>
          <w:lang w:val="en-US" w:eastAsia="zh-CN"/>
        </w:rPr>
        <w:t>材料</w:t>
      </w:r>
      <w:r>
        <w:rPr>
          <w:rFonts w:ascii="Times New Roman" w:hAnsi="Times New Roman"/>
          <w:color w:val="auto"/>
          <w:highlight w:val="none"/>
        </w:rPr>
        <w:t>采购进行招标。</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1.1.2 招标人：见投标人须知前附表。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1.1.3 招标代理机构：见投标人须知前附表。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1.1.4</w:t>
      </w:r>
      <w:r>
        <w:rPr>
          <w:rFonts w:hint="default" w:ascii="Times New Roman" w:hAnsi="Times New Roman"/>
          <w:color w:val="auto"/>
          <w:highlight w:val="none"/>
          <w:lang w:val="en-US" w:eastAsia="zh-CN"/>
        </w:rPr>
        <w:t xml:space="preserve"> </w:t>
      </w:r>
      <w:r>
        <w:rPr>
          <w:rFonts w:ascii="Times New Roman" w:hAnsi="Times New Roman"/>
          <w:color w:val="auto"/>
          <w:highlight w:val="none"/>
        </w:rPr>
        <w:t>招标项目名称：见投标人须知前附表。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1.1.5</w:t>
      </w:r>
      <w:r>
        <w:rPr>
          <w:rFonts w:hint="default" w:ascii="Times New Roman" w:hAnsi="Times New Roman"/>
          <w:color w:val="auto"/>
          <w:highlight w:val="none"/>
          <w:lang w:val="en-US" w:eastAsia="zh-CN"/>
        </w:rPr>
        <w:t xml:space="preserve"> </w:t>
      </w:r>
      <w:r>
        <w:rPr>
          <w:rFonts w:ascii="Times New Roman" w:hAnsi="Times New Roman"/>
          <w:color w:val="auto"/>
          <w:highlight w:val="none"/>
        </w:rPr>
        <w:t>工程项目名称：即招标项目所属的工程建设项目，见投标人须知前附表。</w:t>
      </w:r>
    </w:p>
    <w:p>
      <w:pPr>
        <w:pStyle w:val="4"/>
        <w:spacing w:line="240" w:lineRule="auto"/>
        <w:ind w:firstLine="0"/>
        <w:rPr>
          <w:rFonts w:ascii="Times New Roman" w:hAnsi="Times New Roman"/>
          <w:color w:val="auto"/>
          <w:highlight w:val="none"/>
        </w:rPr>
      </w:pPr>
      <w:bookmarkStart w:id="85" w:name="_Toc491883097"/>
      <w:bookmarkStart w:id="86" w:name="_Toc3655"/>
      <w:r>
        <w:rPr>
          <w:rFonts w:ascii="Times New Roman" w:hAnsi="Times New Roman"/>
          <w:color w:val="auto"/>
          <w:highlight w:val="none"/>
        </w:rPr>
        <w:t>1.2 招标项目的资金来源和落实情况</w:t>
      </w:r>
      <w:bookmarkEnd w:id="85"/>
      <w:bookmarkEnd w:id="86"/>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1.2.1 资金来源及比例：见投标人须知前附表。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1.2.2 资金落实情况：见投标人须知前附表。</w:t>
      </w:r>
    </w:p>
    <w:p>
      <w:pPr>
        <w:pStyle w:val="4"/>
        <w:spacing w:line="240" w:lineRule="auto"/>
        <w:ind w:firstLine="0"/>
        <w:rPr>
          <w:rFonts w:hint="default" w:ascii="Times New Roman" w:hAnsi="Times New Roman"/>
          <w:color w:val="auto"/>
          <w:highlight w:val="none"/>
          <w:lang w:val="en-US" w:eastAsia="zh-CN"/>
        </w:rPr>
      </w:pPr>
      <w:bookmarkStart w:id="87" w:name="_Toc491883098"/>
      <w:bookmarkStart w:id="88" w:name="_Toc23327"/>
      <w:r>
        <w:rPr>
          <w:rFonts w:ascii="Times New Roman" w:hAnsi="Times New Roman"/>
          <w:color w:val="auto"/>
          <w:highlight w:val="none"/>
        </w:rPr>
        <w:t>1.3招标范围、交货期、交货地点和</w:t>
      </w:r>
      <w:r>
        <w:rPr>
          <w:rFonts w:hint="default" w:ascii="Times New Roman" w:hAnsi="Times New Roman"/>
          <w:color w:val="auto"/>
          <w:highlight w:val="none"/>
        </w:rPr>
        <w:t>技术性能指标</w:t>
      </w:r>
      <w:bookmarkEnd w:id="87"/>
      <w:r>
        <w:rPr>
          <w:rFonts w:hint="default" w:ascii="Times New Roman" w:hAnsi="Times New Roman"/>
          <w:color w:val="auto"/>
          <w:highlight w:val="none"/>
          <w:lang w:val="en-US" w:eastAsia="zh-CN"/>
        </w:rPr>
        <w:t>/</w:t>
      </w:r>
      <w:r>
        <w:rPr>
          <w:rFonts w:ascii="Times New Roman" w:hAnsi="Times New Roman"/>
          <w:color w:val="auto"/>
          <w:highlight w:val="none"/>
        </w:rPr>
        <w:t>质量标准</w:t>
      </w:r>
      <w:bookmarkEnd w:id="88"/>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1.3.1 招标范围：见投标人须知前附表。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1.3.2 交货期：见投标人须知前附表。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1.3.3 交货地点：见投标人须知前附表。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 xml:space="preserve">1.3.4 </w:t>
      </w:r>
      <w:r>
        <w:rPr>
          <w:rFonts w:hint="default" w:ascii="Times New Roman" w:hAnsi="Times New Roman"/>
          <w:color w:val="auto"/>
          <w:highlight w:val="none"/>
        </w:rPr>
        <w:t>技术性能指标</w:t>
      </w:r>
      <w:r>
        <w:rPr>
          <w:rFonts w:hint="default" w:ascii="Times New Roman" w:hAnsi="Times New Roman"/>
          <w:color w:val="auto"/>
          <w:highlight w:val="none"/>
          <w:lang w:val="en-US" w:eastAsia="zh-CN"/>
        </w:rPr>
        <w:t>/</w:t>
      </w:r>
      <w:r>
        <w:rPr>
          <w:rFonts w:ascii="Times New Roman" w:hAnsi="Times New Roman"/>
          <w:color w:val="auto"/>
          <w:highlight w:val="none"/>
        </w:rPr>
        <w:t>质量标准：见投标人须知前附表。</w:t>
      </w:r>
    </w:p>
    <w:p>
      <w:pPr>
        <w:pStyle w:val="4"/>
        <w:spacing w:line="240" w:lineRule="auto"/>
        <w:ind w:firstLine="137"/>
        <w:rPr>
          <w:rFonts w:ascii="Times New Roman" w:hAnsi="Times New Roman"/>
          <w:color w:val="auto"/>
          <w:highlight w:val="none"/>
        </w:rPr>
      </w:pPr>
      <w:bookmarkStart w:id="89" w:name="_Toc603"/>
      <w:bookmarkStart w:id="90" w:name="_Toc491883099"/>
      <w:r>
        <w:rPr>
          <w:rFonts w:ascii="Times New Roman" w:hAnsi="Times New Roman"/>
          <w:color w:val="auto"/>
          <w:highlight w:val="none"/>
        </w:rPr>
        <w:t>1.4投标人资格要求</w:t>
      </w:r>
      <w:bookmarkEnd w:id="89"/>
      <w:bookmarkEnd w:id="90"/>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1.4.1</w:t>
      </w:r>
      <w:r>
        <w:rPr>
          <w:rFonts w:hint="default" w:ascii="Times New Roman" w:hAnsi="Times New Roman"/>
          <w:color w:val="auto"/>
          <w:highlight w:val="none"/>
        </w:rPr>
        <w:t xml:space="preserve"> </w:t>
      </w:r>
      <w:r>
        <w:rPr>
          <w:rFonts w:ascii="Times New Roman" w:hAnsi="Times New Roman"/>
          <w:color w:val="auto"/>
          <w:highlight w:val="none"/>
        </w:rPr>
        <w:t>投标人应具备承担本招标项目资质条件、能力和信誉：</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（1）资质要求：见投标人须知前附表；</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（2）财务要求：见投标人须知前附表；</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（3）业绩要求：见投标人须知前附表；</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（4）信誉要求：见投标人须知前附表；</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（5）其他要求：见投标人须知前附表</w:t>
      </w:r>
      <w:r>
        <w:rPr>
          <w:rFonts w:hint="default" w:ascii="Times New Roman" w:hAnsi="Times New Roman"/>
          <w:color w:val="auto"/>
          <w:highlight w:val="none"/>
        </w:rPr>
        <w:t>。</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投标人为代理经销商的，对投标人的资质要求包含对制造商的资质要求，对投标人的业绩要求包含对投标设备</w:t>
      </w:r>
      <w:r>
        <w:rPr>
          <w:rFonts w:hint="default" w:ascii="Times New Roman" w:hAnsi="Times New Roman"/>
          <w:color w:val="auto"/>
          <w:highlight w:val="none"/>
          <w:lang w:val="en-US" w:eastAsia="zh-CN"/>
        </w:rPr>
        <w:t>材料</w:t>
      </w:r>
      <w:r>
        <w:rPr>
          <w:rFonts w:ascii="Times New Roman" w:hAnsi="Times New Roman"/>
          <w:color w:val="auto"/>
          <w:highlight w:val="none"/>
        </w:rPr>
        <w:t>的业绩要求。</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需要提交的相关证明材料见本章第3.5款的规定。</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1.4.2投标人须知前附表规定接受联合体投标的，联合体除应符合本章第1.4.1项和投标人须知前附表的要求外，还应遵守以下规定：</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（1）联合体各方应按招标文件提供的格式签订联合体协议书，明确联合体牵头人和各方权利义务，并承诺就中标项目向招标人承担连带责任；</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（2）由同一专业的单位组成的联合体，按照资质等级较低的单位确定资质等级；</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（3）联合体各方不得再以自己名义单独或参加其他联合体在本招标项目中投标，否则各相关投标均无效。</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1.4.3 投标人不得存在下列情形之一：</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（1）与招标人存在利害关系且可能影响招标公正性；</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（2）与本招标项目的其他投标人为同一个单位负责人；</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（3）与本招标项目的其他投标人存在控股、管理关系；</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（4）与本招标项目其他投标人代理同一个制造商同一品牌同一型号的设备</w:t>
      </w:r>
      <w:r>
        <w:rPr>
          <w:rFonts w:hint="default" w:ascii="Times New Roman" w:hAnsi="Times New Roman"/>
          <w:color w:val="auto"/>
          <w:szCs w:val="21"/>
          <w:highlight w:val="none"/>
          <w:lang w:val="en-US" w:eastAsia="zh-CN"/>
        </w:rPr>
        <w:t>材料</w:t>
      </w:r>
      <w:r>
        <w:rPr>
          <w:rFonts w:ascii="Times New Roman" w:hAnsi="Times New Roman"/>
          <w:color w:val="auto"/>
          <w:szCs w:val="21"/>
          <w:highlight w:val="none"/>
        </w:rPr>
        <w:t>投标；</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（5）为本招标项目提供过设计、编制技术规范和其他文件的咨询服务；</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（6）为本工程项目的相关监理人，或者与本工程项目的相关监理人存在隶属关系或者其他利害关系；</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（7）为本招标项目的代建人；</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（8）为本招标项目的招标代理机构；</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（9）与本招标项目的监理人或代建人或招标代理机构同为一个法定代表人；</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（10）与本招标项目的监理人或代建人或招标代理机构存在控股或参股关系；</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（11）被依法暂停或者取消投标资格；</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（12）被责令停产停业、暂扣或者吊销许可证、暂扣或者吊销执照；</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（13）进入清算程序，或被宣告破产，或其他丧失履约能力的情形；</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（14）在最近三年内发生重大产品质量问题（以相关行业主管部门的行政处罚决定或司法机关出具的有关法律文书为准）；</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（15）</w:t>
      </w:r>
      <w:r>
        <w:rPr>
          <w:rFonts w:hint="default" w:ascii="Times New Roman" w:hAnsi="Times New Roman"/>
          <w:color w:val="auto"/>
          <w:szCs w:val="21"/>
          <w:highlight w:val="none"/>
          <w:lang w:eastAsia="zh-CN"/>
        </w:rPr>
        <w:t>在国家企业信用信息公示系统（http://www.gsxt.gov.cn/）</w:t>
      </w:r>
      <w:r>
        <w:rPr>
          <w:rFonts w:ascii="Times New Roman" w:hAnsi="Times New Roman"/>
          <w:color w:val="auto"/>
          <w:szCs w:val="21"/>
          <w:highlight w:val="none"/>
        </w:rPr>
        <w:t>中列入严重违法失信企业名单；</w:t>
      </w:r>
    </w:p>
    <w:p>
      <w:pPr>
        <w:wordWrap w:val="0"/>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（16）在</w:t>
      </w:r>
      <w:r>
        <w:rPr>
          <w:rFonts w:hint="eastAsia" w:ascii="宋体" w:hAnsi="宋体" w:eastAsia="宋体" w:cs="宋体"/>
          <w:color w:val="auto"/>
          <w:szCs w:val="21"/>
          <w:highlight w:val="none"/>
        </w:rPr>
        <w:t>“</w:t>
      </w:r>
      <w:r>
        <w:rPr>
          <w:rFonts w:ascii="Times New Roman" w:hAnsi="Times New Roman"/>
          <w:color w:val="auto"/>
          <w:szCs w:val="21"/>
          <w:highlight w:val="none"/>
        </w:rPr>
        <w:t>信用中国</w:t>
      </w:r>
      <w:r>
        <w:rPr>
          <w:rFonts w:hint="eastAsia" w:ascii="宋体" w:hAnsi="宋体" w:eastAsia="宋体" w:cs="宋体"/>
          <w:color w:val="auto"/>
          <w:szCs w:val="21"/>
          <w:highlight w:val="none"/>
        </w:rPr>
        <w:t>”</w:t>
      </w:r>
      <w:r>
        <w:rPr>
          <w:rFonts w:ascii="Times New Roman" w:hAnsi="Times New Roman"/>
          <w:color w:val="auto"/>
          <w:szCs w:val="21"/>
          <w:highlight w:val="none"/>
        </w:rPr>
        <w:t>网站（www.creditchina.gov.cn）</w:t>
      </w:r>
      <w:r>
        <w:rPr>
          <w:rFonts w:hint="default" w:ascii="Times New Roman" w:hAnsi="Times New Roman"/>
          <w:color w:val="auto"/>
          <w:szCs w:val="21"/>
          <w:highlight w:val="none"/>
        </w:rPr>
        <w:t>（或中国执行信息公开网 http://zxgk.court.gov.cn/shixin/）</w:t>
      </w:r>
      <w:r>
        <w:rPr>
          <w:rFonts w:ascii="Times New Roman" w:hAnsi="Times New Roman"/>
          <w:color w:val="auto"/>
          <w:szCs w:val="21"/>
          <w:highlight w:val="none"/>
        </w:rPr>
        <w:t>中列入失信被执行人名单；</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（17）</w:t>
      </w:r>
      <w:r>
        <w:rPr>
          <w:rFonts w:hint="default" w:ascii="Times New Roman" w:hAnsi="Times New Roman"/>
          <w:color w:val="auto"/>
          <w:szCs w:val="21"/>
          <w:highlight w:val="none"/>
          <w:lang w:eastAsia="zh-CN"/>
        </w:rPr>
        <w:t>投标人或其法定代表人、拟委任的项目</w:t>
      </w:r>
      <w:r>
        <w:rPr>
          <w:rFonts w:hint="default" w:ascii="Times New Roman" w:hAnsi="Times New Roman"/>
          <w:color w:val="auto"/>
          <w:szCs w:val="21"/>
          <w:highlight w:val="none"/>
          <w:lang w:val="en-US" w:eastAsia="zh-CN"/>
        </w:rPr>
        <w:t>负责人</w:t>
      </w:r>
      <w:r>
        <w:rPr>
          <w:rFonts w:hint="default" w:ascii="Times New Roman" w:hAnsi="Times New Roman"/>
          <w:color w:val="auto"/>
          <w:szCs w:val="21"/>
          <w:highlight w:val="none"/>
          <w:lang w:eastAsia="zh-CN"/>
        </w:rPr>
        <w:t>在近三年内有行贿犯罪行为的</w:t>
      </w:r>
      <w:r>
        <w:rPr>
          <w:rFonts w:ascii="Times New Roman" w:hAnsi="Times New Roman"/>
          <w:color w:val="auto"/>
          <w:szCs w:val="21"/>
          <w:highlight w:val="none"/>
        </w:rPr>
        <w:t>；</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（18）法律法规或投标人须知前附表规定的其他情形。</w:t>
      </w:r>
    </w:p>
    <w:p>
      <w:pPr>
        <w:pStyle w:val="4"/>
        <w:spacing w:line="240" w:lineRule="auto"/>
        <w:ind w:firstLine="137"/>
        <w:rPr>
          <w:rFonts w:ascii="Times New Roman" w:hAnsi="Times New Roman"/>
          <w:color w:val="auto"/>
          <w:highlight w:val="none"/>
        </w:rPr>
      </w:pPr>
      <w:bookmarkStart w:id="91" w:name="_Toc491883100"/>
      <w:bookmarkStart w:id="92" w:name="_Toc29517"/>
      <w:r>
        <w:rPr>
          <w:rFonts w:ascii="Times New Roman" w:hAnsi="Times New Roman"/>
          <w:color w:val="auto"/>
          <w:highlight w:val="none"/>
        </w:rPr>
        <w:t xml:space="preserve">1.5 </w:t>
      </w:r>
      <w:r>
        <w:rPr>
          <w:rFonts w:hint="default" w:ascii="Times New Roman" w:hAnsi="Times New Roman"/>
          <w:color w:val="auto"/>
          <w:highlight w:val="none"/>
        </w:rPr>
        <w:t>费用承担</w:t>
      </w:r>
      <w:bookmarkEnd w:id="91"/>
      <w:bookmarkEnd w:id="92"/>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投标人准备和参加投标活动发生的费用自理。</w:t>
      </w:r>
    </w:p>
    <w:p>
      <w:pPr>
        <w:pStyle w:val="4"/>
        <w:spacing w:line="240" w:lineRule="auto"/>
        <w:ind w:firstLine="137"/>
        <w:rPr>
          <w:rFonts w:ascii="Times New Roman" w:hAnsi="Times New Roman"/>
          <w:color w:val="auto"/>
          <w:highlight w:val="none"/>
        </w:rPr>
      </w:pPr>
      <w:bookmarkStart w:id="93" w:name="_Toc491883101"/>
      <w:bookmarkStart w:id="94" w:name="_Toc31924"/>
      <w:r>
        <w:rPr>
          <w:rFonts w:ascii="Times New Roman" w:hAnsi="Times New Roman"/>
          <w:color w:val="auto"/>
          <w:highlight w:val="none"/>
        </w:rPr>
        <w:t>1.6</w:t>
      </w:r>
      <w:r>
        <w:rPr>
          <w:rFonts w:hint="default" w:ascii="Times New Roman" w:hAnsi="Times New Roman"/>
          <w:color w:val="auto"/>
          <w:highlight w:val="none"/>
        </w:rPr>
        <w:t>保密</w:t>
      </w:r>
      <w:bookmarkEnd w:id="93"/>
      <w:bookmarkEnd w:id="94"/>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参与招标投标活动的各方应对招标文件和投标文件中的商业和技术等秘密保密，否则应承担相应的法律责任。</w:t>
      </w:r>
    </w:p>
    <w:p>
      <w:pPr>
        <w:pStyle w:val="4"/>
        <w:spacing w:line="240" w:lineRule="auto"/>
        <w:ind w:firstLine="137"/>
        <w:rPr>
          <w:rFonts w:ascii="Times New Roman" w:hAnsi="Times New Roman"/>
          <w:color w:val="auto"/>
          <w:highlight w:val="none"/>
        </w:rPr>
      </w:pPr>
      <w:bookmarkStart w:id="95" w:name="_Toc23354"/>
      <w:bookmarkStart w:id="96" w:name="_Toc491883102"/>
      <w:r>
        <w:rPr>
          <w:rFonts w:ascii="Times New Roman" w:hAnsi="Times New Roman"/>
          <w:color w:val="auto"/>
          <w:highlight w:val="none"/>
        </w:rPr>
        <w:t>1.7 语言文字</w:t>
      </w:r>
      <w:bookmarkEnd w:id="95"/>
      <w:bookmarkEnd w:id="96"/>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招标投标文件使用的语言文字为中文。专用术语使用外文的，应附有中文注释。</w:t>
      </w:r>
    </w:p>
    <w:p>
      <w:pPr>
        <w:pStyle w:val="4"/>
        <w:spacing w:line="240" w:lineRule="auto"/>
        <w:ind w:firstLine="137"/>
        <w:rPr>
          <w:rFonts w:ascii="Times New Roman" w:hAnsi="Times New Roman"/>
          <w:color w:val="auto"/>
          <w:highlight w:val="none"/>
        </w:rPr>
      </w:pPr>
      <w:bookmarkStart w:id="97" w:name="_Toc24877"/>
      <w:bookmarkStart w:id="98" w:name="_Toc491883103"/>
      <w:r>
        <w:rPr>
          <w:rFonts w:ascii="Times New Roman" w:hAnsi="Times New Roman"/>
          <w:color w:val="auto"/>
          <w:highlight w:val="none"/>
        </w:rPr>
        <w:t>1.8计量单位</w:t>
      </w:r>
      <w:bookmarkEnd w:id="97"/>
      <w:bookmarkEnd w:id="98"/>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所有计量均采用中华人民共和国法定计量单位。</w:t>
      </w:r>
    </w:p>
    <w:p>
      <w:pPr>
        <w:pStyle w:val="4"/>
        <w:spacing w:line="240" w:lineRule="auto"/>
        <w:ind w:firstLine="137"/>
        <w:rPr>
          <w:rFonts w:ascii="Times New Roman" w:hAnsi="Times New Roman"/>
          <w:color w:val="auto"/>
          <w:highlight w:val="none"/>
        </w:rPr>
      </w:pPr>
      <w:bookmarkStart w:id="99" w:name="_Toc491883104"/>
      <w:bookmarkStart w:id="100" w:name="_Toc485303284"/>
      <w:bookmarkStart w:id="101" w:name="_Toc30130"/>
      <w:r>
        <w:rPr>
          <w:rFonts w:ascii="Times New Roman" w:hAnsi="Times New Roman"/>
          <w:color w:val="auto"/>
          <w:highlight w:val="none"/>
        </w:rPr>
        <w:t>1.9投标预备会</w:t>
      </w:r>
      <w:bookmarkEnd w:id="99"/>
      <w:bookmarkEnd w:id="100"/>
      <w:bookmarkEnd w:id="101"/>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w:t>
      </w:r>
      <w:r>
        <w:rPr>
          <w:rFonts w:hint="default" w:ascii="Times New Roman" w:hAnsi="Times New Roman"/>
          <w:color w:val="auto"/>
          <w:highlight w:val="none"/>
        </w:rPr>
        <w:t>9</w:t>
      </w:r>
      <w:r>
        <w:rPr>
          <w:rFonts w:ascii="Times New Roman" w:hAnsi="Times New Roman"/>
          <w:color w:val="auto"/>
          <w:highlight w:val="none"/>
        </w:rPr>
        <w:t>.1 投标人须知前附表规定召开投标预备会的，招标人按投标人须知前附表规定的时间和地点召开投标预备会，澄清投标人提出的问题。</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w:t>
      </w:r>
      <w:r>
        <w:rPr>
          <w:rFonts w:hint="default" w:ascii="Times New Roman" w:hAnsi="Times New Roman"/>
          <w:color w:val="auto"/>
          <w:highlight w:val="none"/>
        </w:rPr>
        <w:t>9</w:t>
      </w:r>
      <w:r>
        <w:rPr>
          <w:rFonts w:ascii="Times New Roman" w:hAnsi="Times New Roman"/>
          <w:color w:val="auto"/>
          <w:highlight w:val="none"/>
        </w:rPr>
        <w:t>.2 投标人应按投标人须知前附表规定的时间和形式将提出的问题送达招标人，以便招标人在会议期间澄清。</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w:t>
      </w:r>
      <w:r>
        <w:rPr>
          <w:rFonts w:hint="default" w:ascii="Times New Roman" w:hAnsi="Times New Roman"/>
          <w:color w:val="auto"/>
          <w:highlight w:val="none"/>
        </w:rPr>
        <w:t>9</w:t>
      </w:r>
      <w:r>
        <w:rPr>
          <w:rFonts w:ascii="Times New Roman" w:hAnsi="Times New Roman"/>
          <w:color w:val="auto"/>
          <w:highlight w:val="none"/>
        </w:rPr>
        <w:t>.3 投标预备会后，招标人将对投标人所提问题的澄清，以投标人须知前附表规定的形式通知所有购买招标文件的投标人。该澄清内容为招标文件的组成部分。</w:t>
      </w:r>
    </w:p>
    <w:p>
      <w:pPr>
        <w:pStyle w:val="4"/>
        <w:spacing w:line="240" w:lineRule="auto"/>
        <w:ind w:firstLine="137"/>
        <w:rPr>
          <w:rFonts w:ascii="Times New Roman" w:hAnsi="Times New Roman"/>
          <w:color w:val="auto"/>
          <w:highlight w:val="none"/>
        </w:rPr>
      </w:pPr>
      <w:bookmarkStart w:id="102" w:name="_Toc25657"/>
      <w:bookmarkStart w:id="103" w:name="_Toc491883105"/>
      <w:r>
        <w:rPr>
          <w:rFonts w:ascii="Times New Roman" w:hAnsi="Times New Roman"/>
          <w:color w:val="auto"/>
          <w:highlight w:val="none"/>
        </w:rPr>
        <w:t>1.10 分包</w:t>
      </w:r>
      <w:bookmarkEnd w:id="102"/>
      <w:bookmarkEnd w:id="103"/>
    </w:p>
    <w:p>
      <w:pPr>
        <w:spacing w:line="400" w:lineRule="exact"/>
        <w:ind w:firstLine="480" w:firstLineChars="200"/>
        <w:rPr>
          <w:rFonts w:ascii="Times New Roman" w:hAnsi="Times New Roman"/>
          <w:color w:val="auto"/>
          <w:szCs w:val="20"/>
          <w:highlight w:val="none"/>
        </w:rPr>
      </w:pPr>
      <w:r>
        <w:rPr>
          <w:rFonts w:ascii="Times New Roman" w:hAnsi="Times New Roman"/>
          <w:color w:val="auto"/>
          <w:highlight w:val="none"/>
        </w:rPr>
        <w:t>1.10.1 投标人拟在中标后将中标项目的非主体设备</w:t>
      </w:r>
      <w:r>
        <w:rPr>
          <w:rFonts w:hint="default" w:ascii="Times New Roman" w:hAnsi="Times New Roman"/>
          <w:color w:val="auto"/>
          <w:highlight w:val="none"/>
          <w:lang w:val="en-US" w:eastAsia="zh-CN"/>
        </w:rPr>
        <w:t>材料</w:t>
      </w:r>
      <w:r>
        <w:rPr>
          <w:rFonts w:ascii="Times New Roman" w:hAnsi="Times New Roman"/>
          <w:color w:val="auto"/>
          <w:highlight w:val="none"/>
        </w:rPr>
        <w:t>进行分包的，应符合投标人须知前附表规定的分包内容、分包金额和资质要求等限制性条件，除投标人须知前附表规定的非主体设备</w:t>
      </w:r>
      <w:r>
        <w:rPr>
          <w:rFonts w:hint="default" w:ascii="Times New Roman" w:hAnsi="Times New Roman"/>
          <w:color w:val="auto"/>
          <w:highlight w:val="none"/>
          <w:lang w:val="en-US" w:eastAsia="zh-CN"/>
        </w:rPr>
        <w:t>材料</w:t>
      </w:r>
      <w:r>
        <w:rPr>
          <w:rFonts w:ascii="Times New Roman" w:hAnsi="Times New Roman"/>
          <w:color w:val="auto"/>
          <w:highlight w:val="none"/>
        </w:rPr>
        <w:t xml:space="preserve">外，其他工作不得分包。 </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1.10.2中标人不得向他人转让中标项目，接受分包的人不得再次分包。中标人应当就分包项目向招标人负责，接受分包的人就分包项目承担连带责任。</w:t>
      </w:r>
    </w:p>
    <w:p>
      <w:pPr>
        <w:pStyle w:val="4"/>
        <w:spacing w:line="240" w:lineRule="auto"/>
        <w:ind w:firstLine="137"/>
        <w:rPr>
          <w:rFonts w:ascii="Times New Roman" w:hAnsi="Times New Roman"/>
          <w:color w:val="auto"/>
          <w:highlight w:val="none"/>
        </w:rPr>
      </w:pPr>
      <w:bookmarkStart w:id="104" w:name="_Toc30418"/>
      <w:bookmarkStart w:id="105" w:name="_Toc491883106"/>
      <w:r>
        <w:rPr>
          <w:rFonts w:ascii="Times New Roman" w:hAnsi="Times New Roman"/>
          <w:color w:val="auto"/>
          <w:highlight w:val="none"/>
        </w:rPr>
        <w:t>1.11响应和偏差</w:t>
      </w:r>
      <w:bookmarkEnd w:id="104"/>
      <w:bookmarkEnd w:id="105"/>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1.11.1投标文件应当对招标文件的实质性要求和条件作出满足性或更有利于招标人的响应，否则，投标人的投标将被否决。实质性要求和条件见投标人须知前附表。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 xml:space="preserve">1.11.2 </w:t>
      </w:r>
      <w:r>
        <w:rPr>
          <w:rFonts w:ascii="Times New Roman" w:hAnsi="Times New Roman"/>
          <w:color w:val="auto"/>
          <w:szCs w:val="21"/>
          <w:highlight w:val="none"/>
        </w:rPr>
        <w:t>投标人应根据招标文件的要求提供</w:t>
      </w:r>
      <w:r>
        <w:rPr>
          <w:rFonts w:ascii="Times New Roman" w:hAnsi="Times New Roman"/>
          <w:color w:val="auto"/>
          <w:highlight w:val="none"/>
        </w:rPr>
        <w:t>投标设备</w:t>
      </w:r>
      <w:r>
        <w:rPr>
          <w:rFonts w:hint="default" w:ascii="Times New Roman" w:hAnsi="Times New Roman"/>
          <w:color w:val="auto"/>
          <w:highlight w:val="none"/>
        </w:rPr>
        <w:t>技术性能指标</w:t>
      </w:r>
      <w:r>
        <w:rPr>
          <w:rFonts w:hint="default" w:ascii="Times New Roman" w:hAnsi="Times New Roman"/>
          <w:color w:val="auto"/>
          <w:highlight w:val="none"/>
          <w:lang w:val="en-US" w:eastAsia="zh-CN"/>
        </w:rPr>
        <w:t>/材料质量标准</w:t>
      </w:r>
      <w:r>
        <w:rPr>
          <w:rFonts w:ascii="Times New Roman" w:hAnsi="Times New Roman"/>
          <w:color w:val="auto"/>
          <w:highlight w:val="none"/>
        </w:rPr>
        <w:t>的详细描述、技术支持资料及</w:t>
      </w:r>
      <w:r>
        <w:rPr>
          <w:rFonts w:hint="default" w:ascii="Times New Roman" w:hAnsi="Times New Roman"/>
          <w:color w:val="auto"/>
          <w:highlight w:val="none"/>
        </w:rPr>
        <w:t>技术服务和质保期服务</w:t>
      </w:r>
      <w:r>
        <w:rPr>
          <w:rFonts w:hint="default" w:ascii="Times New Roman" w:hAnsi="Times New Roman"/>
          <w:color w:val="auto"/>
          <w:highlight w:val="none"/>
          <w:lang w:val="en-US" w:eastAsia="zh-CN"/>
        </w:rPr>
        <w:t>/相关服务</w:t>
      </w:r>
      <w:r>
        <w:rPr>
          <w:rFonts w:hint="default" w:ascii="Times New Roman" w:hAnsi="Times New Roman"/>
          <w:color w:val="auto"/>
          <w:highlight w:val="none"/>
        </w:rPr>
        <w:t>计划等内容以对招标文件作出</w:t>
      </w:r>
      <w:r>
        <w:rPr>
          <w:rFonts w:ascii="Times New Roman" w:hAnsi="Times New Roman"/>
          <w:color w:val="auto"/>
          <w:highlight w:val="none"/>
        </w:rPr>
        <w:t>响应。</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1.11.3 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1.11.4 投标人须知前附表规定了可以偏差的范围和最高偏差项数的，偏差应当符合投标人须知前附表规定的偏差范围和最高项数，超出偏差范围和最高偏差项数的投标将被否决。</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1.11.5 投标文件对招标文件的全部偏差，均应在投标文件的</w:t>
      </w:r>
      <w:r>
        <w:rPr>
          <w:rFonts w:ascii="Times New Roman" w:hAnsi="Times New Roman"/>
          <w:color w:val="auto"/>
          <w:szCs w:val="21"/>
          <w:highlight w:val="none"/>
        </w:rPr>
        <w:t>商务和技术偏差表</w:t>
      </w:r>
      <w:r>
        <w:rPr>
          <w:rFonts w:ascii="Times New Roman" w:hAnsi="Times New Roman"/>
          <w:color w:val="auto"/>
          <w:highlight w:val="none"/>
        </w:rPr>
        <w:t>中列明，除</w:t>
      </w:r>
      <w:r>
        <w:rPr>
          <w:rFonts w:ascii="Times New Roman" w:hAnsi="Times New Roman"/>
          <w:color w:val="auto"/>
          <w:szCs w:val="21"/>
          <w:highlight w:val="none"/>
        </w:rPr>
        <w:t>列明的内容外，视为投标人响应招标文件的全部要求。</w:t>
      </w:r>
    </w:p>
    <w:p>
      <w:pPr>
        <w:pStyle w:val="3"/>
        <w:rPr>
          <w:rFonts w:ascii="Times New Roman" w:hAnsi="Times New Roman"/>
          <w:b w:val="0"/>
          <w:bCs/>
          <w:color w:val="auto"/>
          <w:highlight w:val="none"/>
        </w:rPr>
      </w:pPr>
      <w:bookmarkStart w:id="106" w:name="_Toc491883107"/>
      <w:bookmarkStart w:id="107" w:name="_Toc15659"/>
      <w:r>
        <w:rPr>
          <w:rFonts w:ascii="Times New Roman" w:hAnsi="Times New Roman"/>
          <w:b w:val="0"/>
          <w:bCs/>
          <w:color w:val="auto"/>
          <w:highlight w:val="none"/>
        </w:rPr>
        <w:t>2. 招标文件</w:t>
      </w:r>
      <w:bookmarkEnd w:id="106"/>
      <w:bookmarkEnd w:id="107"/>
    </w:p>
    <w:p>
      <w:pPr>
        <w:pStyle w:val="4"/>
        <w:spacing w:line="240" w:lineRule="auto"/>
        <w:ind w:firstLine="137"/>
        <w:rPr>
          <w:rFonts w:ascii="Times New Roman" w:hAnsi="Times New Roman"/>
          <w:color w:val="auto"/>
          <w:highlight w:val="none"/>
        </w:rPr>
      </w:pPr>
      <w:bookmarkStart w:id="108" w:name="_Toc26019"/>
      <w:bookmarkStart w:id="109" w:name="_Toc491883108"/>
      <w:r>
        <w:rPr>
          <w:rFonts w:ascii="Times New Roman" w:hAnsi="Times New Roman"/>
          <w:color w:val="auto"/>
          <w:highlight w:val="none"/>
        </w:rPr>
        <w:t>2.1 招标文件的组成</w:t>
      </w:r>
      <w:bookmarkEnd w:id="108"/>
      <w:bookmarkEnd w:id="109"/>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本招标文件包括：</w:t>
      </w:r>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（1）招标公告；</w:t>
      </w:r>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（2）投标人须知；</w:t>
      </w:r>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（3）评标办法；</w:t>
      </w:r>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（4）合同条款及格式；</w:t>
      </w:r>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（5）供货要求；</w:t>
      </w:r>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（6）投标文件格式；</w:t>
      </w:r>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（7）投标人须知前附表规定的其他资料。</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根据本章第1.9款、第2.2款和第2.3款对招标文件所作的澄清、修改，构成招标文件的组成部分。</w:t>
      </w:r>
    </w:p>
    <w:p>
      <w:pPr>
        <w:pStyle w:val="4"/>
        <w:spacing w:line="240" w:lineRule="auto"/>
        <w:ind w:firstLine="137"/>
        <w:rPr>
          <w:rFonts w:ascii="Times New Roman" w:hAnsi="Times New Roman"/>
          <w:color w:val="auto"/>
          <w:highlight w:val="none"/>
        </w:rPr>
      </w:pPr>
      <w:bookmarkStart w:id="110" w:name="_Toc485303289"/>
      <w:bookmarkStart w:id="111" w:name="_Toc22501"/>
      <w:bookmarkStart w:id="112" w:name="_Toc491883109"/>
      <w:r>
        <w:rPr>
          <w:rFonts w:ascii="Times New Roman" w:hAnsi="Times New Roman"/>
          <w:color w:val="auto"/>
          <w:highlight w:val="none"/>
        </w:rPr>
        <w:t>2.2 招标文件的澄清</w:t>
      </w:r>
      <w:bookmarkEnd w:id="110"/>
      <w:bookmarkEnd w:id="111"/>
      <w:bookmarkEnd w:id="112"/>
    </w:p>
    <w:p>
      <w:pPr>
        <w:spacing w:line="400" w:lineRule="exact"/>
        <w:ind w:firstLine="480" w:firstLineChars="200"/>
        <w:rPr>
          <w:rFonts w:ascii="Times New Roman" w:hAnsi="Times New Roman"/>
          <w:color w:val="auto"/>
          <w:highlight w:val="none"/>
        </w:rPr>
      </w:pPr>
      <w:bookmarkStart w:id="113" w:name="_Toc485303290"/>
      <w:r>
        <w:rPr>
          <w:rFonts w:ascii="Times New Roman" w:hAnsi="Times New Roman"/>
          <w:color w:val="auto"/>
          <w:highlight w:val="none"/>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2.2.2招标文件的澄清以投标人须知前附表规定的形式发给所有购买招标文件的投标人，但不指明澄清问题的来源。澄清发出的时间距本章第4.2.1项规定的投标截止时间不足15日的，并且澄清内容可能影响投标文件编制的，将相应延长投标截止时间。</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2.2.3 投标人在收到澄清后，应按投标人须知前附表规定的时间和形式通知招标人，确认已收到该澄清。</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2.2.4 除非招标人认为确有必要答复，否则，招标人有权拒绝回复投标人在</w:t>
      </w:r>
      <w:r>
        <w:rPr>
          <w:rFonts w:hint="default" w:ascii="Times New Roman" w:hAnsi="Times New Roman"/>
          <w:color w:val="auto"/>
          <w:highlight w:val="none"/>
        </w:rPr>
        <w:t>本章第2.2.1项</w:t>
      </w:r>
      <w:r>
        <w:rPr>
          <w:rFonts w:ascii="Times New Roman" w:hAnsi="Times New Roman"/>
          <w:color w:val="auto"/>
          <w:highlight w:val="none"/>
        </w:rPr>
        <w:t>规定的时间后的任何澄清要求。</w:t>
      </w:r>
    </w:p>
    <w:p>
      <w:pPr>
        <w:pStyle w:val="4"/>
        <w:spacing w:line="240" w:lineRule="auto"/>
        <w:ind w:firstLine="137"/>
        <w:rPr>
          <w:rFonts w:ascii="Times New Roman" w:hAnsi="Times New Roman"/>
          <w:color w:val="auto"/>
          <w:highlight w:val="none"/>
        </w:rPr>
      </w:pPr>
      <w:bookmarkStart w:id="114" w:name="_Toc491883110"/>
      <w:bookmarkStart w:id="115" w:name="_Toc25488"/>
      <w:r>
        <w:rPr>
          <w:rFonts w:ascii="Times New Roman" w:hAnsi="Times New Roman"/>
          <w:color w:val="auto"/>
          <w:highlight w:val="none"/>
        </w:rPr>
        <w:t>2.3 招标文件的修改</w:t>
      </w:r>
      <w:bookmarkEnd w:id="113"/>
      <w:bookmarkEnd w:id="114"/>
      <w:bookmarkEnd w:id="115"/>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2.3.1招标人以投标人须知前附表规定的形式修改招标文件。修改招标文件的时间距本章第4.2.1项规定的投标截止时间不足15日的，并且修改内容可能影响投标文件编制的，将相应延长投标截止时间。</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2.3.2 投标人收到修改内容</w:t>
      </w:r>
      <w:bookmarkStart w:id="116" w:name="_Toc144974506"/>
      <w:bookmarkStart w:id="117" w:name="_Toc24632"/>
      <w:bookmarkStart w:id="118" w:name="_Toc247513961"/>
      <w:bookmarkStart w:id="119" w:name="_Toc384308218"/>
      <w:bookmarkStart w:id="120" w:name="_Toc300834958"/>
      <w:bookmarkStart w:id="121" w:name="_Toc369531524"/>
      <w:bookmarkStart w:id="122" w:name="_Toc352691482"/>
      <w:bookmarkStart w:id="123" w:name="_Toc152045538"/>
      <w:bookmarkStart w:id="124" w:name="_Toc152042314"/>
      <w:bookmarkStart w:id="125" w:name="_Toc361508593"/>
      <w:bookmarkStart w:id="126" w:name="_Toc247527562"/>
      <w:r>
        <w:rPr>
          <w:rFonts w:ascii="Times New Roman" w:hAnsi="Times New Roman"/>
          <w:color w:val="auto"/>
          <w:highlight w:val="none"/>
        </w:rPr>
        <w:t>后，</w:t>
      </w:r>
      <w:bookmarkEnd w:id="116"/>
      <w:bookmarkEnd w:id="117"/>
      <w:bookmarkEnd w:id="118"/>
      <w:bookmarkEnd w:id="119"/>
      <w:bookmarkEnd w:id="120"/>
      <w:bookmarkEnd w:id="121"/>
      <w:bookmarkEnd w:id="122"/>
      <w:bookmarkEnd w:id="123"/>
      <w:bookmarkEnd w:id="124"/>
      <w:bookmarkEnd w:id="125"/>
      <w:bookmarkEnd w:id="126"/>
      <w:r>
        <w:rPr>
          <w:rFonts w:ascii="Times New Roman" w:hAnsi="Times New Roman"/>
          <w:color w:val="auto"/>
          <w:highlight w:val="none"/>
        </w:rPr>
        <w:t>应按投标人须知前附表规定的时间和形式通知招标人，确认已收到该修改。</w:t>
      </w:r>
    </w:p>
    <w:p>
      <w:pPr>
        <w:pStyle w:val="4"/>
        <w:spacing w:line="240" w:lineRule="auto"/>
        <w:ind w:firstLine="137"/>
        <w:rPr>
          <w:rFonts w:ascii="Times New Roman" w:hAnsi="Times New Roman"/>
          <w:color w:val="auto"/>
          <w:highlight w:val="none"/>
        </w:rPr>
      </w:pPr>
      <w:bookmarkStart w:id="127" w:name="_Toc26862"/>
      <w:bookmarkStart w:id="128" w:name="_Toc491883111"/>
      <w:r>
        <w:rPr>
          <w:rFonts w:ascii="Times New Roman" w:hAnsi="Times New Roman"/>
          <w:color w:val="auto"/>
          <w:highlight w:val="none"/>
        </w:rPr>
        <w:t>2.4 招标文件的异议</w:t>
      </w:r>
      <w:bookmarkEnd w:id="127"/>
      <w:bookmarkEnd w:id="128"/>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投标人或者其他利害关系人对招标文件有异议的，应当在投标截止时间10日前以书面形式提出。招标人将在收到异议之日起3日内作出答复；作出答复前，将暂停招标投标活动。</w:t>
      </w:r>
    </w:p>
    <w:p>
      <w:pPr>
        <w:pStyle w:val="3"/>
        <w:rPr>
          <w:rFonts w:ascii="Times New Roman" w:hAnsi="Times New Roman"/>
          <w:b w:val="0"/>
          <w:bCs/>
          <w:color w:val="auto"/>
          <w:sz w:val="30"/>
          <w:szCs w:val="30"/>
          <w:highlight w:val="none"/>
        </w:rPr>
      </w:pPr>
      <w:bookmarkStart w:id="129" w:name="_Toc12454"/>
      <w:bookmarkStart w:id="130" w:name="_Toc491883112"/>
      <w:r>
        <w:rPr>
          <w:rFonts w:ascii="Times New Roman" w:hAnsi="Times New Roman"/>
          <w:b w:val="0"/>
          <w:bCs/>
          <w:color w:val="auto"/>
          <w:sz w:val="30"/>
          <w:szCs w:val="30"/>
          <w:highlight w:val="none"/>
        </w:rPr>
        <w:t>3. 投标文件</w:t>
      </w:r>
      <w:bookmarkEnd w:id="129"/>
      <w:bookmarkEnd w:id="130"/>
    </w:p>
    <w:p>
      <w:pPr>
        <w:pStyle w:val="4"/>
        <w:spacing w:line="240" w:lineRule="auto"/>
        <w:ind w:firstLine="137"/>
        <w:rPr>
          <w:rFonts w:ascii="Times New Roman" w:hAnsi="Times New Roman"/>
          <w:color w:val="auto"/>
          <w:highlight w:val="none"/>
        </w:rPr>
      </w:pPr>
      <w:bookmarkStart w:id="131" w:name="_Toc491883113"/>
      <w:bookmarkStart w:id="132" w:name="_Toc7993"/>
      <w:r>
        <w:rPr>
          <w:rFonts w:ascii="Times New Roman" w:hAnsi="Times New Roman"/>
          <w:color w:val="auto"/>
          <w:highlight w:val="none"/>
        </w:rPr>
        <w:t>3.1 投标文件的组成</w:t>
      </w:r>
      <w:bookmarkEnd w:id="131"/>
      <w:bookmarkEnd w:id="132"/>
    </w:p>
    <w:p>
      <w:pPr>
        <w:spacing w:line="400" w:lineRule="exact"/>
        <w:rPr>
          <w:rFonts w:ascii="Times New Roman" w:hAnsi="Times New Roman"/>
          <w:color w:val="auto"/>
          <w:highlight w:val="none"/>
        </w:rPr>
      </w:pPr>
      <w:r>
        <w:rPr>
          <w:rFonts w:ascii="Times New Roman" w:hAnsi="Times New Roman"/>
          <w:color w:val="auto"/>
          <w:highlight w:val="none"/>
        </w:rPr>
        <w:t xml:space="preserve">3.1.1 </w:t>
      </w:r>
      <w:r>
        <w:rPr>
          <w:rFonts w:hint="default" w:ascii="Times New Roman" w:hAnsi="Times New Roman"/>
          <w:color w:val="auto"/>
          <w:highlight w:val="none"/>
        </w:rPr>
        <w:t>投标文件应采用双信封形式，包括下列内容</w:t>
      </w:r>
      <w:r>
        <w:rPr>
          <w:rFonts w:ascii="Times New Roman" w:hAnsi="Times New Roman"/>
          <w:color w:val="auto"/>
          <w:highlight w:val="none"/>
        </w:rPr>
        <w:t>：</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第一个信封（商务及技术文件）：</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（1）投标函；</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（2）法定代表人（单位负责人）身份证明或授权委托书；</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（3）联合体协议书</w:t>
      </w:r>
      <w:r>
        <w:rPr>
          <w:rFonts w:hint="default" w:ascii="Times New Roman" w:hAnsi="Times New Roman"/>
          <w:color w:val="auto"/>
          <w:highlight w:val="none"/>
        </w:rPr>
        <w:t>（如有）</w:t>
      </w:r>
      <w:r>
        <w:rPr>
          <w:rFonts w:ascii="Times New Roman" w:hAnsi="Times New Roman"/>
          <w:color w:val="auto"/>
          <w:highlight w:val="none"/>
        </w:rPr>
        <w:t>；</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（4）投标保证金</w:t>
      </w:r>
      <w:r>
        <w:rPr>
          <w:rFonts w:hint="default" w:ascii="Times New Roman" w:hAnsi="Times New Roman"/>
          <w:color w:val="auto"/>
          <w:highlight w:val="none"/>
        </w:rPr>
        <w:t>（如有）</w:t>
      </w:r>
      <w:r>
        <w:rPr>
          <w:rFonts w:ascii="Times New Roman" w:hAnsi="Times New Roman"/>
          <w:color w:val="auto"/>
          <w:highlight w:val="none"/>
        </w:rPr>
        <w:t>；</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（5）商务和技术偏差表；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lang w:val="en-US" w:eastAsia="zh-CN"/>
        </w:rPr>
        <w:t>6</w:t>
      </w:r>
      <w:r>
        <w:rPr>
          <w:rFonts w:ascii="Times New Roman" w:hAnsi="Times New Roman"/>
          <w:color w:val="auto"/>
          <w:highlight w:val="none"/>
        </w:rPr>
        <w:t>）资格审查资料；</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lang w:val="en-US" w:eastAsia="zh-CN"/>
        </w:rPr>
        <w:t>7</w:t>
      </w:r>
      <w:r>
        <w:rPr>
          <w:rFonts w:ascii="Times New Roman" w:hAnsi="Times New Roman"/>
          <w:color w:val="auto"/>
          <w:highlight w:val="none"/>
        </w:rPr>
        <w:t>）投标设备技术性能指标</w:t>
      </w:r>
      <w:r>
        <w:rPr>
          <w:rFonts w:hint="default" w:ascii="Times New Roman" w:hAnsi="Times New Roman"/>
          <w:color w:val="auto"/>
          <w:highlight w:val="none"/>
          <w:lang w:val="en-US" w:eastAsia="zh-CN"/>
        </w:rPr>
        <w:t>/材料质量标准</w:t>
      </w:r>
      <w:r>
        <w:rPr>
          <w:rFonts w:ascii="Times New Roman" w:hAnsi="Times New Roman"/>
          <w:color w:val="auto"/>
          <w:highlight w:val="none"/>
        </w:rPr>
        <w:t>的详细描述；</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lang w:val="en-US" w:eastAsia="zh-CN"/>
        </w:rPr>
        <w:t>8</w:t>
      </w:r>
      <w:r>
        <w:rPr>
          <w:rFonts w:ascii="Times New Roman" w:hAnsi="Times New Roman"/>
          <w:color w:val="auto"/>
          <w:highlight w:val="none"/>
        </w:rPr>
        <w:t>）技术支持资料；</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lang w:val="en-US" w:eastAsia="zh-CN"/>
        </w:rPr>
        <w:t>9</w:t>
      </w:r>
      <w:r>
        <w:rPr>
          <w:rFonts w:ascii="Times New Roman" w:hAnsi="Times New Roman"/>
          <w:color w:val="auto"/>
          <w:highlight w:val="none"/>
        </w:rPr>
        <w:t>）技术服务和质保期服务</w:t>
      </w:r>
      <w:r>
        <w:rPr>
          <w:rFonts w:hint="default" w:ascii="Times New Roman" w:hAnsi="Times New Roman"/>
          <w:color w:val="auto"/>
          <w:highlight w:val="none"/>
          <w:lang w:val="en-US" w:eastAsia="zh-CN"/>
        </w:rPr>
        <w:t>计划/相关服务</w:t>
      </w:r>
      <w:r>
        <w:rPr>
          <w:rFonts w:ascii="Times New Roman" w:hAnsi="Times New Roman"/>
          <w:color w:val="auto"/>
          <w:highlight w:val="none"/>
        </w:rPr>
        <w:t>计划；</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w:t>
      </w:r>
      <w:r>
        <w:rPr>
          <w:rFonts w:hint="default" w:ascii="Times New Roman" w:hAnsi="Times New Roman"/>
          <w:color w:val="auto"/>
          <w:highlight w:val="none"/>
          <w:lang w:val="en-US" w:eastAsia="zh-CN"/>
        </w:rPr>
        <w:t>0</w:t>
      </w:r>
      <w:r>
        <w:rPr>
          <w:rFonts w:ascii="Times New Roman" w:hAnsi="Times New Roman"/>
          <w:color w:val="auto"/>
          <w:highlight w:val="none"/>
        </w:rPr>
        <w:t>）投标人须知前附表规定的其他资料。</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第二个信封（报价文件）：</w:t>
      </w:r>
    </w:p>
    <w:p>
      <w:pPr>
        <w:numPr>
          <w:ilvl w:val="0"/>
          <w:numId w:val="1"/>
        </w:num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投标函；</w:t>
      </w:r>
    </w:p>
    <w:p>
      <w:pPr>
        <w:numPr>
          <w:ilvl w:val="0"/>
          <w:numId w:val="1"/>
        </w:num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分项报价表</w:t>
      </w:r>
      <w:r>
        <w:rPr>
          <w:rFonts w:hint="default" w:ascii="Times New Roman" w:hAnsi="Times New Roman"/>
          <w:color w:val="auto"/>
          <w:highlight w:val="none"/>
          <w:lang w:eastAsia="zh-CN"/>
        </w:rPr>
        <w:t>。</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投标人在评标过程中作出的符合法律法规和招标文件规定的澄清确认，构成投标文件的组成部分。</w:t>
      </w:r>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3.1.2 投标人须知前附表规定不接受联合体投标的，或投标人没有组成联合体的，投标文件不包括本章第3.1.1（3）目所指的联合体协议书。</w:t>
      </w:r>
    </w:p>
    <w:p>
      <w:pPr>
        <w:spacing w:line="400" w:lineRule="exact"/>
        <w:ind w:firstLine="410" w:firstLineChars="171"/>
        <w:rPr>
          <w:rFonts w:ascii="Times New Roman" w:hAnsi="Times New Roman"/>
          <w:color w:val="auto"/>
          <w:highlight w:val="none"/>
        </w:rPr>
      </w:pPr>
      <w:r>
        <w:rPr>
          <w:rFonts w:ascii="Times New Roman" w:hAnsi="Times New Roman"/>
          <w:color w:val="auto"/>
          <w:highlight w:val="none"/>
        </w:rPr>
        <w:t>3.1.3 投标人须知前附表未要求提交投标保证金的，投标文件不包括本章第3.1.1（4）目所指的投标保证金。</w:t>
      </w:r>
    </w:p>
    <w:p>
      <w:pPr>
        <w:pStyle w:val="4"/>
        <w:spacing w:line="240" w:lineRule="auto"/>
        <w:ind w:firstLine="137"/>
        <w:rPr>
          <w:rFonts w:ascii="Times New Roman" w:hAnsi="Times New Roman"/>
          <w:color w:val="auto"/>
          <w:highlight w:val="none"/>
        </w:rPr>
      </w:pPr>
      <w:bookmarkStart w:id="133" w:name="_Toc23230"/>
      <w:bookmarkStart w:id="134" w:name="_Toc491883114"/>
      <w:r>
        <w:rPr>
          <w:rFonts w:ascii="Times New Roman" w:hAnsi="Times New Roman"/>
          <w:color w:val="auto"/>
          <w:highlight w:val="none"/>
        </w:rPr>
        <w:t>3.2 投标报价</w:t>
      </w:r>
      <w:bookmarkEnd w:id="133"/>
      <w:bookmarkEnd w:id="134"/>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3.2.1</w:t>
      </w:r>
      <w:r>
        <w:rPr>
          <w:rFonts w:hint="default" w:ascii="Times New Roman" w:hAnsi="Times New Roman"/>
          <w:color w:val="auto"/>
          <w:highlight w:val="none"/>
        </w:rPr>
        <w:t xml:space="preserve"> </w:t>
      </w:r>
      <w:r>
        <w:rPr>
          <w:rFonts w:ascii="Times New Roman" w:hAnsi="Times New Roman"/>
          <w:color w:val="auto"/>
          <w:highlight w:val="none"/>
        </w:rPr>
        <w:t>投标报价应包括国家规定的增值税税金，除投标人须知前附表另有规定外，增值税税金按一般计税方法计算。投标人应按第六章</w:t>
      </w:r>
      <w:r>
        <w:rPr>
          <w:rFonts w:hint="eastAsia" w:ascii="宋体" w:hAnsi="宋体" w:eastAsia="宋体" w:cs="宋体"/>
          <w:color w:val="auto"/>
          <w:highlight w:val="none"/>
        </w:rPr>
        <w:t>“</w:t>
      </w:r>
      <w:r>
        <w:rPr>
          <w:rFonts w:ascii="Times New Roman" w:hAnsi="Times New Roman"/>
          <w:color w:val="auto"/>
          <w:highlight w:val="none"/>
        </w:rPr>
        <w:t>投标文件格式</w:t>
      </w:r>
      <w:r>
        <w:rPr>
          <w:rFonts w:hint="eastAsia" w:ascii="宋体" w:hAnsi="宋体" w:eastAsia="宋体" w:cs="宋体"/>
          <w:color w:val="auto"/>
          <w:highlight w:val="none"/>
        </w:rPr>
        <w:t>”</w:t>
      </w:r>
      <w:r>
        <w:rPr>
          <w:rFonts w:ascii="Times New Roman" w:hAnsi="Times New Roman"/>
          <w:color w:val="auto"/>
          <w:highlight w:val="none"/>
        </w:rPr>
        <w:t>的要求在投标函中进行报价并填写分项报价表。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3.2.2 投标人应充分了解该项目的总体情况以及影响投标报价的其他要素。</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3.2.3</w:t>
      </w:r>
      <w:r>
        <w:rPr>
          <w:rFonts w:hint="default" w:ascii="Times New Roman" w:hAnsi="Times New Roman"/>
          <w:color w:val="auto"/>
          <w:highlight w:val="none"/>
        </w:rPr>
        <w:t xml:space="preserve"> </w:t>
      </w:r>
      <w:r>
        <w:rPr>
          <w:rFonts w:ascii="Times New Roman" w:hAnsi="Times New Roman"/>
          <w:color w:val="auto"/>
          <w:highlight w:val="none"/>
        </w:rPr>
        <w:t>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w:t>
      </w:r>
      <w:r>
        <w:rPr>
          <w:rFonts w:hint="eastAsia" w:ascii="宋体" w:hAnsi="宋体" w:eastAsia="宋体" w:cs="宋体"/>
          <w:color w:val="auto"/>
          <w:highlight w:val="none"/>
        </w:rPr>
        <w:t>“</w:t>
      </w:r>
      <w:r>
        <w:rPr>
          <w:rFonts w:ascii="Times New Roman" w:hAnsi="Times New Roman"/>
          <w:color w:val="auto"/>
          <w:highlight w:val="none"/>
        </w:rPr>
        <w:t>分项报价表</w:t>
      </w:r>
      <w:r>
        <w:rPr>
          <w:rFonts w:hint="eastAsia" w:ascii="宋体" w:hAnsi="宋体" w:eastAsia="宋体" w:cs="宋体"/>
          <w:color w:val="auto"/>
          <w:highlight w:val="none"/>
        </w:rPr>
        <w:t>”</w:t>
      </w:r>
      <w:r>
        <w:rPr>
          <w:rFonts w:ascii="Times New Roman" w:hAnsi="Times New Roman"/>
          <w:color w:val="auto"/>
          <w:highlight w:val="none"/>
        </w:rPr>
        <w:t>中的相应报价。此修改须符合本章第4.3款的有关要求。</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3.2.4</w:t>
      </w:r>
      <w:r>
        <w:rPr>
          <w:rFonts w:hint="default" w:ascii="Times New Roman" w:hAnsi="Times New Roman"/>
          <w:color w:val="auto"/>
          <w:highlight w:val="none"/>
        </w:rPr>
        <w:t xml:space="preserve"> </w:t>
      </w:r>
      <w:r>
        <w:rPr>
          <w:rFonts w:ascii="Times New Roman" w:hAnsi="Times New Roman"/>
          <w:color w:val="auto"/>
          <w:highlight w:val="none"/>
        </w:rPr>
        <w:t>招标人设有最高投标限价的，投标人的投标报价不得超过最高投标限价，最高投标限价在投标人须知前附表中载明。</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3.2.</w:t>
      </w:r>
      <w:r>
        <w:rPr>
          <w:rFonts w:hint="default" w:ascii="Times New Roman" w:hAnsi="Times New Roman"/>
          <w:color w:val="auto"/>
          <w:highlight w:val="none"/>
        </w:rPr>
        <w:t>5</w:t>
      </w:r>
      <w:r>
        <w:rPr>
          <w:rFonts w:ascii="Times New Roman" w:hAnsi="Times New Roman"/>
          <w:color w:val="auto"/>
          <w:highlight w:val="none"/>
        </w:rPr>
        <w:t xml:space="preserve"> 投标报价的其他要求见投标人须知前附表。</w:t>
      </w:r>
    </w:p>
    <w:p>
      <w:pPr>
        <w:pStyle w:val="4"/>
        <w:spacing w:line="240" w:lineRule="auto"/>
        <w:ind w:firstLine="137"/>
        <w:rPr>
          <w:rFonts w:ascii="Times New Roman" w:hAnsi="Times New Roman"/>
          <w:color w:val="auto"/>
          <w:highlight w:val="none"/>
        </w:rPr>
      </w:pPr>
      <w:bookmarkStart w:id="135" w:name="_Toc491883115"/>
      <w:bookmarkStart w:id="136" w:name="_Toc18725"/>
      <w:r>
        <w:rPr>
          <w:rFonts w:ascii="Times New Roman" w:hAnsi="Times New Roman"/>
          <w:color w:val="auto"/>
          <w:highlight w:val="none"/>
        </w:rPr>
        <w:t>3.3 投标有效期</w:t>
      </w:r>
      <w:bookmarkEnd w:id="135"/>
      <w:bookmarkEnd w:id="136"/>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3.3.1 除投标人须知前附表另有规定外，投标有效期为90天。</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3.3.2 在投标有效期内，投标人撤销投标文件的，应承担招标文件和法律规定的责任。</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3.3.3 出现特殊情况需要延长投标有效期的，招标人</w:t>
      </w:r>
      <w:r>
        <w:rPr>
          <w:rFonts w:hint="default" w:ascii="Times New Roman" w:hAnsi="Times New Roman"/>
          <w:color w:val="auto"/>
          <w:highlight w:val="none"/>
        </w:rPr>
        <w:t>通过电子交易平台</w:t>
      </w:r>
      <w:r>
        <w:rPr>
          <w:rFonts w:ascii="Times New Roman" w:hAnsi="Times New Roman"/>
          <w:color w:val="auto"/>
          <w:highlight w:val="none"/>
        </w:rPr>
        <w:t>通知所有投标人延长投标有效期。投标人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pPr>
        <w:pStyle w:val="4"/>
        <w:spacing w:line="240" w:lineRule="auto"/>
        <w:ind w:firstLine="137"/>
        <w:rPr>
          <w:rFonts w:ascii="Times New Roman" w:hAnsi="Times New Roman"/>
          <w:color w:val="auto"/>
          <w:highlight w:val="none"/>
        </w:rPr>
      </w:pPr>
      <w:bookmarkStart w:id="137" w:name="_Toc14076"/>
      <w:bookmarkStart w:id="138" w:name="_Toc491883116"/>
      <w:r>
        <w:rPr>
          <w:rFonts w:ascii="Times New Roman" w:hAnsi="Times New Roman"/>
          <w:color w:val="auto"/>
          <w:highlight w:val="none"/>
        </w:rPr>
        <w:t>3.4 投标保证金</w:t>
      </w:r>
      <w:bookmarkEnd w:id="137"/>
      <w:bookmarkEnd w:id="138"/>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3.4.1 投标人在递交投标文件的同时，应按投标人须知前附表规定的金额</w:t>
      </w:r>
      <w:bookmarkStart w:id="139" w:name="_Toc300834966"/>
      <w:bookmarkStart w:id="140" w:name="_Toc352691489"/>
      <w:bookmarkStart w:id="141" w:name="_Toc144974513"/>
      <w:bookmarkStart w:id="142" w:name="_Toc369531532"/>
      <w:bookmarkStart w:id="143" w:name="_Toc361508601"/>
      <w:bookmarkStart w:id="144" w:name="_Toc4592"/>
      <w:bookmarkStart w:id="145" w:name="_Toc152042321"/>
      <w:bookmarkStart w:id="146" w:name="_Toc384308226"/>
      <w:bookmarkStart w:id="147" w:name="_Toc247527570"/>
      <w:bookmarkStart w:id="148" w:name="_Toc152045545"/>
      <w:bookmarkStart w:id="149" w:name="_Toc247513969"/>
      <w:r>
        <w:rPr>
          <w:rFonts w:ascii="Times New Roman" w:hAnsi="Times New Roman"/>
          <w:color w:val="auto"/>
          <w:highlight w:val="none"/>
        </w:rPr>
        <w:t>、形式和第六章</w:t>
      </w:r>
      <w:r>
        <w:rPr>
          <w:rFonts w:hint="eastAsia" w:ascii="宋体" w:hAnsi="宋体" w:eastAsia="宋体" w:cs="宋体"/>
          <w:color w:val="auto"/>
          <w:highlight w:val="none"/>
        </w:rPr>
        <w:t>“</w:t>
      </w:r>
      <w:r>
        <w:rPr>
          <w:rFonts w:ascii="Times New Roman" w:hAnsi="Times New Roman"/>
          <w:color w:val="auto"/>
          <w:highlight w:val="none"/>
        </w:rPr>
        <w:t>投标文</w:t>
      </w:r>
      <w:bookmarkEnd w:id="139"/>
      <w:bookmarkEnd w:id="140"/>
      <w:bookmarkEnd w:id="141"/>
      <w:bookmarkEnd w:id="142"/>
      <w:bookmarkEnd w:id="143"/>
      <w:bookmarkEnd w:id="144"/>
      <w:bookmarkEnd w:id="145"/>
      <w:bookmarkEnd w:id="146"/>
      <w:bookmarkEnd w:id="147"/>
      <w:bookmarkEnd w:id="148"/>
      <w:bookmarkEnd w:id="149"/>
      <w:r>
        <w:rPr>
          <w:rFonts w:ascii="Times New Roman" w:hAnsi="Times New Roman"/>
          <w:color w:val="auto"/>
          <w:highlight w:val="none"/>
        </w:rPr>
        <w:t>件格式</w:t>
      </w:r>
      <w:r>
        <w:rPr>
          <w:rFonts w:hint="eastAsia" w:ascii="宋体" w:hAnsi="宋体" w:eastAsia="宋体" w:cs="宋体"/>
          <w:color w:val="auto"/>
          <w:highlight w:val="none"/>
        </w:rPr>
        <w:t>”</w:t>
      </w:r>
      <w:r>
        <w:rPr>
          <w:rFonts w:ascii="Times New Roman" w:hAnsi="Times New Roman"/>
          <w:color w:val="auto"/>
          <w:highlight w:val="none"/>
        </w:rPr>
        <w:t>规定的投标保证金格式递交投标保证金，并作为其投标文件的组成部分。联合体投标的，其投标保证金可以由牵头人递交，并应符合投标人须知前附表的规定。</w:t>
      </w:r>
    </w:p>
    <w:p>
      <w:pPr>
        <w:pageBreakBefore w:val="0"/>
        <w:kinsoku/>
        <w:wordWrap w:val="0"/>
        <w:overflowPunct/>
        <w:bidi w:val="0"/>
        <w:spacing w:line="40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投标保证金应采用现金、支票、银行保函或招标人在投标人须知前附表规定的其他形式。</w:t>
      </w:r>
    </w:p>
    <w:p>
      <w:pPr>
        <w:pageBreakBefore w:val="0"/>
        <w:kinsoku/>
        <w:wordWrap w:val="0"/>
        <w:overflowPunct/>
        <w:bidi w:val="0"/>
        <w:spacing w:line="400" w:lineRule="exact"/>
        <w:ind w:firstLine="42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4"/>
          <w:szCs w:val="24"/>
          <w:highlight w:val="none"/>
        </w:rPr>
        <w:t>1）若采用现金或支票，投标人应在递交投标文件截止时间之前，将投标保证金由投标人的基本账户转入招标人指定账户，否则视为投标保证金无效。招标人指定的开户银行及账号见投标人须知前附表。</w:t>
      </w:r>
    </w:p>
    <w:p>
      <w:pPr>
        <w:spacing w:line="40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（2）若采用银行保函，则应由符合投标人须知前附表规定级别的银行开具，并采用招标文件提供的格式。银行保函</w:t>
      </w:r>
      <w:r>
        <w:rPr>
          <w:rFonts w:hint="default" w:ascii="Times New Roman" w:hAnsi="Times New Roman" w:cs="Times New Roman"/>
          <w:color w:val="auto"/>
          <w:sz w:val="24"/>
          <w:szCs w:val="24"/>
          <w:highlight w:val="none"/>
          <w:lang w:eastAsia="zh-CN"/>
        </w:rPr>
        <w:t>原件扫描件</w:t>
      </w:r>
      <w:r>
        <w:rPr>
          <w:rFonts w:hint="default" w:ascii="Times New Roman" w:hAnsi="Times New Roman" w:cs="Times New Roman"/>
          <w:color w:val="auto"/>
          <w:sz w:val="24"/>
          <w:szCs w:val="24"/>
          <w:highlight w:val="none"/>
          <w:lang w:val="en-US" w:eastAsia="zh-CN"/>
        </w:rPr>
        <w:t>编辑</w:t>
      </w:r>
      <w:r>
        <w:rPr>
          <w:rFonts w:hint="default" w:ascii="Times New Roman" w:hAnsi="Times New Roman" w:eastAsia="宋体" w:cs="Times New Roman"/>
          <w:color w:val="auto"/>
          <w:sz w:val="24"/>
          <w:szCs w:val="24"/>
          <w:highlight w:val="none"/>
        </w:rPr>
        <w:t>在投标文件内。</w:t>
      </w:r>
    </w:p>
    <w:p>
      <w:pPr>
        <w:spacing w:line="40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（3）若采用电子保函形式提交，投标人应在投标文件中提供电子保函的扫描件和电子化保函验真渠道。</w:t>
      </w:r>
    </w:p>
    <w:p>
      <w:pPr>
        <w:spacing w:line="400" w:lineRule="exac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无论采取何种形式的投标保证金，投标保证金有效期均应与投标有效期一致。招标人如果按本章第3.3.3项的规定延长了投标有效期，则投标保证金的有效期也相应延长。</w:t>
      </w:r>
    </w:p>
    <w:p>
      <w:pPr>
        <w:spacing w:line="400" w:lineRule="exact"/>
        <w:ind w:firstLine="480" w:firstLineChars="200"/>
        <w:jc w:val="left"/>
        <w:rPr>
          <w:rFonts w:ascii="Times New Roman" w:hAnsi="Times New Roman"/>
          <w:color w:val="auto"/>
          <w:highlight w:val="none"/>
        </w:rPr>
      </w:pPr>
      <w:r>
        <w:rPr>
          <w:rFonts w:ascii="Times New Roman" w:hAnsi="Times New Roman"/>
          <w:color w:val="auto"/>
          <w:highlight w:val="none"/>
        </w:rPr>
        <w:t>3.4.2 投标人不按本章第3.4.1项</w:t>
      </w:r>
      <w:bookmarkStart w:id="150" w:name="_Toc369531533"/>
      <w:bookmarkStart w:id="151" w:name="_Toc352691490"/>
      <w:bookmarkStart w:id="152" w:name="_Toc29025"/>
      <w:bookmarkStart w:id="153" w:name="_Toc384308227"/>
      <w:bookmarkStart w:id="154" w:name="_Toc361508602"/>
      <w:r>
        <w:rPr>
          <w:rFonts w:ascii="Times New Roman" w:hAnsi="Times New Roman"/>
          <w:color w:val="auto"/>
          <w:highlight w:val="none"/>
        </w:rPr>
        <w:t>要求提交投标保证金的，</w:t>
      </w:r>
      <w:bookmarkEnd w:id="150"/>
      <w:bookmarkEnd w:id="151"/>
      <w:bookmarkEnd w:id="152"/>
      <w:bookmarkEnd w:id="153"/>
      <w:bookmarkEnd w:id="154"/>
      <w:r>
        <w:rPr>
          <w:rFonts w:ascii="Times New Roman" w:hAnsi="Times New Roman"/>
          <w:color w:val="auto"/>
          <w:highlight w:val="none"/>
        </w:rPr>
        <w:t>评标委员会将否决其投标。</w:t>
      </w:r>
    </w:p>
    <w:p>
      <w:pPr>
        <w:pageBreakBefore w:val="0"/>
        <w:kinsoku/>
        <w:wordWrap/>
        <w:overflowPunct/>
        <w:bidi w:val="0"/>
        <w:spacing w:line="400" w:lineRule="exact"/>
        <w:ind w:firstLine="480" w:firstLineChars="200"/>
        <w:rPr>
          <w:rFonts w:hint="default" w:ascii="Times New Roman" w:hAnsi="Times New Roman" w:eastAsia="宋体" w:cs="Times New Roman"/>
          <w:color w:val="auto"/>
          <w:sz w:val="24"/>
          <w:szCs w:val="24"/>
          <w:highlight w:val="none"/>
        </w:rPr>
      </w:pPr>
      <w:r>
        <w:rPr>
          <w:rFonts w:ascii="Times New Roman" w:hAnsi="Times New Roman"/>
          <w:color w:val="auto"/>
          <w:szCs w:val="24"/>
          <w:highlight w:val="none"/>
        </w:rPr>
        <w:t xml:space="preserve">3.4.3 </w:t>
      </w:r>
      <w:r>
        <w:rPr>
          <w:rFonts w:hint="default" w:ascii="Times New Roman" w:hAnsi="Times New Roman" w:eastAsia="宋体" w:cs="Times New Roman"/>
          <w:color w:val="auto"/>
          <w:sz w:val="24"/>
          <w:szCs w:val="24"/>
          <w:highlight w:val="none"/>
        </w:rPr>
        <w:t>招标人最迟将在中标通知书发出后5日内向中标候选人以外的其他投标人退还投标保证金，与中标人签订合同后5日内向中标人和其他中标候选人退还投标保证金。投标保证金以现金或支票形式递交的，招标人应同时退还投标保证金的银行同期活期存款利息，且退还至投标人的基本账户。</w:t>
      </w:r>
    </w:p>
    <w:p>
      <w:pPr>
        <w:spacing w:line="400" w:lineRule="exact"/>
        <w:ind w:firstLine="480" w:firstLineChars="200"/>
        <w:rPr>
          <w:rFonts w:hint="default" w:ascii="Times New Roman" w:hAnsi="Times New Roman"/>
          <w:color w:val="auto"/>
          <w:szCs w:val="24"/>
          <w:highlight w:val="none"/>
        </w:rPr>
      </w:pPr>
      <w:r>
        <w:rPr>
          <w:rFonts w:hint="default" w:ascii="Times New Roman" w:hAnsi="Times New Roman" w:eastAsia="宋体" w:cs="Times New Roman"/>
          <w:color w:val="auto"/>
          <w:sz w:val="24"/>
          <w:szCs w:val="24"/>
          <w:highlight w:val="none"/>
        </w:rPr>
        <w:t>利息计算原则见投标人须知前附表</w:t>
      </w:r>
      <w:r>
        <w:rPr>
          <w:rFonts w:hint="default" w:ascii="Times New Roman" w:hAnsi="Times New Roman"/>
          <w:color w:val="auto"/>
          <w:szCs w:val="24"/>
          <w:highlight w:val="none"/>
        </w:rPr>
        <w:t>。</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3.4.4 有下列情形之一的，投标保证金将不予退还：</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（1）</w:t>
      </w:r>
      <w:r>
        <w:rPr>
          <w:rFonts w:hint="eastAsia" w:ascii="Times New Roman" w:hAnsi="Times New Roman"/>
          <w:color w:val="auto"/>
          <w:highlight w:val="none"/>
        </w:rPr>
        <w:t>投标人在投标有效期内撤销投标文件</w:t>
      </w:r>
      <w:r>
        <w:rPr>
          <w:rFonts w:ascii="Times New Roman" w:hAnsi="Times New Roman"/>
          <w:color w:val="auto"/>
          <w:highlight w:val="none"/>
        </w:rPr>
        <w:t>；</w:t>
      </w:r>
    </w:p>
    <w:p>
      <w:pPr>
        <w:spacing w:line="400" w:lineRule="exact"/>
        <w:ind w:firstLine="360" w:firstLineChars="150"/>
        <w:rPr>
          <w:rFonts w:ascii="Times New Roman" w:hAnsi="Times New Roman"/>
          <w:color w:val="auto"/>
          <w:highlight w:val="none"/>
        </w:rPr>
      </w:pPr>
      <w:r>
        <w:rPr>
          <w:rFonts w:ascii="Times New Roman" w:hAnsi="Times New Roman"/>
          <w:color w:val="auto"/>
          <w:highlight w:val="none"/>
        </w:rPr>
        <w:t>（2）中标人在收到中标通知书后，无正当理由不与招标人订立合同，在签订合同时向招标人提出附加条件，或者不按照招标文件要求提交履约保证金；</w:t>
      </w:r>
    </w:p>
    <w:p>
      <w:pPr>
        <w:spacing w:line="400" w:lineRule="exact"/>
        <w:ind w:firstLine="360" w:firstLineChars="150"/>
        <w:jc w:val="both"/>
        <w:rPr>
          <w:rFonts w:ascii="Times New Roman" w:hAnsi="Times New Roman"/>
          <w:color w:val="auto"/>
          <w:highlight w:val="none"/>
        </w:rPr>
      </w:pPr>
      <w:r>
        <w:rPr>
          <w:rFonts w:ascii="Times New Roman" w:hAnsi="Times New Roman"/>
          <w:color w:val="auto"/>
          <w:highlight w:val="none"/>
        </w:rPr>
        <w:t>（3）发生投标人须知前附表</w:t>
      </w:r>
      <w:r>
        <w:rPr>
          <w:rFonts w:ascii="Times New Roman" w:hAnsi="Times New Roman"/>
          <w:color w:val="auto"/>
          <w:szCs w:val="21"/>
          <w:highlight w:val="none"/>
        </w:rPr>
        <w:t>规定的其他可以不予退还投标保证金的情形。</w:t>
      </w:r>
    </w:p>
    <w:p>
      <w:pPr>
        <w:pStyle w:val="4"/>
        <w:spacing w:line="240" w:lineRule="auto"/>
        <w:ind w:firstLine="137"/>
        <w:rPr>
          <w:rFonts w:ascii="Times New Roman" w:hAnsi="Times New Roman"/>
          <w:color w:val="auto"/>
          <w:highlight w:val="none"/>
        </w:rPr>
      </w:pPr>
      <w:bookmarkStart w:id="155" w:name="_Toc11903"/>
      <w:bookmarkStart w:id="156" w:name="_Toc491883118"/>
      <w:r>
        <w:rPr>
          <w:rFonts w:ascii="Times New Roman" w:hAnsi="Times New Roman"/>
          <w:color w:val="auto"/>
          <w:highlight w:val="none"/>
        </w:rPr>
        <w:t>3.5 资格审查资料</w:t>
      </w:r>
      <w:bookmarkEnd w:id="155"/>
      <w:bookmarkEnd w:id="156"/>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除投标人须知前附表另有规定外，投标人应按下列规定提供资格审查资料，以证明其满足本章第1.4款规定的资质、财务、业绩、信誉等要求。</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投标人应在</w:t>
      </w:r>
      <w:r>
        <w:rPr>
          <w:rFonts w:hint="eastAsia" w:ascii="宋体" w:hAnsi="宋体" w:eastAsia="宋体" w:cs="宋体"/>
          <w:color w:val="auto"/>
          <w:highlight w:val="none"/>
        </w:rPr>
        <w:t>“</w:t>
      </w:r>
      <w:r>
        <w:rPr>
          <w:rFonts w:hint="default" w:ascii="Times New Roman" w:hAnsi="Times New Roman"/>
          <w:color w:val="auto"/>
          <w:highlight w:val="none"/>
          <w:lang w:eastAsia="zh-CN"/>
        </w:rPr>
        <w:t>辽宁省公共资源交易</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一张网</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电子化平台</w:t>
      </w:r>
      <w:r>
        <w:rPr>
          <w:rFonts w:hint="eastAsia" w:ascii="宋体" w:hAnsi="宋体" w:eastAsia="宋体" w:cs="宋体"/>
          <w:color w:val="auto"/>
          <w:highlight w:val="none"/>
        </w:rPr>
        <w:t>”</w:t>
      </w:r>
      <w:r>
        <w:rPr>
          <w:rFonts w:hint="default" w:ascii="Times New Roman" w:hAnsi="Times New Roman"/>
          <w:color w:val="auto"/>
          <w:highlight w:val="none"/>
        </w:rPr>
        <w:t>中建立信用信息档案，并对在系统中所填报内容的真实性、准确性和完整性负责。投标人需要在</w:t>
      </w:r>
      <w:r>
        <w:rPr>
          <w:rFonts w:hint="eastAsia" w:ascii="宋体" w:hAnsi="宋体" w:eastAsia="宋体" w:cs="宋体"/>
          <w:color w:val="auto"/>
          <w:highlight w:val="none"/>
        </w:rPr>
        <w:t>“</w:t>
      </w:r>
      <w:r>
        <w:rPr>
          <w:rFonts w:hint="default" w:ascii="Times New Roman" w:hAnsi="Times New Roman"/>
          <w:color w:val="auto"/>
          <w:highlight w:val="none"/>
          <w:lang w:eastAsia="zh-CN"/>
        </w:rPr>
        <w:t>辽宁省公共资源交易</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一张网</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电子化平台</w:t>
      </w:r>
      <w:r>
        <w:rPr>
          <w:rFonts w:hint="eastAsia" w:ascii="宋体" w:hAnsi="宋体" w:eastAsia="宋体" w:cs="宋体"/>
          <w:color w:val="auto"/>
          <w:highlight w:val="none"/>
        </w:rPr>
        <w:t>”</w:t>
      </w:r>
      <w:r>
        <w:rPr>
          <w:rFonts w:hint="default" w:ascii="Times New Roman" w:hAnsi="Times New Roman"/>
          <w:color w:val="auto"/>
          <w:highlight w:val="none"/>
        </w:rPr>
        <w:t>中备案或更新的内容，应在投标文件递交截止时间之前完成备案或更新，未录入、更新至</w:t>
      </w:r>
      <w:r>
        <w:rPr>
          <w:rFonts w:hint="eastAsia" w:ascii="宋体" w:hAnsi="宋体" w:eastAsia="宋体" w:cs="宋体"/>
          <w:color w:val="auto"/>
          <w:highlight w:val="none"/>
        </w:rPr>
        <w:t>“</w:t>
      </w:r>
      <w:r>
        <w:rPr>
          <w:rFonts w:hint="default" w:ascii="Times New Roman" w:hAnsi="Times New Roman"/>
          <w:color w:val="auto"/>
          <w:highlight w:val="none"/>
          <w:lang w:eastAsia="zh-CN"/>
        </w:rPr>
        <w:t>辽宁省公共资源交易</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一张网</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电子化平台</w:t>
      </w:r>
      <w:r>
        <w:rPr>
          <w:rFonts w:hint="eastAsia" w:ascii="宋体" w:hAnsi="宋体" w:eastAsia="宋体" w:cs="宋体"/>
          <w:color w:val="auto"/>
          <w:highlight w:val="none"/>
        </w:rPr>
        <w:t>”</w:t>
      </w:r>
      <w:r>
        <w:rPr>
          <w:rFonts w:hint="default" w:ascii="Times New Roman" w:hAnsi="Times New Roman"/>
          <w:color w:val="auto"/>
          <w:highlight w:val="none"/>
        </w:rPr>
        <w:t>的信息数据或已录入、更新至</w:t>
      </w:r>
      <w:r>
        <w:rPr>
          <w:rFonts w:hint="eastAsia" w:ascii="宋体" w:hAnsi="宋体" w:eastAsia="宋体" w:cs="宋体"/>
          <w:color w:val="auto"/>
          <w:highlight w:val="none"/>
        </w:rPr>
        <w:t>“</w:t>
      </w:r>
      <w:r>
        <w:rPr>
          <w:rFonts w:hint="default" w:ascii="Times New Roman" w:hAnsi="Times New Roman"/>
          <w:color w:val="auto"/>
          <w:highlight w:val="none"/>
          <w:lang w:eastAsia="zh-CN"/>
        </w:rPr>
        <w:t>辽宁省公共资源交易</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一张网</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电子化平台</w:t>
      </w:r>
      <w:r>
        <w:rPr>
          <w:rFonts w:hint="eastAsia" w:ascii="宋体" w:hAnsi="宋体" w:eastAsia="宋体" w:cs="宋体"/>
          <w:color w:val="auto"/>
          <w:highlight w:val="none"/>
        </w:rPr>
        <w:t>”</w:t>
      </w:r>
      <w:r>
        <w:rPr>
          <w:rFonts w:hint="default" w:ascii="Times New Roman" w:hAnsi="Times New Roman"/>
          <w:color w:val="auto"/>
          <w:highlight w:val="none"/>
        </w:rPr>
        <w:t>中但</w:t>
      </w:r>
      <w:r>
        <w:rPr>
          <w:rFonts w:hint="eastAsia" w:ascii="宋体" w:hAnsi="宋体" w:eastAsia="宋体" w:cs="宋体"/>
          <w:color w:val="auto"/>
          <w:highlight w:val="none"/>
        </w:rPr>
        <w:t>“</w:t>
      </w:r>
      <w:r>
        <w:rPr>
          <w:rFonts w:hint="default" w:ascii="Times New Roman" w:hAnsi="Times New Roman"/>
          <w:color w:val="auto"/>
          <w:highlight w:val="none"/>
        </w:rPr>
        <w:t>投标文件</w:t>
      </w:r>
      <w:r>
        <w:rPr>
          <w:rFonts w:hint="eastAsia" w:ascii="宋体" w:hAnsi="宋体" w:eastAsia="宋体" w:cs="宋体"/>
          <w:color w:val="auto"/>
          <w:highlight w:val="none"/>
        </w:rPr>
        <w:t>”</w:t>
      </w:r>
      <w:r>
        <w:rPr>
          <w:rFonts w:hint="default" w:ascii="Times New Roman" w:hAnsi="Times New Roman"/>
          <w:color w:val="auto"/>
          <w:highlight w:val="none"/>
        </w:rPr>
        <w:t>中未填报的内容，均不予认可，投标文件中证明资料的</w:t>
      </w:r>
      <w:r>
        <w:rPr>
          <w:rFonts w:hint="eastAsia" w:ascii="宋体" w:hAnsi="宋体" w:eastAsia="宋体" w:cs="宋体"/>
          <w:color w:val="auto"/>
          <w:highlight w:val="none"/>
        </w:rPr>
        <w:t>“</w:t>
      </w:r>
      <w:r>
        <w:rPr>
          <w:rFonts w:hint="default" w:ascii="Times New Roman" w:hAnsi="Times New Roman"/>
          <w:color w:val="auto"/>
          <w:highlight w:val="none"/>
        </w:rPr>
        <w:t>原件扫描件</w:t>
      </w:r>
      <w:r>
        <w:rPr>
          <w:rFonts w:hint="eastAsia" w:ascii="宋体" w:hAnsi="宋体" w:eastAsia="宋体" w:cs="宋体"/>
          <w:color w:val="auto"/>
          <w:highlight w:val="none"/>
        </w:rPr>
        <w:t>”</w:t>
      </w:r>
      <w:r>
        <w:rPr>
          <w:rFonts w:hint="default" w:ascii="Times New Roman" w:hAnsi="Times New Roman"/>
          <w:color w:val="auto"/>
          <w:highlight w:val="none"/>
        </w:rPr>
        <w:t>应从</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lang w:eastAsia="zh-CN"/>
        </w:rPr>
        <w:t>主体信息库</w:t>
      </w:r>
      <w:r>
        <w:rPr>
          <w:rFonts w:hint="default" w:ascii="Times New Roman" w:hAnsi="Times New Roman"/>
          <w:color w:val="auto"/>
          <w:highlight w:val="none"/>
        </w:rPr>
        <w:t>中选择并进行超链接，除投标人须知前附表另有规定外招标人不再接受投标人提交相关证明原件作为替代或补充。</w:t>
      </w:r>
    </w:p>
    <w:p>
      <w:pPr>
        <w:spacing w:line="400" w:lineRule="exact"/>
        <w:ind w:firstLine="480" w:firstLineChars="200"/>
        <w:rPr>
          <w:rFonts w:hint="default" w:ascii="Times New Roman" w:hAnsi="Times New Roman"/>
          <w:color w:val="auto"/>
          <w:highlight w:val="none"/>
          <w:lang w:eastAsia="zh-CN"/>
        </w:rPr>
      </w:pPr>
      <w:r>
        <w:rPr>
          <w:rFonts w:ascii="Times New Roman" w:hAnsi="Times New Roman"/>
          <w:color w:val="auto"/>
          <w:highlight w:val="none"/>
        </w:rPr>
        <w:t xml:space="preserve">3.5.1 </w:t>
      </w:r>
      <w:r>
        <w:rPr>
          <w:rFonts w:hint="eastAsia" w:ascii="宋体" w:hAnsi="宋体" w:eastAsia="宋体" w:cs="宋体"/>
          <w:color w:val="auto"/>
          <w:highlight w:val="none"/>
        </w:rPr>
        <w:t>“</w:t>
      </w:r>
      <w:r>
        <w:rPr>
          <w:rFonts w:ascii="Times New Roman" w:hAnsi="Times New Roman"/>
          <w:color w:val="auto"/>
          <w:highlight w:val="none"/>
        </w:rPr>
        <w:t>投标人基本情况表</w:t>
      </w:r>
      <w:r>
        <w:rPr>
          <w:rFonts w:hint="eastAsia" w:ascii="宋体" w:hAnsi="宋体" w:eastAsia="宋体" w:cs="宋体"/>
          <w:color w:val="auto"/>
          <w:highlight w:val="none"/>
        </w:rPr>
        <w:t>”</w:t>
      </w:r>
      <w:r>
        <w:rPr>
          <w:rFonts w:ascii="Times New Roman" w:hAnsi="Times New Roman"/>
          <w:color w:val="auto"/>
          <w:highlight w:val="none"/>
        </w:rPr>
        <w:t>应附投标人及其制造商（适用于代理经销商投标的情形）</w:t>
      </w:r>
      <w:r>
        <w:rPr>
          <w:rFonts w:hint="default" w:ascii="Times New Roman" w:hAnsi="Times New Roman"/>
          <w:color w:val="auto"/>
          <w:highlight w:val="none"/>
        </w:rPr>
        <w:t>企业法人营业执照</w:t>
      </w:r>
      <w:r>
        <w:rPr>
          <w:rFonts w:hint="default" w:ascii="Times New Roman" w:hAnsi="Times New Roman"/>
          <w:color w:val="auto"/>
          <w:highlight w:val="none"/>
          <w:lang w:eastAsia="zh-CN"/>
        </w:rPr>
        <w:t>、</w:t>
      </w:r>
      <w:r>
        <w:rPr>
          <w:rFonts w:ascii="Times New Roman" w:hAnsi="Times New Roman"/>
          <w:color w:val="auto"/>
          <w:highlight w:val="none"/>
        </w:rPr>
        <w:t>资格或者资质证书副本</w:t>
      </w:r>
      <w:r>
        <w:rPr>
          <w:rFonts w:hint="default" w:ascii="Times New Roman" w:hAnsi="Times New Roman"/>
          <w:color w:val="auto"/>
          <w:highlight w:val="none"/>
          <w:lang w:eastAsia="zh-CN"/>
        </w:rPr>
        <w:t>、基本账户开户许可证或</w:t>
      </w:r>
      <w:r>
        <w:rPr>
          <w:rFonts w:hint="eastAsia" w:ascii="Times New Roman" w:hAnsi="Times New Roman"/>
          <w:color w:val="auto"/>
          <w:highlight w:val="none"/>
          <w:lang w:eastAsia="zh-CN"/>
        </w:rPr>
        <w:t>基本存款账户信息</w:t>
      </w:r>
      <w:r>
        <w:rPr>
          <w:rFonts w:ascii="Times New Roman" w:hAnsi="Times New Roman"/>
          <w:color w:val="auto"/>
          <w:highlight w:val="none"/>
        </w:rPr>
        <w:t>和投标材料检验或认证等材料的</w:t>
      </w:r>
      <w:r>
        <w:rPr>
          <w:rFonts w:hint="eastAsia" w:ascii="Times New Roman" w:hAnsi="Times New Roman"/>
          <w:color w:val="auto"/>
          <w:highlight w:val="none"/>
        </w:rPr>
        <w:t>原件扫描件</w:t>
      </w:r>
      <w:r>
        <w:rPr>
          <w:rFonts w:ascii="Times New Roman" w:hAnsi="Times New Roman"/>
          <w:color w:val="auto"/>
          <w:highlight w:val="none"/>
        </w:rPr>
        <w:t>以及</w:t>
      </w:r>
      <w:r>
        <w:rPr>
          <w:rFonts w:hint="default" w:ascii="Times New Roman" w:hAnsi="Times New Roman"/>
          <w:color w:val="auto"/>
          <w:highlight w:val="none"/>
        </w:rPr>
        <w:t>投标人在国家企业信用信息公示系统中基础信息（体现股东及出资详细信息）的网页截图</w:t>
      </w:r>
      <w:r>
        <w:rPr>
          <w:rFonts w:hint="default" w:ascii="Times New Roman" w:hAnsi="Times New Roman"/>
          <w:color w:val="auto"/>
          <w:highlight w:val="none"/>
          <w:lang w:eastAsia="zh-CN"/>
        </w:rPr>
        <w:t>；</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企业法人营业执照、</w:t>
      </w:r>
      <w:r>
        <w:rPr>
          <w:rFonts w:hint="default" w:ascii="Times New Roman" w:hAnsi="Times New Roman"/>
          <w:color w:val="auto"/>
          <w:highlight w:val="none"/>
          <w:lang w:val="en-US" w:eastAsia="zh-CN"/>
        </w:rPr>
        <w:t>资格或资质</w:t>
      </w:r>
      <w:r>
        <w:rPr>
          <w:rFonts w:hint="default" w:ascii="Times New Roman" w:hAnsi="Times New Roman"/>
          <w:color w:val="auto"/>
          <w:highlight w:val="none"/>
        </w:rPr>
        <w:t>证书、基本账户开户许可证或</w:t>
      </w:r>
      <w:r>
        <w:rPr>
          <w:rFonts w:hint="eastAsia" w:ascii="Times New Roman" w:hAnsi="Times New Roman"/>
          <w:color w:val="auto"/>
          <w:highlight w:val="none"/>
          <w:lang w:eastAsia="zh-CN"/>
        </w:rPr>
        <w:t>基本存款账户信息</w:t>
      </w:r>
      <w:r>
        <w:rPr>
          <w:rFonts w:hint="default" w:ascii="Times New Roman" w:hAnsi="Times New Roman"/>
          <w:color w:val="auto"/>
          <w:highlight w:val="none"/>
        </w:rPr>
        <w:t>的原件扫描件应提供全本（证书封面、封底、空白页除外），应包括投标人名称、投标人其他相关信息、颁发机构名称、投标人信息变更情况等关键页在内。</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 xml:space="preserve">3.5.2 </w:t>
      </w:r>
      <w:r>
        <w:rPr>
          <w:rFonts w:hint="eastAsia" w:ascii="宋体" w:hAnsi="宋体" w:eastAsia="宋体" w:cs="宋体"/>
          <w:color w:val="auto"/>
          <w:highlight w:val="none"/>
        </w:rPr>
        <w:t>“</w:t>
      </w:r>
      <w:r>
        <w:rPr>
          <w:rFonts w:ascii="Times New Roman" w:hAnsi="Times New Roman"/>
          <w:color w:val="auto"/>
          <w:highlight w:val="none"/>
        </w:rPr>
        <w:t>近年财务状况表</w:t>
      </w:r>
      <w:r>
        <w:rPr>
          <w:rFonts w:hint="eastAsia" w:ascii="宋体" w:hAnsi="宋体" w:eastAsia="宋体" w:cs="宋体"/>
          <w:color w:val="auto"/>
          <w:highlight w:val="none"/>
        </w:rPr>
        <w:t>”</w:t>
      </w:r>
      <w:r>
        <w:rPr>
          <w:rFonts w:ascii="Times New Roman" w:hAnsi="Times New Roman"/>
          <w:color w:val="auto"/>
          <w:highlight w:val="none"/>
        </w:rPr>
        <w:t>应附经会计师事务所或审计机构审计的财务会计报表，包括资产负债表、现金流量表、利润表和财务情况说明书的</w:t>
      </w:r>
      <w:r>
        <w:rPr>
          <w:rFonts w:hint="eastAsia" w:ascii="Times New Roman" w:hAnsi="Times New Roman"/>
          <w:color w:val="auto"/>
          <w:highlight w:val="none"/>
        </w:rPr>
        <w:t>原件扫描件</w:t>
      </w:r>
      <w:r>
        <w:rPr>
          <w:rFonts w:ascii="Times New Roman" w:hAnsi="Times New Roman"/>
          <w:color w:val="auto"/>
          <w:highlight w:val="none"/>
        </w:rPr>
        <w:t>，具体年份要求见投标人须知前附表。投标人的成立时间少于投标人须知前附表规定年份的，应提供成立以来的财务状况</w:t>
      </w:r>
      <w:r>
        <w:rPr>
          <w:rFonts w:hint="default" w:ascii="Times New Roman" w:hAnsi="Times New Roman"/>
          <w:color w:val="auto"/>
          <w:highlight w:val="none"/>
        </w:rPr>
        <w:t>表</w:t>
      </w:r>
      <w:r>
        <w:rPr>
          <w:rFonts w:ascii="Times New Roman" w:hAnsi="Times New Roman"/>
          <w:color w:val="auto"/>
          <w:highlight w:val="none"/>
        </w:rPr>
        <w:t>。</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 xml:space="preserve">3.5.3 </w:t>
      </w:r>
      <w:r>
        <w:rPr>
          <w:rFonts w:hint="eastAsia" w:ascii="宋体" w:hAnsi="宋体" w:eastAsia="宋体" w:cs="宋体"/>
          <w:color w:val="auto"/>
          <w:highlight w:val="none"/>
        </w:rPr>
        <w:t>“</w:t>
      </w:r>
      <w:r>
        <w:rPr>
          <w:rFonts w:ascii="Times New Roman" w:hAnsi="Times New Roman"/>
          <w:color w:val="auto"/>
          <w:highlight w:val="none"/>
        </w:rPr>
        <w:t>近年完成的类似项目情况表</w:t>
      </w:r>
      <w:r>
        <w:rPr>
          <w:rFonts w:hint="eastAsia" w:ascii="宋体" w:hAnsi="宋体" w:eastAsia="宋体" w:cs="宋体"/>
          <w:color w:val="auto"/>
          <w:highlight w:val="none"/>
        </w:rPr>
        <w:t>”</w:t>
      </w:r>
      <w:r>
        <w:rPr>
          <w:rFonts w:ascii="Times New Roman" w:hAnsi="Times New Roman"/>
          <w:color w:val="auto"/>
          <w:highlight w:val="none"/>
        </w:rPr>
        <w:t>具体</w:t>
      </w:r>
      <w:r>
        <w:rPr>
          <w:rFonts w:hint="default" w:ascii="Times New Roman" w:hAnsi="Times New Roman"/>
          <w:color w:val="auto"/>
          <w:highlight w:val="none"/>
        </w:rPr>
        <w:t>时间</w:t>
      </w:r>
      <w:r>
        <w:rPr>
          <w:rFonts w:ascii="Times New Roman" w:hAnsi="Times New Roman"/>
          <w:color w:val="auto"/>
          <w:highlight w:val="none"/>
        </w:rPr>
        <w:t>要求见投标人须知前附表。</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投标人应在</w:t>
      </w:r>
      <w:r>
        <w:rPr>
          <w:rFonts w:hint="eastAsia" w:ascii="宋体" w:hAnsi="宋体" w:eastAsia="宋体" w:cs="宋体"/>
          <w:color w:val="auto"/>
          <w:highlight w:val="none"/>
        </w:rPr>
        <w:t>“</w:t>
      </w:r>
      <w:r>
        <w:rPr>
          <w:rFonts w:hint="default" w:ascii="Times New Roman" w:hAnsi="Times New Roman"/>
          <w:color w:val="auto"/>
          <w:highlight w:val="none"/>
          <w:lang w:eastAsia="zh-CN"/>
        </w:rPr>
        <w:t>辽宁省公共资源交易</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一张网</w:t>
      </w:r>
      <w:r>
        <w:rPr>
          <w:rFonts w:hint="eastAsia" w:ascii="宋体" w:hAnsi="宋体" w:eastAsia="宋体" w:cs="宋体"/>
          <w:color w:val="auto"/>
          <w:highlight w:val="none"/>
          <w:lang w:eastAsia="zh-CN"/>
        </w:rPr>
        <w:t>”</w:t>
      </w:r>
      <w:r>
        <w:rPr>
          <w:rFonts w:hint="default" w:ascii="Times New Roman" w:hAnsi="Times New Roman"/>
          <w:color w:val="auto"/>
          <w:highlight w:val="none"/>
          <w:lang w:eastAsia="zh-CN"/>
        </w:rPr>
        <w:t>电子化平台</w:t>
      </w:r>
      <w:r>
        <w:rPr>
          <w:rFonts w:hint="eastAsia" w:ascii="宋体" w:hAnsi="宋体" w:eastAsia="宋体" w:cs="宋体"/>
          <w:color w:val="auto"/>
          <w:highlight w:val="none"/>
        </w:rPr>
        <w:t>”</w:t>
      </w:r>
      <w:r>
        <w:rPr>
          <w:rFonts w:hint="default" w:ascii="Times New Roman" w:hAnsi="Times New Roman"/>
          <w:color w:val="auto"/>
          <w:highlight w:val="none"/>
          <w:lang w:eastAsia="zh-CN"/>
        </w:rPr>
        <w:t>主体信息库</w:t>
      </w:r>
      <w:r>
        <w:rPr>
          <w:rFonts w:hint="default" w:ascii="Times New Roman" w:hAnsi="Times New Roman"/>
          <w:color w:val="auto"/>
          <w:highlight w:val="none"/>
        </w:rPr>
        <w:t>中选择并进行超链接。</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 xml:space="preserve">3.5.4 </w:t>
      </w:r>
      <w:r>
        <w:rPr>
          <w:rFonts w:hint="eastAsia" w:ascii="宋体" w:hAnsi="宋体" w:eastAsia="宋体" w:cs="宋体"/>
          <w:color w:val="auto"/>
          <w:highlight w:val="none"/>
        </w:rPr>
        <w:t>“</w:t>
      </w:r>
      <w:r>
        <w:rPr>
          <w:rFonts w:ascii="Times New Roman" w:hAnsi="Times New Roman"/>
          <w:color w:val="auto"/>
          <w:highlight w:val="none"/>
        </w:rPr>
        <w:t>正在供货和新承接的项目情况表</w:t>
      </w:r>
      <w:r>
        <w:rPr>
          <w:rFonts w:hint="eastAsia" w:ascii="宋体" w:hAnsi="宋体" w:eastAsia="宋体" w:cs="宋体"/>
          <w:color w:val="auto"/>
          <w:highlight w:val="none"/>
        </w:rPr>
        <w:t>”</w:t>
      </w:r>
      <w:r>
        <w:rPr>
          <w:rFonts w:ascii="Times New Roman" w:hAnsi="Times New Roman"/>
          <w:color w:val="auto"/>
          <w:highlight w:val="none"/>
        </w:rPr>
        <w:t>应附中标通知书和（或）合同协议书</w:t>
      </w:r>
      <w:r>
        <w:rPr>
          <w:rFonts w:hint="eastAsia" w:ascii="Times New Roman" w:hAnsi="Times New Roman"/>
          <w:color w:val="auto"/>
          <w:highlight w:val="none"/>
        </w:rPr>
        <w:t>原件扫描件</w:t>
      </w:r>
      <w:r>
        <w:rPr>
          <w:rFonts w:ascii="Times New Roman" w:hAnsi="Times New Roman"/>
          <w:color w:val="auto"/>
          <w:highlight w:val="none"/>
        </w:rPr>
        <w:t>。每张表格只填写一个项目，并标明序号。</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 xml:space="preserve">3.5.5 </w:t>
      </w:r>
      <w:r>
        <w:rPr>
          <w:rFonts w:hint="eastAsia" w:ascii="宋体" w:hAnsi="宋体" w:eastAsia="宋体" w:cs="宋体"/>
          <w:color w:val="auto"/>
          <w:highlight w:val="none"/>
        </w:rPr>
        <w:t>“</w:t>
      </w:r>
      <w:r>
        <w:rPr>
          <w:rFonts w:ascii="Times New Roman" w:hAnsi="Times New Roman"/>
          <w:color w:val="auto"/>
          <w:highlight w:val="none"/>
        </w:rPr>
        <w:t>近年发生的诉讼及仲裁情况</w:t>
      </w:r>
      <w:r>
        <w:rPr>
          <w:rFonts w:hint="eastAsia" w:ascii="宋体" w:hAnsi="宋体" w:eastAsia="宋体" w:cs="宋体"/>
          <w:color w:val="auto"/>
          <w:highlight w:val="none"/>
        </w:rPr>
        <w:t>”</w:t>
      </w:r>
      <w:r>
        <w:rPr>
          <w:rFonts w:ascii="Times New Roman" w:hAnsi="Times New Roman"/>
          <w:color w:val="auto"/>
          <w:highlight w:val="none"/>
        </w:rPr>
        <w:t>应说明投标人败诉的设备</w:t>
      </w:r>
      <w:r>
        <w:rPr>
          <w:rFonts w:hint="default" w:ascii="Times New Roman" w:hAnsi="Times New Roman"/>
          <w:color w:val="auto"/>
          <w:highlight w:val="none"/>
          <w:lang w:val="en-US" w:eastAsia="zh-CN"/>
        </w:rPr>
        <w:t>材料</w:t>
      </w:r>
      <w:r>
        <w:rPr>
          <w:rFonts w:ascii="Times New Roman" w:hAnsi="Times New Roman"/>
          <w:color w:val="auto"/>
          <w:highlight w:val="none"/>
        </w:rPr>
        <w:t>买卖合同的相关情况，并附法院或仲裁机构作出的判决、裁决等有关法律文书</w:t>
      </w:r>
      <w:r>
        <w:rPr>
          <w:rFonts w:hint="eastAsia" w:ascii="Times New Roman" w:hAnsi="Times New Roman"/>
          <w:color w:val="auto"/>
          <w:highlight w:val="none"/>
        </w:rPr>
        <w:t>原件扫描件</w:t>
      </w:r>
      <w:r>
        <w:rPr>
          <w:rFonts w:ascii="Times New Roman" w:hAnsi="Times New Roman"/>
          <w:color w:val="auto"/>
          <w:highlight w:val="none"/>
        </w:rPr>
        <w:t>，具体</w:t>
      </w:r>
      <w:r>
        <w:rPr>
          <w:rFonts w:hint="default" w:ascii="Times New Roman" w:hAnsi="Times New Roman"/>
          <w:color w:val="auto"/>
          <w:highlight w:val="none"/>
        </w:rPr>
        <w:t>时间</w:t>
      </w:r>
      <w:r>
        <w:rPr>
          <w:rFonts w:ascii="Times New Roman" w:hAnsi="Times New Roman"/>
          <w:color w:val="auto"/>
          <w:highlight w:val="none"/>
        </w:rPr>
        <w:t>要求见投标人须知前附表。</w:t>
      </w:r>
    </w:p>
    <w:p>
      <w:pPr>
        <w:spacing w:line="400" w:lineRule="exact"/>
        <w:ind w:firstLine="480" w:firstLineChars="200"/>
        <w:rPr>
          <w:rFonts w:hint="default" w:ascii="Times New Roman" w:hAnsi="Times New Roman" w:eastAsia="宋体"/>
          <w:color w:val="auto"/>
          <w:highlight w:val="none"/>
          <w:lang w:val="en-US" w:eastAsia="zh-CN"/>
        </w:rPr>
      </w:pPr>
      <w:r>
        <w:rPr>
          <w:rFonts w:hint="default" w:ascii="Times New Roman" w:hAnsi="Times New Roman"/>
          <w:color w:val="auto"/>
          <w:highlight w:val="none"/>
          <w:lang w:val="en-US" w:eastAsia="zh-CN"/>
        </w:rPr>
        <w:t>3.5.6</w:t>
      </w:r>
      <w:r>
        <w:rPr>
          <w:rFonts w:hint="eastAsia" w:ascii="宋体" w:hAnsi="宋体" w:eastAsia="宋体" w:cs="宋体"/>
          <w:color w:val="auto"/>
          <w:highlight w:val="none"/>
          <w:lang w:val="en-US" w:eastAsia="zh-CN"/>
        </w:rPr>
        <w:t>“</w:t>
      </w:r>
      <w:r>
        <w:rPr>
          <w:rFonts w:hint="default" w:ascii="Times New Roman" w:hAnsi="Times New Roman"/>
          <w:color w:val="auto"/>
          <w:highlight w:val="none"/>
          <w:lang w:val="en-US" w:eastAsia="zh-CN"/>
        </w:rPr>
        <w:t>投标人的信誉情况表</w:t>
      </w:r>
      <w:r>
        <w:rPr>
          <w:rFonts w:hint="eastAsia" w:ascii="宋体" w:hAnsi="宋体" w:eastAsia="宋体" w:cs="宋体"/>
          <w:color w:val="auto"/>
          <w:highlight w:val="none"/>
          <w:lang w:val="en-US" w:eastAsia="zh-CN"/>
        </w:rPr>
        <w:t>”</w:t>
      </w:r>
      <w:r>
        <w:rPr>
          <w:rFonts w:hint="default" w:ascii="Times New Roman" w:hAnsi="Times New Roman"/>
          <w:color w:val="auto"/>
          <w:highlight w:val="none"/>
          <w:lang w:val="en-US" w:eastAsia="zh-CN"/>
        </w:rPr>
        <w:t>应附投标人在国家企业信用信息公示系统中未被列入严重违法失信企业名单、在</w:t>
      </w:r>
      <w:r>
        <w:rPr>
          <w:rFonts w:hint="eastAsia" w:ascii="宋体" w:hAnsi="宋体" w:eastAsia="宋体" w:cs="宋体"/>
          <w:color w:val="auto"/>
          <w:highlight w:val="none"/>
          <w:lang w:val="en-US" w:eastAsia="zh-CN"/>
        </w:rPr>
        <w:t>“</w:t>
      </w:r>
      <w:r>
        <w:rPr>
          <w:rFonts w:hint="default" w:ascii="Times New Roman" w:hAnsi="Times New Roman"/>
          <w:color w:val="auto"/>
          <w:highlight w:val="none"/>
          <w:lang w:val="en-US" w:eastAsia="zh-CN"/>
        </w:rPr>
        <w:t>信用中国</w:t>
      </w:r>
      <w:r>
        <w:rPr>
          <w:rFonts w:hint="eastAsia" w:ascii="宋体" w:hAnsi="宋体" w:eastAsia="宋体" w:cs="宋体"/>
          <w:color w:val="auto"/>
          <w:highlight w:val="none"/>
          <w:lang w:val="en-US" w:eastAsia="zh-CN"/>
        </w:rPr>
        <w:t>”</w:t>
      </w:r>
      <w:r>
        <w:rPr>
          <w:rFonts w:hint="default" w:ascii="Times New Roman" w:hAnsi="Times New Roman"/>
          <w:color w:val="auto"/>
          <w:highlight w:val="none"/>
          <w:lang w:val="en-US" w:eastAsia="zh-CN"/>
        </w:rPr>
        <w:t>（或中国执行信息公开网）网站中未被列入失信被执行人名单的网页截图，以及近三年内（以投标截止日期为截止日、往前推算3个年度）投标人单位、个人（指法定代表人）均无行贿犯罪行为的书面承诺</w:t>
      </w:r>
      <w:r>
        <w:rPr>
          <w:rFonts w:hint="eastAsia" w:ascii="宋体" w:hAnsi="宋体" w:cs="宋体"/>
          <w:color w:val="auto"/>
          <w:highlight w:val="none"/>
          <w:lang w:val="en-US" w:eastAsia="zh-CN"/>
        </w:rPr>
        <w:t>“原件扫描件”</w:t>
      </w:r>
      <w:r>
        <w:rPr>
          <w:rFonts w:hint="default" w:ascii="Times New Roman" w:hAnsi="Times New Roman"/>
          <w:color w:val="auto"/>
          <w:highlight w:val="none"/>
          <w:lang w:val="en-US" w:eastAsia="zh-CN"/>
        </w:rPr>
        <w:t>（格式详见招标文件第六章）。</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3.5.</w:t>
      </w:r>
      <w:r>
        <w:rPr>
          <w:rFonts w:hint="default" w:ascii="Times New Roman" w:hAnsi="Times New Roman"/>
          <w:color w:val="auto"/>
          <w:highlight w:val="none"/>
          <w:lang w:val="en-US" w:eastAsia="zh-CN"/>
        </w:rPr>
        <w:t>7</w:t>
      </w:r>
      <w:r>
        <w:rPr>
          <w:rFonts w:ascii="Times New Roman" w:hAnsi="Times New Roman"/>
          <w:color w:val="auto"/>
          <w:highlight w:val="none"/>
        </w:rPr>
        <w:t xml:space="preserve"> 投标人须知前附表规定接受联合体投标的，本章第3.5.1项至第3.5.</w:t>
      </w:r>
      <w:r>
        <w:rPr>
          <w:rFonts w:hint="default" w:ascii="Times New Roman" w:hAnsi="Times New Roman"/>
          <w:color w:val="auto"/>
          <w:highlight w:val="none"/>
          <w:lang w:val="en-US" w:eastAsia="zh-CN"/>
        </w:rPr>
        <w:t>6</w:t>
      </w:r>
      <w:r>
        <w:rPr>
          <w:rFonts w:ascii="Times New Roman" w:hAnsi="Times New Roman"/>
          <w:color w:val="auto"/>
          <w:highlight w:val="none"/>
        </w:rPr>
        <w:t>项规定的表格和资料应包括联合体各方相关情况。</w:t>
      </w:r>
    </w:p>
    <w:p>
      <w:pPr>
        <w:pStyle w:val="4"/>
        <w:spacing w:line="240" w:lineRule="auto"/>
        <w:ind w:firstLine="137"/>
        <w:rPr>
          <w:rFonts w:ascii="Times New Roman" w:hAnsi="Times New Roman"/>
          <w:color w:val="auto"/>
          <w:highlight w:val="none"/>
        </w:rPr>
      </w:pPr>
      <w:bookmarkStart w:id="157" w:name="_Toc491883119"/>
      <w:bookmarkStart w:id="158" w:name="_Toc78"/>
      <w:r>
        <w:rPr>
          <w:rFonts w:ascii="Times New Roman" w:hAnsi="Times New Roman"/>
          <w:color w:val="auto"/>
          <w:highlight w:val="none"/>
        </w:rPr>
        <w:t>3.6 备选投标方案</w:t>
      </w:r>
      <w:bookmarkEnd w:id="157"/>
      <w:bookmarkEnd w:id="158"/>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3.6.1 除投标人须知前附表规定允许外，投标人不得递交备选投标方案，否则其投标将被否决。</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3.6.3 投标人提供两个或两个以上投标报价，或者在投标文件中提供一个报价，但同时提供两个或两个以上供货方案的，视为提供备选方案。</w:t>
      </w:r>
    </w:p>
    <w:p>
      <w:pPr>
        <w:pStyle w:val="4"/>
        <w:spacing w:line="240" w:lineRule="auto"/>
        <w:ind w:firstLine="137"/>
        <w:rPr>
          <w:rFonts w:ascii="Times New Roman" w:hAnsi="Times New Roman"/>
          <w:color w:val="auto"/>
          <w:highlight w:val="none"/>
        </w:rPr>
      </w:pPr>
      <w:bookmarkStart w:id="159" w:name="_Toc12171"/>
      <w:bookmarkStart w:id="160" w:name="_Toc491883120"/>
      <w:r>
        <w:rPr>
          <w:rFonts w:ascii="Times New Roman" w:hAnsi="Times New Roman"/>
          <w:color w:val="auto"/>
          <w:highlight w:val="none"/>
        </w:rPr>
        <w:t>3.7 投标文件的编制</w:t>
      </w:r>
      <w:bookmarkEnd w:id="159"/>
      <w:bookmarkEnd w:id="160"/>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3.7.1 投标文件应按第六章</w:t>
      </w:r>
      <w:r>
        <w:rPr>
          <w:rFonts w:hint="eastAsia" w:ascii="宋体" w:hAnsi="宋体" w:eastAsia="宋体" w:cs="宋体"/>
          <w:color w:val="auto"/>
          <w:highlight w:val="none"/>
        </w:rPr>
        <w:t>“</w:t>
      </w:r>
      <w:r>
        <w:rPr>
          <w:rFonts w:ascii="Times New Roman" w:hAnsi="Times New Roman"/>
          <w:color w:val="auto"/>
          <w:highlight w:val="none"/>
        </w:rPr>
        <w:t>投标文件格式</w:t>
      </w:r>
      <w:r>
        <w:rPr>
          <w:rFonts w:hint="eastAsia" w:ascii="宋体" w:hAnsi="宋体" w:eastAsia="宋体" w:cs="宋体"/>
          <w:color w:val="auto"/>
          <w:highlight w:val="none"/>
        </w:rPr>
        <w:t>”</w:t>
      </w:r>
      <w:r>
        <w:rPr>
          <w:rFonts w:ascii="Times New Roman" w:hAnsi="Times New Roman"/>
          <w:color w:val="auto"/>
          <w:highlight w:val="none"/>
        </w:rPr>
        <w:t>进行编写，如有必要，可以增加附页，作为投标文件的组成部分。</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3.7.2 投标文件应当对招标文件有关</w:t>
      </w:r>
      <w:r>
        <w:rPr>
          <w:rFonts w:hint="eastAsia" w:ascii="Times New Roman" w:hAnsi="Times New Roman"/>
          <w:color w:val="auto"/>
          <w:highlight w:val="none"/>
          <w:lang w:eastAsia="zh-CN"/>
        </w:rPr>
        <w:t>交货期</w:t>
      </w:r>
      <w:r>
        <w:rPr>
          <w:rFonts w:ascii="Times New Roman" w:hAnsi="Times New Roman"/>
          <w:color w:val="auto"/>
          <w:highlight w:val="none"/>
        </w:rPr>
        <w:t>、投标有效期、供货要求、招标范围等实质性内容作出响应。投标文件在满足招标文件实质性要求的基础上，可以提出比招标文件要求更有利于招标人的承诺。</w:t>
      </w:r>
    </w:p>
    <w:p>
      <w:pPr>
        <w:spacing w:line="400" w:lineRule="exact"/>
        <w:ind w:firstLine="480" w:firstLineChars="200"/>
        <w:rPr>
          <w:rFonts w:hint="default" w:ascii="Times New Roman" w:hAnsi="Times New Roman"/>
          <w:color w:val="auto"/>
          <w:highlight w:val="none"/>
        </w:rPr>
      </w:pPr>
      <w:r>
        <w:rPr>
          <w:rFonts w:ascii="Times New Roman" w:hAnsi="Times New Roman"/>
          <w:color w:val="auto"/>
          <w:highlight w:val="none"/>
        </w:rPr>
        <w:t>3.7.3</w:t>
      </w:r>
      <w:r>
        <w:rPr>
          <w:rFonts w:hint="default" w:ascii="Times New Roman" w:hAnsi="Times New Roman"/>
          <w:color w:val="auto"/>
          <w:highlight w:val="none"/>
        </w:rPr>
        <w:t>投标文件的制作应满足以下规定：</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（1）投标文件由投标人使用</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自带的</w:t>
      </w:r>
      <w:r>
        <w:rPr>
          <w:rFonts w:hint="eastAsia" w:ascii="宋体" w:hAnsi="宋体" w:eastAsia="宋体" w:cs="宋体"/>
          <w:color w:val="auto"/>
          <w:highlight w:val="none"/>
        </w:rPr>
        <w:t>“</w:t>
      </w:r>
      <w:r>
        <w:rPr>
          <w:rFonts w:hint="default" w:ascii="Times New Roman" w:hAnsi="Times New Roman"/>
          <w:color w:val="auto"/>
          <w:highlight w:val="none"/>
        </w:rPr>
        <w:t>投标文件制作工具</w:t>
      </w:r>
      <w:r>
        <w:rPr>
          <w:rFonts w:hint="eastAsia" w:ascii="宋体" w:hAnsi="宋体" w:eastAsia="宋体" w:cs="宋体"/>
          <w:color w:val="auto"/>
          <w:highlight w:val="none"/>
        </w:rPr>
        <w:t>”</w:t>
      </w:r>
      <w:r>
        <w:rPr>
          <w:rFonts w:hint="default" w:ascii="Times New Roman" w:hAnsi="Times New Roman"/>
          <w:color w:val="auto"/>
          <w:highlight w:val="none"/>
        </w:rPr>
        <w:t>制作生成。</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（2）投标人在编制投标文件时应建立分级目录，并按照标签提示导入相关内容。</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（3）投标文件中证明资料的</w:t>
      </w:r>
      <w:r>
        <w:rPr>
          <w:rFonts w:hint="eastAsia" w:ascii="宋体" w:hAnsi="宋体" w:eastAsia="宋体" w:cs="宋体"/>
          <w:color w:val="auto"/>
          <w:highlight w:val="none"/>
        </w:rPr>
        <w:t>“</w:t>
      </w:r>
      <w:r>
        <w:rPr>
          <w:rFonts w:hint="default" w:ascii="Times New Roman" w:hAnsi="Times New Roman"/>
          <w:color w:val="auto"/>
          <w:highlight w:val="none"/>
        </w:rPr>
        <w:t>原件扫描件</w:t>
      </w:r>
      <w:r>
        <w:rPr>
          <w:rFonts w:hint="eastAsia" w:ascii="宋体" w:hAnsi="宋体" w:eastAsia="宋体" w:cs="宋体"/>
          <w:color w:val="auto"/>
          <w:highlight w:val="none"/>
        </w:rPr>
        <w:t>”</w:t>
      </w:r>
      <w:r>
        <w:rPr>
          <w:rFonts w:hint="default" w:ascii="Times New Roman" w:hAnsi="Times New Roman"/>
          <w:color w:val="auto"/>
          <w:highlight w:val="none"/>
        </w:rPr>
        <w:t>，应从</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lang w:eastAsia="zh-CN"/>
        </w:rPr>
        <w:t>主体信息库</w:t>
      </w:r>
      <w:r>
        <w:rPr>
          <w:rFonts w:hint="default" w:ascii="Times New Roman" w:hAnsi="Times New Roman"/>
          <w:color w:val="auto"/>
          <w:highlight w:val="none"/>
        </w:rPr>
        <w:t>中选择并进行超链接，未标示</w:t>
      </w:r>
      <w:r>
        <w:rPr>
          <w:rFonts w:hint="eastAsia" w:ascii="宋体" w:hAnsi="宋体" w:eastAsia="宋体" w:cs="宋体"/>
          <w:color w:val="auto"/>
          <w:highlight w:val="none"/>
        </w:rPr>
        <w:t>“</w:t>
      </w:r>
      <w:r>
        <w:rPr>
          <w:rFonts w:hint="default" w:ascii="Times New Roman" w:hAnsi="Times New Roman"/>
          <w:color w:val="auto"/>
          <w:highlight w:val="none"/>
        </w:rPr>
        <w:t>原件扫描件</w:t>
      </w:r>
      <w:r>
        <w:rPr>
          <w:rFonts w:hint="eastAsia" w:ascii="宋体" w:hAnsi="宋体" w:eastAsia="宋体" w:cs="宋体"/>
          <w:color w:val="auto"/>
          <w:highlight w:val="none"/>
        </w:rPr>
        <w:t>”</w:t>
      </w:r>
      <w:r>
        <w:rPr>
          <w:rFonts w:hint="default" w:ascii="Times New Roman" w:hAnsi="Times New Roman"/>
          <w:color w:val="auto"/>
          <w:highlight w:val="none"/>
        </w:rPr>
        <w:t>的证明资料均应直接制作生成。</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（4）第六章</w:t>
      </w:r>
      <w:r>
        <w:rPr>
          <w:rFonts w:hint="eastAsia" w:ascii="宋体" w:hAnsi="宋体" w:eastAsia="宋体" w:cs="宋体"/>
          <w:color w:val="auto"/>
          <w:highlight w:val="none"/>
        </w:rPr>
        <w:t>“</w:t>
      </w:r>
      <w:r>
        <w:rPr>
          <w:rFonts w:hint="default" w:ascii="Times New Roman" w:hAnsi="Times New Roman"/>
          <w:color w:val="auto"/>
          <w:highlight w:val="none"/>
        </w:rPr>
        <w:t>投标文件格式</w:t>
      </w:r>
      <w:r>
        <w:rPr>
          <w:rFonts w:hint="eastAsia" w:ascii="宋体" w:hAnsi="宋体" w:eastAsia="宋体" w:cs="宋体"/>
          <w:color w:val="auto"/>
          <w:highlight w:val="none"/>
        </w:rPr>
        <w:t>”</w:t>
      </w:r>
      <w:r>
        <w:rPr>
          <w:rFonts w:hint="default" w:ascii="Times New Roman" w:hAnsi="Times New Roman"/>
          <w:color w:val="auto"/>
          <w:highlight w:val="none"/>
        </w:rPr>
        <w:t>中要求盖单位章和（或）签字的地方，投标人均应使用CA 数字证书加盖投标人的单位电子印章和（或）</w:t>
      </w:r>
      <w:r>
        <w:rPr>
          <w:rFonts w:hint="eastAsia" w:ascii="Times New Roman" w:hAnsi="Times New Roman"/>
          <w:color w:val="auto"/>
          <w:highlight w:val="none"/>
          <w:lang w:eastAsia="zh-CN"/>
        </w:rPr>
        <w:t>法定代表人或其委托代理人</w:t>
      </w:r>
      <w:r>
        <w:rPr>
          <w:rFonts w:hint="default" w:ascii="Times New Roman" w:hAnsi="Times New Roman"/>
          <w:color w:val="auto"/>
          <w:highlight w:val="none"/>
        </w:rPr>
        <w:t>的个人电子印章或</w:t>
      </w:r>
      <w:r>
        <w:rPr>
          <w:rFonts w:hint="default" w:ascii="Times New Roman" w:hAnsi="Times New Roman"/>
          <w:color w:val="auto"/>
          <w:highlight w:val="none"/>
          <w:lang w:eastAsia="zh-CN"/>
        </w:rPr>
        <w:t>电子签名</w:t>
      </w:r>
      <w:r>
        <w:rPr>
          <w:rFonts w:hint="default" w:ascii="Times New Roman" w:hAnsi="Times New Roman"/>
          <w:color w:val="auto"/>
          <w:highlight w:val="none"/>
        </w:rPr>
        <w:t>。联合体投标的，投标文件由联合体牵头人按上述规定加盖联合体牵头人单位电子印章和（或）</w:t>
      </w:r>
      <w:r>
        <w:rPr>
          <w:rFonts w:hint="eastAsia" w:ascii="Times New Roman" w:hAnsi="Times New Roman"/>
          <w:color w:val="auto"/>
          <w:highlight w:val="none"/>
          <w:lang w:eastAsia="zh-CN"/>
        </w:rPr>
        <w:t>法定代表人或其委托代理人</w:t>
      </w:r>
      <w:r>
        <w:rPr>
          <w:rFonts w:hint="default" w:ascii="Times New Roman" w:hAnsi="Times New Roman"/>
          <w:color w:val="auto"/>
          <w:highlight w:val="none"/>
        </w:rPr>
        <w:t>的个人电子印章或</w:t>
      </w:r>
      <w:r>
        <w:rPr>
          <w:rFonts w:hint="default" w:ascii="Times New Roman" w:hAnsi="Times New Roman"/>
          <w:color w:val="auto"/>
          <w:highlight w:val="none"/>
          <w:lang w:eastAsia="zh-CN"/>
        </w:rPr>
        <w:t>电子签名</w:t>
      </w:r>
      <w:r>
        <w:rPr>
          <w:rFonts w:hint="default" w:ascii="Times New Roman" w:hAnsi="Times New Roman"/>
          <w:color w:val="auto"/>
          <w:highlight w:val="none"/>
        </w:rPr>
        <w:t>。</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w:t>
      </w:r>
      <w:r>
        <w:rPr>
          <w:rFonts w:hint="default" w:ascii="Times New Roman" w:hAnsi="Times New Roman"/>
          <w:color w:val="auto"/>
          <w:highlight w:val="none"/>
          <w:lang w:val="en-US" w:eastAsia="zh-CN"/>
        </w:rPr>
        <w:t>5</w:t>
      </w:r>
      <w:r>
        <w:rPr>
          <w:rFonts w:hint="default" w:ascii="Times New Roman" w:hAnsi="Times New Roman"/>
          <w:color w:val="auto"/>
          <w:highlight w:val="none"/>
        </w:rPr>
        <w:t>）投标文件制作完成后，投标人应使用CA 数字证书对投标文件进行文件加密，形成加密的投标文件。</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w:t>
      </w:r>
      <w:r>
        <w:rPr>
          <w:rFonts w:hint="default" w:ascii="Times New Roman" w:hAnsi="Times New Roman"/>
          <w:color w:val="auto"/>
          <w:highlight w:val="none"/>
          <w:lang w:val="en-US" w:eastAsia="zh-CN"/>
        </w:rPr>
        <w:t>6</w:t>
      </w:r>
      <w:r>
        <w:rPr>
          <w:rFonts w:hint="default" w:ascii="Times New Roman" w:hAnsi="Times New Roman"/>
          <w:color w:val="auto"/>
          <w:highlight w:val="none"/>
        </w:rPr>
        <w:t>）投标文件制作的具体方法详见</w:t>
      </w:r>
      <w:r>
        <w:rPr>
          <w:rFonts w:hint="eastAsia" w:ascii="宋体" w:hAnsi="宋体" w:eastAsia="宋体" w:cs="宋体"/>
          <w:color w:val="auto"/>
          <w:highlight w:val="none"/>
        </w:rPr>
        <w:t>“</w:t>
      </w:r>
      <w:r>
        <w:rPr>
          <w:rFonts w:hint="default" w:ascii="Times New Roman" w:hAnsi="Times New Roman"/>
          <w:color w:val="auto"/>
          <w:highlight w:val="none"/>
        </w:rPr>
        <w:t>投标文件制作工具</w:t>
      </w:r>
      <w:r>
        <w:rPr>
          <w:rFonts w:hint="eastAsia" w:ascii="宋体" w:hAnsi="宋体" w:eastAsia="宋体" w:cs="宋体"/>
          <w:color w:val="auto"/>
          <w:highlight w:val="none"/>
        </w:rPr>
        <w:t>”</w:t>
      </w:r>
      <w:r>
        <w:rPr>
          <w:rFonts w:hint="default" w:ascii="Times New Roman" w:hAnsi="Times New Roman"/>
          <w:color w:val="auto"/>
          <w:highlight w:val="none"/>
        </w:rPr>
        <w:t>中的</w:t>
      </w:r>
      <w:r>
        <w:rPr>
          <w:rFonts w:hint="eastAsia" w:ascii="宋体" w:hAnsi="宋体" w:eastAsia="宋体" w:cs="宋体"/>
          <w:color w:val="auto"/>
          <w:highlight w:val="none"/>
        </w:rPr>
        <w:t>“</w:t>
      </w:r>
      <w:r>
        <w:rPr>
          <w:rFonts w:hint="default" w:ascii="Times New Roman" w:hAnsi="Times New Roman"/>
          <w:color w:val="auto"/>
          <w:highlight w:val="none"/>
        </w:rPr>
        <w:t>操作指南</w:t>
      </w:r>
      <w:r>
        <w:rPr>
          <w:rFonts w:hint="eastAsia" w:ascii="宋体" w:hAnsi="宋体" w:eastAsia="宋体" w:cs="宋体"/>
          <w:color w:val="auto"/>
          <w:highlight w:val="none"/>
        </w:rPr>
        <w:t>”</w:t>
      </w:r>
      <w:r>
        <w:rPr>
          <w:rFonts w:hint="default" w:ascii="Times New Roman" w:hAnsi="Times New Roman"/>
          <w:color w:val="auto"/>
          <w:highlight w:val="none"/>
        </w:rPr>
        <w:t>。</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3.7.4 因投标人自身原因而导致投标文件无法导入</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电子开标、评标系统，该投标视为无效投标，投标人自行承担由此导致的全部责任。</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 xml:space="preserve">3.7.5 </w:t>
      </w:r>
      <w:r>
        <w:rPr>
          <w:rFonts w:hint="default" w:ascii="Times New Roman" w:hAnsi="Times New Roman"/>
          <w:color w:val="auto"/>
          <w:highlight w:val="none"/>
          <w:lang w:eastAsia="zh-CN"/>
        </w:rPr>
        <w:t>投标文件上传的要求</w:t>
      </w:r>
      <w:r>
        <w:rPr>
          <w:rFonts w:hint="default" w:ascii="Times New Roman" w:hAnsi="Times New Roman"/>
          <w:color w:val="auto"/>
          <w:highlight w:val="none"/>
        </w:rPr>
        <w:t>：见投标人须知前附表。</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3.7.6 投标文件其他要求：见投标人须知前附表。</w:t>
      </w:r>
    </w:p>
    <w:p>
      <w:pPr>
        <w:pStyle w:val="3"/>
        <w:rPr>
          <w:rFonts w:ascii="Times New Roman" w:hAnsi="Times New Roman"/>
          <w:b w:val="0"/>
          <w:bCs/>
          <w:color w:val="auto"/>
          <w:highlight w:val="none"/>
        </w:rPr>
      </w:pPr>
      <w:bookmarkStart w:id="161" w:name="_Toc2761"/>
      <w:bookmarkStart w:id="162" w:name="_Toc491883121"/>
      <w:r>
        <w:rPr>
          <w:rFonts w:ascii="Times New Roman" w:hAnsi="Times New Roman"/>
          <w:b w:val="0"/>
          <w:bCs/>
          <w:color w:val="auto"/>
          <w:highlight w:val="none"/>
        </w:rPr>
        <w:t>4. 投标</w:t>
      </w:r>
      <w:bookmarkEnd w:id="161"/>
      <w:bookmarkEnd w:id="162"/>
    </w:p>
    <w:p>
      <w:pPr>
        <w:pStyle w:val="4"/>
        <w:spacing w:line="240" w:lineRule="auto"/>
        <w:ind w:firstLine="137"/>
        <w:rPr>
          <w:rFonts w:ascii="Times New Roman" w:hAnsi="Times New Roman"/>
          <w:color w:val="auto"/>
          <w:highlight w:val="none"/>
        </w:rPr>
      </w:pPr>
      <w:bookmarkStart w:id="163" w:name="_Toc31070"/>
      <w:bookmarkStart w:id="164" w:name="_Toc491883122"/>
      <w:r>
        <w:rPr>
          <w:rFonts w:ascii="Times New Roman" w:hAnsi="Times New Roman"/>
          <w:color w:val="auto"/>
          <w:highlight w:val="none"/>
        </w:rPr>
        <w:t>4.1 投标文件的密封和标记</w:t>
      </w:r>
      <w:bookmarkEnd w:id="163"/>
      <w:bookmarkEnd w:id="164"/>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投标文件应按照本章第3.7.3项要求制作并加密，未按要求加密的投标文件，招标人（</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）将拒绝接收并提示。</w:t>
      </w:r>
    </w:p>
    <w:p>
      <w:pPr>
        <w:pStyle w:val="4"/>
        <w:spacing w:line="240" w:lineRule="auto"/>
        <w:ind w:firstLine="137"/>
        <w:rPr>
          <w:rFonts w:ascii="Times New Roman" w:hAnsi="Times New Roman"/>
          <w:color w:val="auto"/>
          <w:highlight w:val="none"/>
        </w:rPr>
      </w:pPr>
      <w:bookmarkStart w:id="165" w:name="_Toc15134"/>
      <w:bookmarkStart w:id="166" w:name="_Toc491883123"/>
      <w:r>
        <w:rPr>
          <w:rFonts w:ascii="Times New Roman" w:hAnsi="Times New Roman"/>
          <w:color w:val="auto"/>
          <w:highlight w:val="none"/>
        </w:rPr>
        <w:t>4.2 投标文件的递交</w:t>
      </w:r>
      <w:bookmarkEnd w:id="165"/>
      <w:bookmarkEnd w:id="166"/>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4.2.1 投标人应在第一章</w:t>
      </w:r>
      <w:r>
        <w:rPr>
          <w:rFonts w:hint="eastAsia" w:ascii="宋体" w:hAnsi="宋体" w:eastAsia="宋体" w:cs="宋体"/>
          <w:color w:val="auto"/>
          <w:highlight w:val="none"/>
        </w:rPr>
        <w:t>“</w:t>
      </w:r>
      <w:r>
        <w:rPr>
          <w:rFonts w:hint="default" w:ascii="Times New Roman" w:hAnsi="Times New Roman"/>
          <w:color w:val="auto"/>
          <w:highlight w:val="none"/>
        </w:rPr>
        <w:t>招标公告</w:t>
      </w:r>
      <w:r>
        <w:rPr>
          <w:rFonts w:hint="eastAsia" w:ascii="宋体" w:hAnsi="宋体" w:eastAsia="宋体" w:cs="宋体"/>
          <w:color w:val="auto"/>
          <w:highlight w:val="none"/>
        </w:rPr>
        <w:t>”</w:t>
      </w:r>
      <w:r>
        <w:rPr>
          <w:rFonts w:hint="default" w:ascii="Times New Roman" w:hAnsi="Times New Roman"/>
          <w:color w:val="auto"/>
          <w:highlight w:val="none"/>
        </w:rPr>
        <w:t>规定的投标截止时间前，通过互联网使用CA数字证书登录</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，将加密的投标文件上传。投标人应充分考虑上传文件时的不可预见因素，未在投标截止时间前完成上传的，视为逾期送达，招标人（</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）将拒绝接收。</w:t>
      </w:r>
    </w:p>
    <w:p>
      <w:pPr>
        <w:spacing w:line="400" w:lineRule="exact"/>
        <w:ind w:firstLine="480" w:firstLineChars="200"/>
        <w:jc w:val="left"/>
        <w:rPr>
          <w:rFonts w:ascii="Times New Roman" w:hAnsi="Times New Roman"/>
          <w:color w:val="auto"/>
          <w:highlight w:val="none"/>
        </w:rPr>
      </w:pPr>
      <w:r>
        <w:rPr>
          <w:rFonts w:hint="default" w:ascii="Times New Roman" w:hAnsi="Times New Roman"/>
          <w:color w:val="auto"/>
          <w:highlight w:val="none"/>
        </w:rPr>
        <w:t>4.2.2 根据本章第4.1款的规定，投标人递交的投标文件，只要出现应当拒收的情形，其投标文件予以拒收。</w:t>
      </w:r>
    </w:p>
    <w:p>
      <w:pPr>
        <w:pStyle w:val="4"/>
        <w:spacing w:line="240" w:lineRule="auto"/>
        <w:ind w:firstLine="137"/>
        <w:rPr>
          <w:rFonts w:ascii="Times New Roman" w:hAnsi="Times New Roman"/>
          <w:color w:val="auto"/>
          <w:highlight w:val="none"/>
        </w:rPr>
      </w:pPr>
      <w:bookmarkStart w:id="167" w:name="_Toc25110"/>
      <w:bookmarkStart w:id="168" w:name="_Toc491883124"/>
      <w:r>
        <w:rPr>
          <w:rFonts w:ascii="Times New Roman" w:hAnsi="Times New Roman"/>
          <w:color w:val="auto"/>
          <w:highlight w:val="none"/>
        </w:rPr>
        <w:t>4.3 投标文件的修改与撤回</w:t>
      </w:r>
      <w:bookmarkEnd w:id="167"/>
      <w:bookmarkEnd w:id="168"/>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4.3.1 在本章第4.2.1项规定的投标截止时间前，投标人可以修改或撤回已递交的投标文件。投标人对加密的投标文件进行撤回的，应在</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直接进行撤回操作；投标人对加密的投标文件进行修改的，应在投标截止时间前完成上传。</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4.3.2 投标人修改投标文件的，应使用</w:t>
      </w:r>
      <w:r>
        <w:rPr>
          <w:rFonts w:hint="eastAsia" w:ascii="宋体" w:hAnsi="宋体" w:eastAsia="宋体" w:cs="宋体"/>
          <w:color w:val="auto"/>
          <w:highlight w:val="none"/>
        </w:rPr>
        <w:t>“</w:t>
      </w:r>
      <w:r>
        <w:rPr>
          <w:rFonts w:hint="default" w:ascii="Times New Roman" w:hAnsi="Times New Roman"/>
          <w:color w:val="auto"/>
          <w:highlight w:val="none"/>
        </w:rPr>
        <w:t>投标文件制作工具</w:t>
      </w:r>
      <w:r>
        <w:rPr>
          <w:rFonts w:hint="eastAsia" w:ascii="宋体" w:hAnsi="宋体" w:eastAsia="宋体" w:cs="宋体"/>
          <w:color w:val="auto"/>
          <w:highlight w:val="none"/>
        </w:rPr>
        <w:t>”</w:t>
      </w:r>
      <w:r>
        <w:rPr>
          <w:rFonts w:hint="default" w:ascii="Times New Roman" w:hAnsi="Times New Roman"/>
          <w:color w:val="auto"/>
          <w:highlight w:val="none"/>
        </w:rPr>
        <w:t>制作成完整的投标文件，并按照本章第3条、第4条规定进行编制、加密和递交。对采用网上递交的加密的投标文件，以投标截止时间前最后完成上传的文件为准。</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4.3.3 投标人撤回投标文件的，招标人自收到投标人书面撤回通知之日起5日内退还已收取的投标保证金。</w:t>
      </w:r>
    </w:p>
    <w:p>
      <w:pPr>
        <w:pStyle w:val="3"/>
        <w:rPr>
          <w:rFonts w:ascii="Times New Roman" w:hAnsi="Times New Roman"/>
          <w:b w:val="0"/>
          <w:bCs/>
          <w:color w:val="auto"/>
          <w:highlight w:val="none"/>
        </w:rPr>
      </w:pPr>
      <w:bookmarkStart w:id="169" w:name="_Toc491883125"/>
      <w:bookmarkStart w:id="170" w:name="_Toc10870"/>
      <w:r>
        <w:rPr>
          <w:rFonts w:ascii="Times New Roman" w:hAnsi="Times New Roman"/>
          <w:b w:val="0"/>
          <w:bCs/>
          <w:color w:val="auto"/>
          <w:highlight w:val="none"/>
        </w:rPr>
        <w:t>5. 开标</w:t>
      </w:r>
      <w:bookmarkEnd w:id="169"/>
      <w:bookmarkEnd w:id="170"/>
    </w:p>
    <w:p>
      <w:pPr>
        <w:pStyle w:val="4"/>
        <w:spacing w:line="240" w:lineRule="auto"/>
        <w:ind w:firstLine="137"/>
        <w:rPr>
          <w:rFonts w:ascii="Times New Roman" w:hAnsi="Times New Roman"/>
          <w:color w:val="auto"/>
          <w:highlight w:val="none"/>
        </w:rPr>
      </w:pPr>
      <w:bookmarkStart w:id="171" w:name="_Toc491883126"/>
      <w:bookmarkStart w:id="172" w:name="_Toc21420"/>
      <w:r>
        <w:rPr>
          <w:rFonts w:ascii="Times New Roman" w:hAnsi="Times New Roman"/>
          <w:color w:val="auto"/>
          <w:highlight w:val="none"/>
        </w:rPr>
        <w:t>5.1 开标时间和地点</w:t>
      </w:r>
      <w:bookmarkEnd w:id="171"/>
      <w:bookmarkEnd w:id="172"/>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5.1.1 招标人在投标人须知前附表规定的投标截止时间</w:t>
      </w:r>
      <w:r>
        <w:rPr>
          <w:rFonts w:hint="eastAsia" w:ascii="Times New Roman" w:hAnsi="Times New Roman"/>
          <w:color w:val="auto"/>
          <w:highlight w:val="none"/>
          <w:lang w:eastAsia="zh-CN"/>
        </w:rPr>
        <w:t>（</w:t>
      </w:r>
      <w:r>
        <w:rPr>
          <w:rFonts w:hint="default" w:ascii="Times New Roman" w:hAnsi="Times New Roman"/>
          <w:color w:val="auto"/>
          <w:highlight w:val="none"/>
        </w:rPr>
        <w:t>开标时间</w:t>
      </w:r>
      <w:r>
        <w:rPr>
          <w:rFonts w:hint="eastAsia" w:ascii="Times New Roman" w:hAnsi="Times New Roman"/>
          <w:color w:val="auto"/>
          <w:highlight w:val="none"/>
          <w:lang w:eastAsia="zh-CN"/>
        </w:rPr>
        <w:t>）</w:t>
      </w:r>
      <w:r>
        <w:rPr>
          <w:rFonts w:hint="default" w:ascii="Times New Roman" w:hAnsi="Times New Roman"/>
          <w:color w:val="auto"/>
          <w:highlight w:val="none"/>
        </w:rPr>
        <w:t>和地点在</w:t>
      </w:r>
      <w:r>
        <w:rPr>
          <w:rFonts w:hint="eastAsia" w:ascii="宋体" w:hAnsi="宋体" w:eastAsia="宋体" w:cs="宋体"/>
          <w:color w:val="auto"/>
          <w:highlight w:val="none"/>
        </w:rPr>
        <w:t>“辽宁省公共资源交易中心不见面开标大厅”（以下简称“不见面开标大厅”）</w:t>
      </w:r>
      <w:r>
        <w:rPr>
          <w:rFonts w:hint="default" w:ascii="Times New Roman" w:hAnsi="Times New Roman"/>
          <w:color w:val="auto"/>
          <w:highlight w:val="none"/>
        </w:rPr>
        <w:t>上公开进行第一个信封（商务及技术文件）开标，所有投标人均应当准时在线参加开标。</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招标人还将在投标人须知前附表规定的时间和地点对投标文件第二个信封（报价文件）在</w:t>
      </w:r>
      <w:r>
        <w:rPr>
          <w:rFonts w:hint="eastAsia" w:ascii="宋体" w:hAnsi="宋体" w:eastAsia="宋体" w:cs="宋体"/>
          <w:color w:val="auto"/>
          <w:highlight w:val="none"/>
        </w:rPr>
        <w:t>“不见面开标大厅”</w:t>
      </w:r>
      <w:r>
        <w:rPr>
          <w:rFonts w:hint="default" w:ascii="Times New Roman" w:hAnsi="Times New Roman"/>
          <w:color w:val="auto"/>
          <w:highlight w:val="none"/>
        </w:rPr>
        <w:t>进行公开开标，并邀请所有投标人代表准时参加。</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投标人代表应按时参加第一个信封（商务及技术文件）及第二个信封（报价文件）线上开标会。</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5.1.2 投标人应当在能够保证设施设备可靠、互联网畅通的任意地点，通过互联网在线参加开标，并实时在线关注招标人的操作情况。</w:t>
      </w:r>
    </w:p>
    <w:p>
      <w:pPr>
        <w:pStyle w:val="4"/>
        <w:spacing w:line="240" w:lineRule="auto"/>
        <w:ind w:firstLine="137"/>
        <w:rPr>
          <w:rFonts w:ascii="Times New Roman" w:hAnsi="Times New Roman"/>
          <w:color w:val="auto"/>
          <w:highlight w:val="none"/>
        </w:rPr>
      </w:pPr>
      <w:bookmarkStart w:id="173" w:name="_Toc491883128"/>
      <w:bookmarkStart w:id="174" w:name="_Toc25210"/>
      <w:r>
        <w:rPr>
          <w:rFonts w:ascii="Times New Roman" w:hAnsi="Times New Roman"/>
          <w:color w:val="auto"/>
          <w:highlight w:val="none"/>
        </w:rPr>
        <w:t>5.2 开标程序</w:t>
      </w:r>
      <w:bookmarkEnd w:id="173"/>
      <w:bookmarkEnd w:id="174"/>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5.2.1 主持人按下列程序对投标文件第一个信封（商务及技术文件）进行开标：</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（1）宣布开标纪律；</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（2）公布在投标截止时间前递交至</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投标文件的投标人数量；</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w:t>
      </w:r>
      <w:r>
        <w:rPr>
          <w:rFonts w:hint="default" w:ascii="Times New Roman" w:hAnsi="Times New Roman"/>
          <w:color w:val="auto"/>
          <w:highlight w:val="none"/>
          <w:lang w:val="en-US" w:eastAsia="zh-CN"/>
        </w:rPr>
        <w:t>3</w:t>
      </w:r>
      <w:r>
        <w:rPr>
          <w:rFonts w:hint="default" w:ascii="Times New Roman" w:hAnsi="Times New Roman"/>
          <w:color w:val="auto"/>
          <w:highlight w:val="none"/>
        </w:rPr>
        <w:t>）投标人代表通过互联网使用CA数字证书登录</w:t>
      </w:r>
      <w:r>
        <w:rPr>
          <w:rFonts w:hint="eastAsia" w:ascii="宋体" w:hAnsi="宋体" w:eastAsia="宋体" w:cs="宋体"/>
          <w:color w:val="auto"/>
          <w:highlight w:val="none"/>
        </w:rPr>
        <w:t>“不见面开标大厅”</w:t>
      </w:r>
      <w:r>
        <w:rPr>
          <w:rFonts w:hint="default" w:ascii="Times New Roman" w:hAnsi="Times New Roman"/>
          <w:color w:val="auto"/>
          <w:highlight w:val="none"/>
        </w:rPr>
        <w:t>在投标人须知前附表规定的时间内解密加密的投标文件第一个信封（商务及技术文件）；</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w:t>
      </w:r>
      <w:r>
        <w:rPr>
          <w:rFonts w:hint="eastAsia" w:ascii="Times New Roman" w:hAnsi="Times New Roman"/>
          <w:color w:val="auto"/>
          <w:highlight w:val="none"/>
          <w:lang w:val="en-US" w:eastAsia="zh-CN"/>
        </w:rPr>
        <w:t>4</w:t>
      </w:r>
      <w:r>
        <w:rPr>
          <w:rFonts w:hint="default" w:ascii="Times New Roman" w:hAnsi="Times New Roman"/>
          <w:color w:val="auto"/>
          <w:highlight w:val="none"/>
        </w:rPr>
        <w:t>）招标人对未成功解密的投标文件进行退回并按本章第5.3款进行补救处理；</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w:t>
      </w:r>
      <w:r>
        <w:rPr>
          <w:rFonts w:hint="eastAsia" w:ascii="Times New Roman" w:hAnsi="Times New Roman"/>
          <w:color w:val="auto"/>
          <w:highlight w:val="none"/>
          <w:lang w:val="en-US" w:eastAsia="zh-CN"/>
        </w:rPr>
        <w:t>5</w:t>
      </w:r>
      <w:r>
        <w:rPr>
          <w:rFonts w:hint="default" w:ascii="Times New Roman" w:hAnsi="Times New Roman"/>
          <w:color w:val="auto"/>
          <w:highlight w:val="none"/>
        </w:rPr>
        <w:t>）导入并读取所有解密成功的投标文件第一个信封（商务及技术文件）内容；</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w:t>
      </w:r>
      <w:r>
        <w:rPr>
          <w:rFonts w:hint="eastAsia" w:ascii="Times New Roman" w:hAnsi="Times New Roman"/>
          <w:color w:val="auto"/>
          <w:highlight w:val="none"/>
          <w:lang w:val="en-US" w:eastAsia="zh-CN"/>
        </w:rPr>
        <w:t>6</w:t>
      </w:r>
      <w:r>
        <w:rPr>
          <w:rFonts w:hint="default" w:ascii="Times New Roman" w:hAnsi="Times New Roman"/>
          <w:color w:val="auto"/>
          <w:highlight w:val="none"/>
        </w:rPr>
        <w:t>）公布标段名称、投标人名称</w:t>
      </w:r>
      <w:r>
        <w:rPr>
          <w:rFonts w:hint="default" w:ascii="Times New Roman" w:hAnsi="Times New Roman"/>
          <w:color w:val="auto"/>
          <w:highlight w:val="none"/>
          <w:lang w:eastAsia="zh-CN"/>
        </w:rPr>
        <w:t>、</w:t>
      </w:r>
      <w:r>
        <w:rPr>
          <w:rFonts w:hint="eastAsia" w:ascii="Times New Roman" w:hAnsi="Times New Roman"/>
          <w:color w:val="auto"/>
          <w:highlight w:val="none"/>
          <w:lang w:val="en-US" w:eastAsia="zh-CN"/>
        </w:rPr>
        <w:t>交货期</w:t>
      </w:r>
      <w:r>
        <w:rPr>
          <w:rFonts w:hint="default" w:ascii="Times New Roman" w:hAnsi="Times New Roman"/>
          <w:color w:val="auto"/>
          <w:highlight w:val="none"/>
        </w:rPr>
        <w:t>及其他内容，并记录在案；</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lang w:eastAsia="zh-CN"/>
        </w:rPr>
        <w:t>（</w:t>
      </w:r>
      <w:r>
        <w:rPr>
          <w:rFonts w:hint="eastAsia" w:ascii="Times New Roman" w:hAnsi="Times New Roman"/>
          <w:color w:val="auto"/>
          <w:highlight w:val="none"/>
          <w:lang w:val="en-US" w:eastAsia="zh-CN"/>
        </w:rPr>
        <w:t>7</w:t>
      </w:r>
      <w:r>
        <w:rPr>
          <w:rFonts w:hint="default" w:ascii="Times New Roman" w:hAnsi="Times New Roman"/>
          <w:color w:val="auto"/>
          <w:highlight w:val="none"/>
          <w:lang w:eastAsia="zh-CN"/>
        </w:rPr>
        <w:t>）</w:t>
      </w:r>
      <w:r>
        <w:rPr>
          <w:rFonts w:hint="default" w:ascii="Times New Roman" w:hAnsi="Times New Roman"/>
          <w:color w:val="auto"/>
          <w:highlight w:val="none"/>
        </w:rPr>
        <w:t>投标人代表对开标记录进行确认。投标人代表对开标结果有异议的应在规定时间内通过</w:t>
      </w:r>
      <w:r>
        <w:rPr>
          <w:rFonts w:hint="eastAsia" w:ascii="宋体" w:hAnsi="宋体" w:eastAsia="宋体" w:cs="宋体"/>
          <w:color w:val="auto"/>
          <w:highlight w:val="none"/>
        </w:rPr>
        <w:t>“</w:t>
      </w:r>
      <w:r>
        <w:rPr>
          <w:rFonts w:hint="default" w:ascii="Times New Roman" w:hAnsi="Times New Roman"/>
          <w:color w:val="auto"/>
          <w:highlight w:val="none"/>
        </w:rPr>
        <w:t>不见面开标大厅</w:t>
      </w:r>
      <w:r>
        <w:rPr>
          <w:rFonts w:hint="eastAsia" w:ascii="宋体" w:hAnsi="宋体" w:eastAsia="宋体" w:cs="宋体"/>
          <w:color w:val="auto"/>
          <w:highlight w:val="none"/>
        </w:rPr>
        <w:t>”</w:t>
      </w:r>
      <w:r>
        <w:rPr>
          <w:rFonts w:hint="default" w:ascii="Times New Roman" w:hAnsi="Times New Roman"/>
          <w:color w:val="auto"/>
          <w:highlight w:val="none"/>
        </w:rPr>
        <w:t>提出，否则视为无异议；</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w:t>
      </w:r>
      <w:r>
        <w:rPr>
          <w:rFonts w:hint="eastAsia" w:ascii="Times New Roman" w:hAnsi="Times New Roman"/>
          <w:color w:val="auto"/>
          <w:highlight w:val="none"/>
          <w:lang w:val="en-US" w:eastAsia="zh-CN"/>
        </w:rPr>
        <w:t>8</w:t>
      </w:r>
      <w:r>
        <w:rPr>
          <w:rFonts w:hint="default" w:ascii="Times New Roman" w:hAnsi="Times New Roman"/>
          <w:color w:val="auto"/>
          <w:highlight w:val="none"/>
        </w:rPr>
        <w:t>）开标结束。</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5.2.2 投标文件第二个信封（报价文件）在投标文件第一个信封（商务及技术文件）完成评审前，</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的开标评标系统将不进行读取。</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5.2.3 招标人将按照本章第5.1款规定的时间和地点对投标文件第二个信封（报价文件）进行开标。主持人按下列程序进行开标：</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（1）宣布开标纪律；</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（2）当众宣布通过投标文件第一个信封（商务及技术文件）评审的投标人名单；</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（3）通过投标文件第一个信封（商务及技术文件）评审的投标人代表通过互联网使用CA数字证书登录</w:t>
      </w:r>
      <w:r>
        <w:rPr>
          <w:rFonts w:hint="eastAsia" w:ascii="宋体" w:hAnsi="宋体" w:eastAsia="宋体" w:cs="宋体"/>
          <w:color w:val="auto"/>
          <w:highlight w:val="none"/>
          <w:lang w:val="en-US" w:eastAsia="zh-CN"/>
        </w:rPr>
        <w:t>“不见面开标大厅”</w:t>
      </w:r>
      <w:r>
        <w:rPr>
          <w:rFonts w:hint="default" w:ascii="Times New Roman" w:hAnsi="Times New Roman"/>
          <w:color w:val="auto"/>
          <w:highlight w:val="none"/>
          <w:lang w:val="en-US" w:eastAsia="zh-CN"/>
        </w:rPr>
        <w:t>在投标人须知前附表规定的时间内解密加密的投标文件第二个信封（报价文件）；</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（4）招标人对未成功解密的投标文件进行退回并按本章第5.3款进行补救处理；</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（5）导入并读取所有通过投标文件第一个信封（商务及技术文件）评审的解密成功的投标文件第二个信封（报价文件）的内容；</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 xml:space="preserve">（6）公布标段名称、投标人名称、投标报价及其他内容，并记录在案； </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（7）随机抽取评标基准价计算方法、评标基准价系数；（如有）</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（8）投标人代表对开标记录进行确认。投标人代表对开标结果有异议的应在规定时间内通过</w:t>
      </w:r>
      <w:r>
        <w:rPr>
          <w:rFonts w:hint="eastAsia" w:ascii="宋体" w:hAnsi="宋体" w:eastAsia="宋体" w:cs="宋体"/>
          <w:color w:val="auto"/>
          <w:highlight w:val="none"/>
          <w:lang w:val="en-US" w:eastAsia="zh-CN"/>
        </w:rPr>
        <w:t>“</w:t>
      </w:r>
      <w:r>
        <w:rPr>
          <w:rFonts w:hint="default" w:ascii="Times New Roman" w:hAnsi="Times New Roman"/>
          <w:color w:val="auto"/>
          <w:highlight w:val="none"/>
          <w:lang w:val="en-US" w:eastAsia="zh-CN"/>
        </w:rPr>
        <w:t>不见面开标大厅</w:t>
      </w:r>
      <w:r>
        <w:rPr>
          <w:rFonts w:hint="eastAsia" w:ascii="宋体" w:hAnsi="宋体" w:eastAsia="宋体" w:cs="宋体"/>
          <w:color w:val="auto"/>
          <w:highlight w:val="none"/>
          <w:lang w:val="en-US" w:eastAsia="zh-CN"/>
        </w:rPr>
        <w:t>”</w:t>
      </w:r>
      <w:r>
        <w:rPr>
          <w:rFonts w:hint="default" w:ascii="Times New Roman" w:hAnsi="Times New Roman"/>
          <w:color w:val="auto"/>
          <w:highlight w:val="none"/>
          <w:lang w:val="en-US" w:eastAsia="zh-CN"/>
        </w:rPr>
        <w:t>提出，否则视为无异议；</w:t>
      </w:r>
    </w:p>
    <w:p>
      <w:pPr>
        <w:spacing w:line="400" w:lineRule="exact"/>
        <w:ind w:firstLine="480" w:firstLineChars="200"/>
        <w:rPr>
          <w:rFonts w:hint="default" w:ascii="Times New Roman" w:hAnsi="Times New Roman" w:eastAsia="宋体"/>
          <w:color w:val="auto"/>
          <w:highlight w:val="none"/>
          <w:lang w:val="en-US" w:eastAsia="zh-CN"/>
        </w:rPr>
      </w:pPr>
      <w:r>
        <w:rPr>
          <w:rFonts w:hint="default" w:ascii="Times New Roman" w:hAnsi="Times New Roman"/>
          <w:color w:val="auto"/>
          <w:highlight w:val="none"/>
          <w:lang w:val="en-US" w:eastAsia="zh-CN"/>
        </w:rPr>
        <w:t>（9）开标结束。</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lang w:val="en-US" w:eastAsia="zh-CN"/>
        </w:rPr>
        <w:t xml:space="preserve">5.2.4 </w:t>
      </w:r>
      <w:r>
        <w:rPr>
          <w:rFonts w:hint="default" w:ascii="Times New Roman" w:hAnsi="Times New Roman"/>
          <w:color w:val="auto"/>
          <w:highlight w:val="none"/>
        </w:rPr>
        <w:t>在投标文件第二个信封（报价文件）开标现场，招标人将按第三章</w:t>
      </w:r>
      <w:r>
        <w:rPr>
          <w:rFonts w:hint="eastAsia" w:ascii="宋体" w:hAnsi="宋体" w:eastAsia="宋体" w:cs="宋体"/>
          <w:color w:val="auto"/>
          <w:highlight w:val="none"/>
        </w:rPr>
        <w:t>“</w:t>
      </w:r>
      <w:r>
        <w:rPr>
          <w:rFonts w:hint="default" w:ascii="Times New Roman" w:hAnsi="Times New Roman"/>
          <w:color w:val="auto"/>
          <w:highlight w:val="none"/>
        </w:rPr>
        <w:t>评标办法</w:t>
      </w:r>
      <w:r>
        <w:rPr>
          <w:rFonts w:hint="eastAsia" w:ascii="宋体" w:hAnsi="宋体" w:eastAsia="宋体" w:cs="宋体"/>
          <w:color w:val="auto"/>
          <w:highlight w:val="none"/>
        </w:rPr>
        <w:t>”</w:t>
      </w:r>
      <w:r>
        <w:rPr>
          <w:rFonts w:hint="default" w:ascii="Times New Roman" w:hAnsi="Times New Roman"/>
          <w:color w:val="auto"/>
          <w:highlight w:val="none"/>
        </w:rPr>
        <w:t>规定的原则计算并宣布评标基准价。若招标人发现投标文件出现以下任一情况，其投标报价将不再参加评标基准价的计算：</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（1）未在投标函上填写投标总价；</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（2）投标报价超出招标人公布的最高投标限价（如有）；</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（3）投标报价的大写金额无法确定具体数值；</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（4）投标函上填写的标段号与上传的对应项目标段号不一致（如分标段）。</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如果投标人认为某一标段的评标基准价计算有误，有权在开标现场提出，经招标人当场核实确认之后，可重新宣布评标基准价。开标现场宣布的评标基准价除计算有误经评标委员会修正外，在整个评标期间保持不变，不随任何因素发生变化。</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5.2.</w:t>
      </w:r>
      <w:r>
        <w:rPr>
          <w:rFonts w:hint="default" w:ascii="Times New Roman" w:hAnsi="Times New Roman"/>
          <w:color w:val="auto"/>
          <w:highlight w:val="none"/>
          <w:lang w:val="en-US" w:eastAsia="zh-CN"/>
        </w:rPr>
        <w:t>5</w:t>
      </w:r>
      <w:r>
        <w:rPr>
          <w:rFonts w:hint="default" w:ascii="Times New Roman" w:hAnsi="Times New Roman"/>
          <w:color w:val="auto"/>
          <w:highlight w:val="none"/>
        </w:rPr>
        <w:t xml:space="preserve"> 在投标文件第一个信封（商务及技术文件）或第二个信封（报价文件）开标过程中，若开标现场公布的内容与投标文件不符，投标人有权在开标现场提出疑问，经招标人当场核查确认之后，可重新公布其</w:t>
      </w:r>
      <w:r>
        <w:rPr>
          <w:rFonts w:hint="default" w:ascii="Times New Roman" w:hAnsi="Times New Roman"/>
          <w:color w:val="auto"/>
          <w:highlight w:val="none"/>
          <w:lang w:val="en-US" w:eastAsia="zh-CN"/>
        </w:rPr>
        <w:t>内容</w:t>
      </w:r>
      <w:r>
        <w:rPr>
          <w:rFonts w:hint="default" w:ascii="Times New Roman" w:hAnsi="Times New Roman"/>
          <w:color w:val="auto"/>
          <w:highlight w:val="none"/>
        </w:rPr>
        <w:t>。若投标人现场未提出疑问，则认为投标人已确认开标现场公布的内容。</w:t>
      </w:r>
    </w:p>
    <w:p>
      <w:pPr>
        <w:pStyle w:val="4"/>
        <w:spacing w:line="240" w:lineRule="auto"/>
        <w:ind w:firstLine="137"/>
        <w:rPr>
          <w:rFonts w:ascii="Times New Roman" w:hAnsi="Times New Roman"/>
          <w:color w:val="auto"/>
          <w:highlight w:val="none"/>
        </w:rPr>
      </w:pPr>
      <w:bookmarkStart w:id="175" w:name="_Toc8817"/>
      <w:bookmarkStart w:id="176" w:name="_Toc491883129"/>
      <w:r>
        <w:rPr>
          <w:rFonts w:ascii="Times New Roman" w:hAnsi="Times New Roman"/>
          <w:color w:val="auto"/>
          <w:highlight w:val="none"/>
        </w:rPr>
        <w:t>5.3 开标</w:t>
      </w:r>
      <w:r>
        <w:rPr>
          <w:rFonts w:hint="default" w:ascii="Times New Roman" w:hAnsi="Times New Roman"/>
          <w:color w:val="auto"/>
          <w:highlight w:val="none"/>
          <w:lang w:val="en-US" w:eastAsia="zh-CN"/>
        </w:rPr>
        <w:t>补救措施</w:t>
      </w:r>
      <w:bookmarkEnd w:id="175"/>
      <w:bookmarkEnd w:id="176"/>
    </w:p>
    <w:p>
      <w:pPr>
        <w:spacing w:line="400" w:lineRule="exact"/>
        <w:ind w:firstLine="410" w:firstLineChars="171"/>
        <w:rPr>
          <w:rFonts w:hint="default" w:ascii="Times New Roman" w:hAnsi="Times New Roman"/>
          <w:color w:val="auto"/>
          <w:highlight w:val="none"/>
        </w:rPr>
      </w:pPr>
      <w:r>
        <w:rPr>
          <w:rFonts w:hint="default" w:ascii="Times New Roman" w:hAnsi="Times New Roman"/>
          <w:color w:val="auto"/>
          <w:highlight w:val="none"/>
        </w:rPr>
        <w:t>5.3.1 开标过程中因本章第5.3.2项、第5.3.3项所列原因，导致系统无法正常运行，将按投标人须知前附表的规定采取补救措施。</w:t>
      </w:r>
    </w:p>
    <w:p>
      <w:pPr>
        <w:spacing w:line="400" w:lineRule="exact"/>
        <w:ind w:firstLine="410" w:firstLineChars="171"/>
        <w:rPr>
          <w:rFonts w:hint="default" w:ascii="Times New Roman" w:hAnsi="Times New Roman"/>
          <w:color w:val="auto"/>
          <w:highlight w:val="none"/>
        </w:rPr>
      </w:pPr>
      <w:r>
        <w:rPr>
          <w:rFonts w:hint="default" w:ascii="Times New Roman" w:hAnsi="Times New Roman"/>
          <w:color w:val="auto"/>
          <w:highlight w:val="none"/>
        </w:rPr>
        <w:t>5.3.2 因</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系统故障导致投标人无法正常上传加密的投标文件，投标人应打印并递交电子交易平台自动生成的上传失败的异常记录单。</w:t>
      </w:r>
    </w:p>
    <w:p>
      <w:pPr>
        <w:spacing w:line="400" w:lineRule="exact"/>
        <w:ind w:firstLine="410" w:firstLineChars="171"/>
        <w:rPr>
          <w:rFonts w:hint="default" w:ascii="Times New Roman" w:hAnsi="Times New Roman"/>
          <w:color w:val="auto"/>
          <w:highlight w:val="none"/>
        </w:rPr>
      </w:pPr>
      <w:r>
        <w:rPr>
          <w:rFonts w:hint="default" w:ascii="Times New Roman" w:hAnsi="Times New Roman"/>
          <w:color w:val="auto"/>
          <w:highlight w:val="none"/>
        </w:rPr>
        <w:t>5.3.3 当出现以下情况时，应对未开标的中止电子开标，并在恢复正常后及时安排时间开标：</w:t>
      </w:r>
    </w:p>
    <w:p>
      <w:pPr>
        <w:spacing w:line="400" w:lineRule="exact"/>
        <w:ind w:firstLine="410" w:firstLineChars="171"/>
        <w:rPr>
          <w:rFonts w:hint="default" w:ascii="Times New Roman" w:hAnsi="Times New Roman"/>
          <w:color w:val="auto"/>
          <w:highlight w:val="none"/>
        </w:rPr>
      </w:pPr>
      <w:r>
        <w:rPr>
          <w:rFonts w:hint="default" w:ascii="Times New Roman" w:hAnsi="Times New Roman"/>
          <w:color w:val="auto"/>
          <w:highlight w:val="none"/>
        </w:rPr>
        <w:t>（1）系统服务器发生故障，无法访问或无法使用系统；</w:t>
      </w:r>
    </w:p>
    <w:p>
      <w:pPr>
        <w:spacing w:line="400" w:lineRule="exact"/>
        <w:ind w:firstLine="410" w:firstLineChars="171"/>
        <w:rPr>
          <w:rFonts w:hint="default" w:ascii="Times New Roman" w:hAnsi="Times New Roman"/>
          <w:color w:val="auto"/>
          <w:highlight w:val="none"/>
        </w:rPr>
      </w:pPr>
      <w:r>
        <w:rPr>
          <w:rFonts w:hint="default" w:ascii="Times New Roman" w:hAnsi="Times New Roman"/>
          <w:color w:val="auto"/>
          <w:highlight w:val="none"/>
        </w:rPr>
        <w:t>（2）系统的软件或数据库出现错误，不能进行正常操作；</w:t>
      </w:r>
    </w:p>
    <w:p>
      <w:pPr>
        <w:spacing w:line="400" w:lineRule="exact"/>
        <w:ind w:firstLine="410" w:firstLineChars="171"/>
        <w:rPr>
          <w:rFonts w:hint="default" w:ascii="Times New Roman" w:hAnsi="Times New Roman"/>
          <w:color w:val="auto"/>
          <w:highlight w:val="none"/>
        </w:rPr>
      </w:pPr>
      <w:r>
        <w:rPr>
          <w:rFonts w:hint="default" w:ascii="Times New Roman" w:hAnsi="Times New Roman"/>
          <w:color w:val="auto"/>
          <w:highlight w:val="none"/>
        </w:rPr>
        <w:t>（3）系统发现有安全漏洞，有潜在的泄密危险；</w:t>
      </w:r>
    </w:p>
    <w:p>
      <w:pPr>
        <w:spacing w:line="400" w:lineRule="exact"/>
        <w:ind w:firstLine="410" w:firstLineChars="171"/>
        <w:rPr>
          <w:rFonts w:hint="default" w:ascii="Times New Roman" w:hAnsi="Times New Roman"/>
          <w:color w:val="auto"/>
          <w:highlight w:val="none"/>
        </w:rPr>
      </w:pPr>
      <w:r>
        <w:rPr>
          <w:rFonts w:hint="default" w:ascii="Times New Roman" w:hAnsi="Times New Roman"/>
          <w:color w:val="auto"/>
          <w:highlight w:val="none"/>
        </w:rPr>
        <w:t>（4）出现断电事故且短时间内无法恢复供电；</w:t>
      </w:r>
    </w:p>
    <w:p>
      <w:pPr>
        <w:spacing w:line="400" w:lineRule="exact"/>
        <w:ind w:firstLine="410" w:firstLineChars="171"/>
        <w:rPr>
          <w:rFonts w:hint="default" w:ascii="Times New Roman" w:hAnsi="Times New Roman"/>
          <w:color w:val="auto"/>
          <w:highlight w:val="none"/>
        </w:rPr>
      </w:pPr>
      <w:r>
        <w:rPr>
          <w:rFonts w:hint="default" w:ascii="Times New Roman" w:hAnsi="Times New Roman"/>
          <w:color w:val="auto"/>
          <w:highlight w:val="none"/>
        </w:rPr>
        <w:t>（5）其他无法保证招投标过程正常进行的情形。</w:t>
      </w:r>
    </w:p>
    <w:p>
      <w:pPr>
        <w:spacing w:line="400" w:lineRule="exact"/>
        <w:ind w:firstLine="410" w:firstLineChars="171"/>
        <w:rPr>
          <w:rFonts w:ascii="Times New Roman" w:hAnsi="Times New Roman"/>
          <w:color w:val="auto"/>
          <w:highlight w:val="none"/>
        </w:rPr>
      </w:pPr>
      <w:r>
        <w:rPr>
          <w:rFonts w:hint="default" w:ascii="Times New Roman" w:hAnsi="Times New Roman"/>
          <w:color w:val="auto"/>
          <w:highlight w:val="none"/>
        </w:rPr>
        <w:t>5.3.4 采取补救措施时，必须对原有资料及信息作出妥善保密处理。</w:t>
      </w:r>
    </w:p>
    <w:p>
      <w:pPr>
        <w:pStyle w:val="4"/>
        <w:spacing w:line="240" w:lineRule="auto"/>
        <w:ind w:firstLine="137"/>
        <w:rPr>
          <w:rFonts w:ascii="Times New Roman" w:hAnsi="Times New Roman"/>
          <w:color w:val="auto"/>
          <w:highlight w:val="none"/>
        </w:rPr>
      </w:pPr>
      <w:bookmarkStart w:id="177" w:name="_Toc14932"/>
      <w:r>
        <w:rPr>
          <w:rFonts w:ascii="Times New Roman" w:hAnsi="Times New Roman"/>
          <w:color w:val="auto"/>
          <w:highlight w:val="none"/>
        </w:rPr>
        <w:t>5.</w:t>
      </w:r>
      <w:r>
        <w:rPr>
          <w:rFonts w:hint="default" w:ascii="Times New Roman" w:hAnsi="Times New Roman"/>
          <w:color w:val="auto"/>
          <w:highlight w:val="none"/>
          <w:lang w:val="en-US" w:eastAsia="zh-CN"/>
        </w:rPr>
        <w:t>4</w:t>
      </w:r>
      <w:r>
        <w:rPr>
          <w:rFonts w:ascii="Times New Roman" w:hAnsi="Times New Roman"/>
          <w:color w:val="auto"/>
          <w:highlight w:val="none"/>
        </w:rPr>
        <w:t xml:space="preserve"> 开标异议</w:t>
      </w:r>
      <w:bookmarkEnd w:id="177"/>
    </w:p>
    <w:p>
      <w:pPr>
        <w:spacing w:line="400" w:lineRule="exact"/>
        <w:ind w:firstLine="410" w:firstLineChars="171"/>
        <w:rPr>
          <w:rFonts w:ascii="Times New Roman" w:hAnsi="Times New Roman"/>
          <w:color w:val="auto"/>
          <w:highlight w:val="none"/>
        </w:rPr>
      </w:pPr>
      <w:r>
        <w:rPr>
          <w:rFonts w:hint="default" w:ascii="Times New Roman" w:hAnsi="Times New Roman"/>
          <w:color w:val="auto"/>
          <w:highlight w:val="none"/>
        </w:rPr>
        <w:t>投标人对开标有异议的，应在开标现场通过</w:t>
      </w:r>
      <w:r>
        <w:rPr>
          <w:rFonts w:hint="eastAsia" w:ascii="宋体" w:hAnsi="宋体" w:eastAsia="宋体" w:cs="宋体"/>
          <w:color w:val="auto"/>
          <w:highlight w:val="none"/>
        </w:rPr>
        <w:t>“</w:t>
      </w:r>
      <w:r>
        <w:rPr>
          <w:rFonts w:hint="default" w:ascii="Times New Roman" w:hAnsi="Times New Roman"/>
          <w:color w:val="auto"/>
          <w:highlight w:val="none"/>
        </w:rPr>
        <w:t>不见面开标大厅</w:t>
      </w:r>
      <w:r>
        <w:rPr>
          <w:rFonts w:hint="eastAsia" w:ascii="宋体" w:hAnsi="宋体" w:eastAsia="宋体" w:cs="宋体"/>
          <w:color w:val="auto"/>
          <w:highlight w:val="none"/>
        </w:rPr>
        <w:t>”</w:t>
      </w:r>
      <w:r>
        <w:rPr>
          <w:rFonts w:hint="default" w:ascii="Times New Roman" w:hAnsi="Times New Roman"/>
          <w:color w:val="auto"/>
          <w:highlight w:val="none"/>
        </w:rPr>
        <w:t>提出，招标人当场作出答复，并制作记录</w:t>
      </w:r>
      <w:r>
        <w:rPr>
          <w:rFonts w:ascii="Times New Roman" w:hAnsi="Times New Roman"/>
          <w:color w:val="auto"/>
          <w:highlight w:val="none"/>
        </w:rPr>
        <w:t>。</w:t>
      </w:r>
    </w:p>
    <w:p>
      <w:pPr>
        <w:pStyle w:val="3"/>
        <w:rPr>
          <w:rFonts w:ascii="Times New Roman" w:hAnsi="Times New Roman"/>
          <w:b w:val="0"/>
          <w:bCs/>
          <w:color w:val="auto"/>
          <w:highlight w:val="none"/>
        </w:rPr>
      </w:pPr>
      <w:bookmarkStart w:id="178" w:name="_Toc21635"/>
      <w:bookmarkStart w:id="179" w:name="_Toc491883130"/>
      <w:r>
        <w:rPr>
          <w:rFonts w:ascii="Times New Roman" w:hAnsi="Times New Roman"/>
          <w:b w:val="0"/>
          <w:bCs/>
          <w:color w:val="auto"/>
          <w:highlight w:val="none"/>
        </w:rPr>
        <w:t>6. 评标</w:t>
      </w:r>
      <w:bookmarkEnd w:id="178"/>
      <w:bookmarkEnd w:id="179"/>
    </w:p>
    <w:p>
      <w:pPr>
        <w:pStyle w:val="4"/>
        <w:spacing w:line="240" w:lineRule="auto"/>
        <w:ind w:firstLine="137"/>
        <w:rPr>
          <w:rFonts w:ascii="Times New Roman" w:hAnsi="Times New Roman"/>
          <w:color w:val="auto"/>
          <w:highlight w:val="none"/>
        </w:rPr>
      </w:pPr>
      <w:bookmarkStart w:id="180" w:name="_Toc491883131"/>
      <w:bookmarkStart w:id="181" w:name="_Toc25827"/>
      <w:r>
        <w:rPr>
          <w:rFonts w:ascii="Times New Roman" w:hAnsi="Times New Roman"/>
          <w:color w:val="auto"/>
          <w:highlight w:val="none"/>
        </w:rPr>
        <w:t>6.1 评标委员会</w:t>
      </w:r>
      <w:bookmarkEnd w:id="180"/>
      <w:bookmarkEnd w:id="181"/>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6.1.1 评标由招标人依法组建的评标委员会负责。评标委员会由招标人或其委托熟悉相关业务的代表，以及有关技术、经济等方面的专家组成。评标委员会成员人数以及技术、经济等方面专家的确定方式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6.1.2 评标委员会成员有下列情形之一的，应当回避：</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（1）为负责招标项目监督管理的交通运输主管部门的工作人员；</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（2）与投标人法定代表人或其委托代理人有近亲属关系；</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（3）为投标人的工作人员或退休人员；</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（4）与投标人有其他利害关系，可能影响评标活动公正性；</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（5）在与招标投标有关的活动中有过违法违规行为、曾受过行政处罚或刑事处罚。</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招标人及其子公司、招标人下属单位、招标人的上级主管部门或者控股公司、招标代理机构的工作人员或者退休人员不得以专家身份参与本单位招标或者招标代理项目的评标。</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 xml:space="preserve">6.1.3 </w:t>
      </w:r>
      <w:r>
        <w:rPr>
          <w:rFonts w:hint="default" w:ascii="Times New Roman" w:hAnsi="Times New Roman"/>
          <w:color w:val="auto"/>
          <w:highlight w:val="none"/>
        </w:rPr>
        <w:t>评标过程中，评标委员会成员有回避事由、擅离职守或因健康等原因不能继续评标的，招标人有权更换。被更换的评标委员会成员作出的评审结论无效，由更换后的评标委员会成员重新进行评审</w:t>
      </w:r>
      <w:r>
        <w:rPr>
          <w:rFonts w:ascii="Times New Roman" w:hAnsi="Times New Roman"/>
          <w:color w:val="auto"/>
          <w:highlight w:val="none"/>
        </w:rPr>
        <w:t>。</w:t>
      </w:r>
    </w:p>
    <w:p>
      <w:pPr>
        <w:pStyle w:val="4"/>
        <w:spacing w:line="240" w:lineRule="auto"/>
        <w:ind w:firstLine="137"/>
        <w:rPr>
          <w:rFonts w:ascii="Times New Roman" w:hAnsi="Times New Roman"/>
          <w:color w:val="auto"/>
          <w:highlight w:val="none"/>
        </w:rPr>
      </w:pPr>
      <w:bookmarkStart w:id="182" w:name="_Toc491883132"/>
      <w:bookmarkStart w:id="183" w:name="_Toc18861"/>
      <w:r>
        <w:rPr>
          <w:rFonts w:ascii="Times New Roman" w:hAnsi="Times New Roman"/>
          <w:color w:val="auto"/>
          <w:highlight w:val="none"/>
        </w:rPr>
        <w:t>6.2 评标原则</w:t>
      </w:r>
      <w:bookmarkEnd w:id="182"/>
      <w:bookmarkEnd w:id="183"/>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评标活动遵循公平、公正、科学和择优的原则。</w:t>
      </w:r>
    </w:p>
    <w:p>
      <w:pPr>
        <w:pStyle w:val="4"/>
        <w:spacing w:line="240" w:lineRule="auto"/>
        <w:ind w:firstLine="137"/>
        <w:rPr>
          <w:rFonts w:ascii="Times New Roman" w:hAnsi="Times New Roman"/>
          <w:color w:val="auto"/>
          <w:highlight w:val="none"/>
        </w:rPr>
      </w:pPr>
      <w:bookmarkStart w:id="184" w:name="_Toc491883133"/>
      <w:bookmarkStart w:id="185" w:name="_Toc386"/>
      <w:r>
        <w:rPr>
          <w:rFonts w:ascii="Times New Roman" w:hAnsi="Times New Roman"/>
          <w:color w:val="auto"/>
          <w:highlight w:val="none"/>
        </w:rPr>
        <w:t>6.3 评标</w:t>
      </w:r>
      <w:bookmarkEnd w:id="184"/>
      <w:bookmarkEnd w:id="185"/>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6.3.1 评标委员会按照第三章</w:t>
      </w:r>
      <w:r>
        <w:rPr>
          <w:rFonts w:hint="eastAsia" w:ascii="宋体" w:hAnsi="宋体" w:eastAsia="宋体" w:cs="宋体"/>
          <w:color w:val="auto"/>
          <w:highlight w:val="none"/>
        </w:rPr>
        <w:t>“</w:t>
      </w:r>
      <w:r>
        <w:rPr>
          <w:rFonts w:hint="default" w:ascii="Times New Roman" w:hAnsi="Times New Roman"/>
          <w:color w:val="auto"/>
          <w:highlight w:val="none"/>
        </w:rPr>
        <w:t>评标办法</w:t>
      </w:r>
      <w:r>
        <w:rPr>
          <w:rFonts w:hint="eastAsia" w:ascii="宋体" w:hAnsi="宋体" w:eastAsia="宋体" w:cs="宋体"/>
          <w:color w:val="auto"/>
          <w:highlight w:val="none"/>
        </w:rPr>
        <w:t>”</w:t>
      </w:r>
      <w:r>
        <w:rPr>
          <w:rFonts w:hint="default" w:ascii="Times New Roman" w:hAnsi="Times New Roman"/>
          <w:color w:val="auto"/>
          <w:highlight w:val="none"/>
        </w:rPr>
        <w:t>规定的方法、评审因素、标准和程序对投标文件进行评审。第三章</w:t>
      </w:r>
      <w:r>
        <w:rPr>
          <w:rFonts w:hint="eastAsia" w:ascii="宋体" w:hAnsi="宋体" w:eastAsia="宋体" w:cs="宋体"/>
          <w:color w:val="auto"/>
          <w:highlight w:val="none"/>
        </w:rPr>
        <w:t>“</w:t>
      </w:r>
      <w:r>
        <w:rPr>
          <w:rFonts w:hint="default" w:ascii="Times New Roman" w:hAnsi="Times New Roman"/>
          <w:color w:val="auto"/>
          <w:highlight w:val="none"/>
        </w:rPr>
        <w:t>评标办法</w:t>
      </w:r>
      <w:r>
        <w:rPr>
          <w:rFonts w:hint="eastAsia" w:ascii="宋体" w:hAnsi="宋体" w:eastAsia="宋体" w:cs="宋体"/>
          <w:color w:val="auto"/>
          <w:highlight w:val="none"/>
        </w:rPr>
        <w:t>”</w:t>
      </w:r>
      <w:r>
        <w:rPr>
          <w:rFonts w:hint="default" w:ascii="Times New Roman" w:hAnsi="Times New Roman"/>
          <w:color w:val="auto"/>
          <w:highlight w:val="none"/>
        </w:rPr>
        <w:t>没有规定的方法、评审因素和标准，不作为评标依据。</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6.3.2评标及补救措施</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评标委员会按照本章第6.3.1项的规定在电子评标系统上开展评审工作。如果评标过程中出现异常情况，导致无法继续评审工作的，可暂停评标，对原有资料及信息作出妥善保密处理，待电子评标系统恢复正常之后，应重新组织评审。</w:t>
      </w:r>
    </w:p>
    <w:p>
      <w:pPr>
        <w:spacing w:line="400" w:lineRule="exact"/>
        <w:ind w:firstLine="480" w:firstLineChars="200"/>
        <w:rPr>
          <w:rFonts w:hint="default" w:ascii="Times New Roman" w:hAnsi="Times New Roman" w:eastAsia="宋体"/>
          <w:color w:val="auto"/>
          <w:highlight w:val="none"/>
          <w:lang w:eastAsia="zh-CN"/>
        </w:rPr>
      </w:pPr>
      <w:r>
        <w:rPr>
          <w:rFonts w:hint="default" w:ascii="Times New Roman" w:hAnsi="Times New Roman"/>
          <w:color w:val="auto"/>
          <w:highlight w:val="none"/>
        </w:rPr>
        <w:t>评标完成后，评标委员会应当向招标人提交书面评标报告和中标候选人名单。评标委员会推荐中标候选人的人数见投标人须知前附表</w:t>
      </w:r>
      <w:r>
        <w:rPr>
          <w:rFonts w:hint="default" w:ascii="Times New Roman" w:hAnsi="Times New Roman"/>
          <w:color w:val="auto"/>
          <w:highlight w:val="none"/>
          <w:lang w:eastAsia="zh-CN"/>
        </w:rPr>
        <w:t>。</w:t>
      </w:r>
    </w:p>
    <w:p>
      <w:pPr>
        <w:pStyle w:val="3"/>
        <w:rPr>
          <w:rFonts w:ascii="Times New Roman" w:hAnsi="Times New Roman"/>
          <w:b w:val="0"/>
          <w:bCs/>
          <w:color w:val="auto"/>
          <w:highlight w:val="none"/>
        </w:rPr>
      </w:pPr>
      <w:bookmarkStart w:id="186" w:name="_Toc28567"/>
      <w:bookmarkStart w:id="187" w:name="_Toc491883134"/>
      <w:r>
        <w:rPr>
          <w:rFonts w:ascii="Times New Roman" w:hAnsi="Times New Roman"/>
          <w:b w:val="0"/>
          <w:bCs/>
          <w:color w:val="auto"/>
          <w:highlight w:val="none"/>
        </w:rPr>
        <w:t>7. 合同授予</w:t>
      </w:r>
      <w:bookmarkEnd w:id="186"/>
      <w:bookmarkEnd w:id="187"/>
    </w:p>
    <w:p>
      <w:pPr>
        <w:pStyle w:val="4"/>
        <w:spacing w:line="240" w:lineRule="auto"/>
        <w:ind w:firstLine="137"/>
        <w:rPr>
          <w:rFonts w:ascii="Times New Roman" w:hAnsi="Times New Roman"/>
          <w:color w:val="auto"/>
          <w:highlight w:val="none"/>
        </w:rPr>
      </w:pPr>
      <w:bookmarkStart w:id="188" w:name="_Toc19470"/>
      <w:bookmarkStart w:id="189" w:name="_Toc491883135"/>
      <w:r>
        <w:rPr>
          <w:rFonts w:ascii="Times New Roman" w:hAnsi="Times New Roman"/>
          <w:color w:val="auto"/>
          <w:highlight w:val="none"/>
        </w:rPr>
        <w:t>7.1 中标候选人公示</w:t>
      </w:r>
      <w:bookmarkEnd w:id="188"/>
      <w:bookmarkEnd w:id="189"/>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招标人在收到评标报告之日起3日内，按照投标人须知前附表规定的公示媒介和期限公示中标候选人，公示期不得少于3天。</w:t>
      </w:r>
    </w:p>
    <w:p>
      <w:pPr>
        <w:pStyle w:val="4"/>
        <w:spacing w:line="240" w:lineRule="auto"/>
        <w:ind w:firstLine="137"/>
        <w:rPr>
          <w:rFonts w:ascii="Times New Roman" w:hAnsi="Times New Roman"/>
          <w:color w:val="auto"/>
          <w:highlight w:val="none"/>
        </w:rPr>
      </w:pPr>
      <w:bookmarkStart w:id="190" w:name="_Toc19508"/>
      <w:bookmarkStart w:id="191" w:name="_Toc491883136"/>
      <w:r>
        <w:rPr>
          <w:rFonts w:ascii="Times New Roman" w:hAnsi="Times New Roman"/>
          <w:color w:val="auto"/>
          <w:highlight w:val="none"/>
        </w:rPr>
        <w:t>7.2 评标结果异议</w:t>
      </w:r>
      <w:bookmarkEnd w:id="190"/>
      <w:bookmarkEnd w:id="191"/>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投标人或者其他利</w:t>
      </w:r>
      <w:bookmarkStart w:id="192" w:name="_Toc30095"/>
      <w:bookmarkStart w:id="193" w:name="_Toc361508618"/>
      <w:bookmarkStart w:id="194" w:name="_Toc352691505"/>
      <w:bookmarkStart w:id="195" w:name="_Toc300834982"/>
      <w:bookmarkStart w:id="196" w:name="_Toc369531549"/>
      <w:bookmarkStart w:id="197" w:name="_Toc152042337"/>
      <w:bookmarkStart w:id="198" w:name="_Toc144974529"/>
      <w:bookmarkStart w:id="199" w:name="_Toc152045561"/>
      <w:bookmarkStart w:id="200" w:name="_Toc384308243"/>
      <w:bookmarkStart w:id="201" w:name="_Toc247513985"/>
      <w:bookmarkStart w:id="202" w:name="_Toc247527586"/>
      <w:r>
        <w:rPr>
          <w:rFonts w:ascii="Times New Roman" w:hAnsi="Times New Roman"/>
          <w:color w:val="auto"/>
          <w:highlight w:val="none"/>
        </w:rPr>
        <w:t>害关系人对评标结</w:t>
      </w:r>
      <w:bookmarkEnd w:id="192"/>
      <w:bookmarkEnd w:id="193"/>
      <w:bookmarkEnd w:id="194"/>
      <w:bookmarkEnd w:id="195"/>
      <w:bookmarkEnd w:id="196"/>
      <w:bookmarkEnd w:id="197"/>
      <w:bookmarkEnd w:id="198"/>
      <w:bookmarkEnd w:id="199"/>
      <w:bookmarkEnd w:id="200"/>
      <w:bookmarkEnd w:id="201"/>
      <w:bookmarkEnd w:id="202"/>
      <w:r>
        <w:rPr>
          <w:rFonts w:ascii="Times New Roman" w:hAnsi="Times New Roman"/>
          <w:color w:val="auto"/>
          <w:highlight w:val="none"/>
        </w:rPr>
        <w:t>果有异议的，应当在中标候选人公示期间提出。招标人将在收到异议之日起3日内作出答复；作出答复前，将暂停招标投标活动。</w:t>
      </w:r>
    </w:p>
    <w:p>
      <w:pPr>
        <w:pStyle w:val="4"/>
        <w:spacing w:line="240" w:lineRule="auto"/>
        <w:ind w:firstLine="137"/>
        <w:rPr>
          <w:rFonts w:ascii="Times New Roman" w:hAnsi="Times New Roman"/>
          <w:color w:val="auto"/>
          <w:highlight w:val="none"/>
        </w:rPr>
      </w:pPr>
      <w:bookmarkStart w:id="203" w:name="_Toc491883137"/>
      <w:bookmarkStart w:id="204" w:name="_Toc11792"/>
      <w:r>
        <w:rPr>
          <w:rFonts w:ascii="Times New Roman" w:hAnsi="Times New Roman"/>
          <w:color w:val="auto"/>
          <w:highlight w:val="none"/>
        </w:rPr>
        <w:t>7.3 中标候选人履约能力审查</w:t>
      </w:r>
      <w:bookmarkEnd w:id="203"/>
      <w:bookmarkEnd w:id="204"/>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中标候选人的经营、财务状况发生较大变化或存在违法行为，招标人认为可能影响其履约能力的，将在发出中标通知书前提请原评标委员会按照招标文件规定的标准和方法进行审查确认。</w:t>
      </w:r>
    </w:p>
    <w:p>
      <w:pPr>
        <w:pStyle w:val="4"/>
        <w:spacing w:line="240" w:lineRule="auto"/>
        <w:ind w:firstLine="137"/>
        <w:rPr>
          <w:rFonts w:ascii="Times New Roman" w:hAnsi="Times New Roman"/>
          <w:color w:val="auto"/>
          <w:highlight w:val="none"/>
        </w:rPr>
      </w:pPr>
      <w:bookmarkStart w:id="205" w:name="_Toc491883138"/>
      <w:bookmarkStart w:id="206" w:name="_Toc14534"/>
      <w:r>
        <w:rPr>
          <w:rFonts w:ascii="Times New Roman" w:hAnsi="Times New Roman"/>
          <w:color w:val="auto"/>
          <w:highlight w:val="none"/>
        </w:rPr>
        <w:t>7.4 定标</w:t>
      </w:r>
      <w:bookmarkEnd w:id="205"/>
      <w:bookmarkEnd w:id="206"/>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7.4.1按照投标人须知前附表的规定，招标人或招标人授权的评标委员会依法确定中标人。</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7.4.2招标人依据投标须知前附表的定标规则，在评标委员会推荐的中标候选人中确定中标人。</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7.4.3招标人授权评标委员会按前附表7.4.2项规定的规则直接定标。</w:t>
      </w:r>
    </w:p>
    <w:p>
      <w:pPr>
        <w:pStyle w:val="4"/>
        <w:spacing w:line="240" w:lineRule="auto"/>
        <w:ind w:firstLine="137"/>
        <w:rPr>
          <w:rFonts w:ascii="Times New Roman" w:hAnsi="Times New Roman"/>
          <w:color w:val="auto"/>
          <w:highlight w:val="none"/>
        </w:rPr>
      </w:pPr>
      <w:bookmarkStart w:id="207" w:name="_Toc16944"/>
      <w:bookmarkStart w:id="208" w:name="_Toc491883139"/>
      <w:r>
        <w:rPr>
          <w:rFonts w:ascii="Times New Roman" w:hAnsi="Times New Roman"/>
          <w:color w:val="auto"/>
          <w:highlight w:val="none"/>
        </w:rPr>
        <w:t>7.5 中标通知</w:t>
      </w:r>
      <w:bookmarkEnd w:id="207"/>
      <w:bookmarkEnd w:id="208"/>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在本章第3.3款规定的投标有效期内，招标人应通过投标人须知前附表规定的形式向中标人发出中标通知书，同时将中标结果通知未中标的投标人</w:t>
      </w:r>
      <w:r>
        <w:rPr>
          <w:rFonts w:ascii="Times New Roman" w:hAnsi="Times New Roman"/>
          <w:color w:val="auto"/>
          <w:highlight w:val="none"/>
        </w:rPr>
        <w:t>。</w:t>
      </w:r>
    </w:p>
    <w:p>
      <w:pPr>
        <w:pStyle w:val="4"/>
        <w:spacing w:line="240" w:lineRule="auto"/>
        <w:ind w:firstLine="137"/>
        <w:rPr>
          <w:rFonts w:hint="default" w:ascii="Times New Roman" w:hAnsi="Times New Roman" w:eastAsia="黑体"/>
          <w:color w:val="auto"/>
          <w:highlight w:val="none"/>
          <w:lang w:val="en-US" w:eastAsia="zh-CN"/>
        </w:rPr>
      </w:pPr>
      <w:bookmarkStart w:id="209" w:name="_Toc14846"/>
      <w:r>
        <w:rPr>
          <w:rFonts w:ascii="Times New Roman" w:hAnsi="Times New Roman"/>
          <w:color w:val="auto"/>
          <w:highlight w:val="none"/>
        </w:rPr>
        <w:t>7.</w:t>
      </w:r>
      <w:r>
        <w:rPr>
          <w:rFonts w:hint="default" w:ascii="Times New Roman" w:hAnsi="Times New Roman"/>
          <w:color w:val="auto"/>
          <w:highlight w:val="none"/>
          <w:lang w:val="en-US" w:eastAsia="zh-CN"/>
        </w:rPr>
        <w:t>6</w:t>
      </w:r>
      <w:r>
        <w:rPr>
          <w:rFonts w:ascii="Times New Roman" w:hAnsi="Times New Roman"/>
          <w:color w:val="auto"/>
          <w:highlight w:val="none"/>
        </w:rPr>
        <w:t xml:space="preserve"> 中标</w:t>
      </w:r>
      <w:r>
        <w:rPr>
          <w:rFonts w:hint="default" w:ascii="Times New Roman" w:hAnsi="Times New Roman"/>
          <w:color w:val="auto"/>
          <w:highlight w:val="none"/>
          <w:lang w:val="en-US" w:eastAsia="zh-CN"/>
        </w:rPr>
        <w:t>结果公告</w:t>
      </w:r>
      <w:bookmarkEnd w:id="209"/>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招标人在确定中标人之日起3日内，按照投标人须知前附表规定的公告媒介和期限公告中标结果，公告期不得少于3日。公告内容包括中标人名称、中标价。</w:t>
      </w:r>
    </w:p>
    <w:p>
      <w:pPr>
        <w:pStyle w:val="4"/>
        <w:spacing w:line="240" w:lineRule="auto"/>
        <w:ind w:firstLine="137"/>
        <w:rPr>
          <w:rFonts w:ascii="Times New Roman" w:hAnsi="Times New Roman"/>
          <w:color w:val="auto"/>
          <w:highlight w:val="none"/>
        </w:rPr>
      </w:pPr>
      <w:bookmarkStart w:id="210" w:name="_Toc9316"/>
      <w:bookmarkStart w:id="211" w:name="_Toc491883140"/>
      <w:r>
        <w:rPr>
          <w:rFonts w:ascii="Times New Roman" w:hAnsi="Times New Roman"/>
          <w:color w:val="auto"/>
          <w:highlight w:val="none"/>
        </w:rPr>
        <w:t>7.</w:t>
      </w:r>
      <w:r>
        <w:rPr>
          <w:rFonts w:hint="default" w:ascii="Times New Roman" w:hAnsi="Times New Roman"/>
          <w:color w:val="auto"/>
          <w:highlight w:val="none"/>
          <w:lang w:val="en-US" w:eastAsia="zh-CN"/>
        </w:rPr>
        <w:t>7</w:t>
      </w:r>
      <w:r>
        <w:rPr>
          <w:rFonts w:ascii="Times New Roman" w:hAnsi="Times New Roman"/>
          <w:color w:val="auto"/>
          <w:highlight w:val="none"/>
        </w:rPr>
        <w:t xml:space="preserve"> 履约保证金</w:t>
      </w:r>
      <w:bookmarkEnd w:id="210"/>
      <w:bookmarkEnd w:id="211"/>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7.</w:t>
      </w:r>
      <w:r>
        <w:rPr>
          <w:rFonts w:hint="default" w:ascii="Times New Roman" w:hAnsi="Times New Roman"/>
          <w:color w:val="auto"/>
          <w:highlight w:val="none"/>
          <w:lang w:val="en-US" w:eastAsia="zh-CN"/>
        </w:rPr>
        <w:t>7</w:t>
      </w:r>
      <w:r>
        <w:rPr>
          <w:rFonts w:ascii="Times New Roman" w:hAnsi="Times New Roman"/>
          <w:color w:val="auto"/>
          <w:highlight w:val="none"/>
        </w:rPr>
        <w:t xml:space="preserve">.1 </w:t>
      </w:r>
      <w:r>
        <w:rPr>
          <w:rFonts w:hint="default" w:ascii="Times New Roman" w:hAnsi="Times New Roman"/>
          <w:color w:val="auto"/>
          <w:highlight w:val="none"/>
        </w:rPr>
        <w:t>在签订合同前，</w:t>
      </w:r>
      <w:r>
        <w:rPr>
          <w:rFonts w:ascii="Times New Roman" w:hAnsi="Times New Roman"/>
          <w:color w:val="auto"/>
          <w:highlight w:val="none"/>
        </w:rPr>
        <w:t>中标人应按投标人须知前附表规定的形式、金额和招标文件第四章</w:t>
      </w:r>
      <w:r>
        <w:rPr>
          <w:rFonts w:hint="eastAsia" w:ascii="宋体" w:hAnsi="宋体" w:eastAsia="宋体" w:cs="宋体"/>
          <w:color w:val="auto"/>
          <w:highlight w:val="none"/>
        </w:rPr>
        <w:t>“</w:t>
      </w:r>
      <w:r>
        <w:rPr>
          <w:rFonts w:ascii="Times New Roman" w:hAnsi="Times New Roman"/>
          <w:color w:val="auto"/>
          <w:highlight w:val="none"/>
        </w:rPr>
        <w:t>合同条款及格式</w:t>
      </w:r>
      <w:r>
        <w:rPr>
          <w:rFonts w:hint="eastAsia" w:ascii="宋体" w:hAnsi="宋体" w:eastAsia="宋体" w:cs="宋体"/>
          <w:color w:val="auto"/>
          <w:highlight w:val="none"/>
        </w:rPr>
        <w:t>”</w:t>
      </w:r>
      <w:r>
        <w:rPr>
          <w:rFonts w:ascii="Times New Roman" w:hAnsi="Times New Roman"/>
          <w:color w:val="auto"/>
          <w:highlight w:val="none"/>
        </w:rPr>
        <w:t>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采用保函时，应由符合投标人须知前附表规定级别的</w:t>
      </w:r>
      <w:r>
        <w:rPr>
          <w:rFonts w:hint="default" w:ascii="Times New Roman" w:hAnsi="Times New Roman"/>
          <w:color w:val="auto"/>
          <w:highlight w:val="none"/>
          <w:lang w:val="en-US" w:eastAsia="zh-CN"/>
        </w:rPr>
        <w:t>金融机构</w:t>
      </w:r>
      <w:r>
        <w:rPr>
          <w:rFonts w:hint="default" w:ascii="Times New Roman" w:hAnsi="Times New Roman"/>
          <w:color w:val="auto"/>
          <w:highlight w:val="none"/>
        </w:rPr>
        <w:t>开具，所需的费用由中标人承担，中标人应保证保函有效。</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7.</w:t>
      </w:r>
      <w:r>
        <w:rPr>
          <w:rFonts w:hint="default" w:ascii="Times New Roman" w:hAnsi="Times New Roman"/>
          <w:color w:val="auto"/>
          <w:highlight w:val="none"/>
          <w:lang w:val="en-US" w:eastAsia="zh-CN"/>
        </w:rPr>
        <w:t>7</w:t>
      </w:r>
      <w:r>
        <w:rPr>
          <w:rFonts w:ascii="Times New Roman" w:hAnsi="Times New Roman"/>
          <w:color w:val="auto"/>
          <w:highlight w:val="none"/>
        </w:rPr>
        <w:t>.2 中标人不能按本章第7.6.1项要求提交履约保证金的，视为放弃中标，其投标保证金不予退还，给招标人造成的损失超过投标保证金数额的，中标人还应当对超过部分予以赔偿。</w:t>
      </w:r>
    </w:p>
    <w:p>
      <w:pPr>
        <w:pStyle w:val="4"/>
        <w:spacing w:line="240" w:lineRule="auto"/>
        <w:ind w:firstLine="137"/>
        <w:rPr>
          <w:rFonts w:ascii="Times New Roman" w:hAnsi="Times New Roman"/>
          <w:color w:val="auto"/>
          <w:highlight w:val="none"/>
        </w:rPr>
      </w:pPr>
      <w:bookmarkStart w:id="212" w:name="_Toc491883141"/>
      <w:bookmarkStart w:id="213" w:name="_Toc1521"/>
      <w:r>
        <w:rPr>
          <w:rFonts w:ascii="Times New Roman" w:hAnsi="Times New Roman"/>
          <w:color w:val="auto"/>
          <w:highlight w:val="none"/>
        </w:rPr>
        <w:t>7.</w:t>
      </w:r>
      <w:r>
        <w:rPr>
          <w:rFonts w:hint="default" w:ascii="Times New Roman" w:hAnsi="Times New Roman"/>
          <w:color w:val="auto"/>
          <w:highlight w:val="none"/>
          <w:lang w:val="en-US" w:eastAsia="zh-CN"/>
        </w:rPr>
        <w:t>8</w:t>
      </w:r>
      <w:r>
        <w:rPr>
          <w:rFonts w:ascii="Times New Roman" w:hAnsi="Times New Roman"/>
          <w:color w:val="auto"/>
          <w:highlight w:val="none"/>
        </w:rPr>
        <w:t xml:space="preserve"> 签订合同</w:t>
      </w:r>
      <w:bookmarkEnd w:id="212"/>
      <w:bookmarkEnd w:id="213"/>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7.</w:t>
      </w:r>
      <w:r>
        <w:rPr>
          <w:rFonts w:hint="default" w:ascii="Times New Roman" w:hAnsi="Times New Roman"/>
          <w:color w:val="auto"/>
          <w:highlight w:val="none"/>
          <w:lang w:val="en-US" w:eastAsia="zh-CN"/>
        </w:rPr>
        <w:t>8</w:t>
      </w:r>
      <w:r>
        <w:rPr>
          <w:rFonts w:ascii="Times New Roman" w:hAnsi="Times New Roman"/>
          <w:color w:val="auto"/>
          <w:highlight w:val="none"/>
        </w:rPr>
        <w:t>.1 招标人和中标人应当在中标通知书发出之日起30日内，根据招标文件和中标人的投标文件订立书面合同。中标人无正当理由</w:t>
      </w:r>
      <w:r>
        <w:rPr>
          <w:rFonts w:hint="default" w:ascii="Times New Roman" w:hAnsi="Times New Roman"/>
          <w:color w:val="auto"/>
          <w:highlight w:val="none"/>
        </w:rPr>
        <w:t>拒签</w:t>
      </w:r>
      <w:r>
        <w:rPr>
          <w:rFonts w:ascii="Times New Roman" w:hAnsi="Times New Roman"/>
          <w:color w:val="auto"/>
          <w:highlight w:val="none"/>
        </w:rPr>
        <w:t>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7.</w:t>
      </w:r>
      <w:r>
        <w:rPr>
          <w:rFonts w:hint="default" w:ascii="Times New Roman" w:hAnsi="Times New Roman"/>
          <w:color w:val="auto"/>
          <w:highlight w:val="none"/>
          <w:lang w:val="en-US" w:eastAsia="zh-CN"/>
        </w:rPr>
        <w:t>8</w:t>
      </w:r>
      <w:r>
        <w:rPr>
          <w:rFonts w:ascii="Times New Roman" w:hAnsi="Times New Roman"/>
          <w:color w:val="auto"/>
          <w:highlight w:val="none"/>
        </w:rPr>
        <w:t>.2 发出中标通知书后，招标人无正当理由拒签合同，或者在签订合同时</w:t>
      </w:r>
      <w:r>
        <w:rPr>
          <w:rFonts w:hint="default" w:ascii="Times New Roman" w:hAnsi="Times New Roman"/>
          <w:color w:val="auto"/>
          <w:highlight w:val="none"/>
        </w:rPr>
        <w:t>向中标人</w:t>
      </w:r>
      <w:r>
        <w:rPr>
          <w:rFonts w:ascii="Times New Roman" w:hAnsi="Times New Roman"/>
          <w:color w:val="auto"/>
          <w:highlight w:val="none"/>
        </w:rPr>
        <w:t>提出附加条件的，招标人向中标人退还投标保证金；给中标人造成损失的，还应当赔偿损失。</w:t>
      </w:r>
    </w:p>
    <w:p>
      <w:pPr>
        <w:spacing w:line="400" w:lineRule="exact"/>
        <w:ind w:firstLine="480" w:firstLineChars="200"/>
        <w:rPr>
          <w:rFonts w:ascii="Times New Roman" w:hAnsi="Times New Roman"/>
          <w:color w:val="auto"/>
          <w:szCs w:val="21"/>
          <w:highlight w:val="none"/>
        </w:rPr>
      </w:pPr>
      <w:r>
        <w:rPr>
          <w:rFonts w:ascii="Times New Roman" w:hAnsi="Times New Roman"/>
          <w:color w:val="auto"/>
          <w:highlight w:val="none"/>
        </w:rPr>
        <w:t>7.</w:t>
      </w:r>
      <w:r>
        <w:rPr>
          <w:rFonts w:hint="default" w:ascii="Times New Roman" w:hAnsi="Times New Roman"/>
          <w:color w:val="auto"/>
          <w:highlight w:val="none"/>
          <w:lang w:val="en-US" w:eastAsia="zh-CN"/>
        </w:rPr>
        <w:t>8</w:t>
      </w:r>
      <w:r>
        <w:rPr>
          <w:rFonts w:ascii="Times New Roman" w:hAnsi="Times New Roman"/>
          <w:color w:val="auto"/>
          <w:highlight w:val="none"/>
        </w:rPr>
        <w:t>.3</w:t>
      </w:r>
      <w:r>
        <w:rPr>
          <w:rFonts w:ascii="Times New Roman" w:hAnsi="Times New Roman"/>
          <w:color w:val="auto"/>
          <w:szCs w:val="21"/>
          <w:highlight w:val="none"/>
        </w:rPr>
        <w:t>联合体中标的，联合体各方应当共同与招标人签订合同，就中标项目向招标人承担连带责任。</w:t>
      </w:r>
    </w:p>
    <w:p>
      <w:pPr>
        <w:pStyle w:val="3"/>
        <w:rPr>
          <w:rFonts w:ascii="Times New Roman" w:hAnsi="Times New Roman"/>
          <w:b w:val="0"/>
          <w:bCs/>
          <w:color w:val="auto"/>
          <w:highlight w:val="none"/>
        </w:rPr>
      </w:pPr>
      <w:bookmarkStart w:id="214" w:name="_Toc31865"/>
      <w:bookmarkStart w:id="215" w:name="_Toc491883142"/>
      <w:r>
        <w:rPr>
          <w:rFonts w:ascii="Times New Roman" w:hAnsi="Times New Roman"/>
          <w:b w:val="0"/>
          <w:bCs/>
          <w:color w:val="auto"/>
          <w:highlight w:val="none"/>
        </w:rPr>
        <w:t>8.纪律和监督</w:t>
      </w:r>
      <w:bookmarkEnd w:id="214"/>
      <w:bookmarkEnd w:id="215"/>
    </w:p>
    <w:p>
      <w:pPr>
        <w:pStyle w:val="4"/>
        <w:spacing w:line="240" w:lineRule="auto"/>
        <w:ind w:firstLine="137"/>
        <w:rPr>
          <w:rFonts w:ascii="Times New Roman" w:hAnsi="Times New Roman"/>
          <w:color w:val="auto"/>
          <w:highlight w:val="none"/>
        </w:rPr>
      </w:pPr>
      <w:bookmarkStart w:id="216" w:name="_Toc491883143"/>
      <w:bookmarkStart w:id="217" w:name="_Toc3847"/>
      <w:r>
        <w:rPr>
          <w:rFonts w:ascii="Times New Roman" w:hAnsi="Times New Roman"/>
          <w:color w:val="auto"/>
          <w:highlight w:val="none"/>
        </w:rPr>
        <w:t>8.1 对招标人的纪律要求</w:t>
      </w:r>
      <w:bookmarkEnd w:id="216"/>
      <w:bookmarkEnd w:id="217"/>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招标人不得泄露招标投标活动中应当保密的情况和资料，不得与投标人串通损害国家利益、社会公共利益或者他人合法权益。</w:t>
      </w:r>
    </w:p>
    <w:p>
      <w:pPr>
        <w:pStyle w:val="4"/>
        <w:spacing w:line="240" w:lineRule="auto"/>
        <w:ind w:firstLine="137"/>
        <w:rPr>
          <w:rFonts w:ascii="Times New Roman" w:hAnsi="Times New Roman"/>
          <w:color w:val="auto"/>
          <w:highlight w:val="none"/>
        </w:rPr>
      </w:pPr>
      <w:bookmarkStart w:id="218" w:name="_Toc491883144"/>
      <w:bookmarkStart w:id="219" w:name="_Toc24029"/>
      <w:r>
        <w:rPr>
          <w:rFonts w:ascii="Times New Roman" w:hAnsi="Times New Roman"/>
          <w:color w:val="auto"/>
          <w:highlight w:val="none"/>
        </w:rPr>
        <w:t>8.2 对投标人的纪律要求</w:t>
      </w:r>
      <w:bookmarkEnd w:id="218"/>
      <w:bookmarkEnd w:id="219"/>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4"/>
        <w:spacing w:line="240" w:lineRule="auto"/>
        <w:ind w:firstLine="137"/>
        <w:rPr>
          <w:rFonts w:ascii="Times New Roman" w:hAnsi="Times New Roman"/>
          <w:color w:val="auto"/>
          <w:highlight w:val="none"/>
        </w:rPr>
      </w:pPr>
      <w:bookmarkStart w:id="220" w:name="_Toc491883145"/>
      <w:bookmarkStart w:id="221" w:name="_Toc25355"/>
      <w:r>
        <w:rPr>
          <w:rFonts w:ascii="Times New Roman" w:hAnsi="Times New Roman"/>
          <w:color w:val="auto"/>
          <w:highlight w:val="none"/>
        </w:rPr>
        <w:t>8.3 对评标委员会成员的纪律要求</w:t>
      </w:r>
      <w:bookmarkEnd w:id="220"/>
      <w:bookmarkEnd w:id="221"/>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w:t>
      </w:r>
      <w:r>
        <w:rPr>
          <w:rFonts w:hint="eastAsia" w:ascii="宋体" w:hAnsi="宋体" w:eastAsia="宋体" w:cs="宋体"/>
          <w:color w:val="auto"/>
          <w:highlight w:val="none"/>
        </w:rPr>
        <w:t>“</w:t>
      </w:r>
      <w:r>
        <w:rPr>
          <w:rFonts w:ascii="Times New Roman" w:hAnsi="Times New Roman"/>
          <w:color w:val="auto"/>
          <w:highlight w:val="none"/>
        </w:rPr>
        <w:t>评标办法</w:t>
      </w:r>
      <w:r>
        <w:rPr>
          <w:rFonts w:hint="eastAsia" w:ascii="宋体" w:hAnsi="宋体" w:eastAsia="宋体" w:cs="宋体"/>
          <w:color w:val="auto"/>
          <w:highlight w:val="none"/>
        </w:rPr>
        <w:t>”</w:t>
      </w:r>
      <w:r>
        <w:rPr>
          <w:rFonts w:ascii="Times New Roman" w:hAnsi="Times New Roman"/>
          <w:color w:val="auto"/>
          <w:highlight w:val="none"/>
        </w:rPr>
        <w:t>没有规定的评审因素和标准进行评标。</w:t>
      </w:r>
    </w:p>
    <w:p>
      <w:pPr>
        <w:pStyle w:val="4"/>
        <w:spacing w:line="240" w:lineRule="auto"/>
        <w:ind w:firstLine="137"/>
        <w:rPr>
          <w:rFonts w:ascii="Times New Roman" w:hAnsi="Times New Roman"/>
          <w:color w:val="auto"/>
          <w:highlight w:val="none"/>
        </w:rPr>
      </w:pPr>
      <w:bookmarkStart w:id="222" w:name="_Toc11998"/>
      <w:bookmarkStart w:id="223" w:name="_Toc491883146"/>
      <w:r>
        <w:rPr>
          <w:rFonts w:ascii="Times New Roman" w:hAnsi="Times New Roman"/>
          <w:color w:val="auto"/>
          <w:highlight w:val="none"/>
        </w:rPr>
        <w:t>8.4 对与评标活动有关的工作人员的纪律要求</w:t>
      </w:r>
      <w:bookmarkEnd w:id="222"/>
      <w:bookmarkEnd w:id="223"/>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pStyle w:val="4"/>
        <w:spacing w:line="240" w:lineRule="auto"/>
        <w:ind w:firstLine="137"/>
        <w:rPr>
          <w:rFonts w:ascii="Times New Roman" w:hAnsi="Times New Roman"/>
          <w:color w:val="auto"/>
          <w:highlight w:val="none"/>
        </w:rPr>
      </w:pPr>
      <w:bookmarkStart w:id="224" w:name="_Toc491883147"/>
      <w:bookmarkStart w:id="225" w:name="_Toc26624"/>
      <w:r>
        <w:rPr>
          <w:rFonts w:ascii="Times New Roman" w:hAnsi="Times New Roman"/>
          <w:color w:val="auto"/>
          <w:highlight w:val="none"/>
        </w:rPr>
        <w:t>8.5 投诉</w:t>
      </w:r>
      <w:bookmarkEnd w:id="224"/>
      <w:bookmarkEnd w:id="225"/>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8.5.1 投标人或者其他利害关系人认为招标投标活动不符合法律、行政法规规定的，可以自知道或者应当知道之日起10日内向有关行政监督部门投诉。投诉应当有明确的请求和必要的证明材料。</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8.5.2 投标人或者其他利害关系人对招标文件、开标和评标结果提出投诉的，应当按照投标人须知第2.4款、第5.3款和第7.2款的规定先向招标人提出异议。异议答复期间不计算在第8.5.1项规定的期限内。</w:t>
      </w:r>
    </w:p>
    <w:p>
      <w:pPr>
        <w:pStyle w:val="3"/>
        <w:spacing w:line="240" w:lineRule="auto"/>
        <w:rPr>
          <w:rFonts w:ascii="Times New Roman" w:hAnsi="Times New Roman"/>
          <w:b w:val="0"/>
          <w:bCs/>
          <w:color w:val="auto"/>
          <w:highlight w:val="none"/>
        </w:rPr>
      </w:pPr>
      <w:bookmarkStart w:id="226" w:name="_Toc491883148"/>
      <w:bookmarkStart w:id="227" w:name="_Toc6839"/>
      <w:r>
        <w:rPr>
          <w:rFonts w:ascii="Times New Roman" w:hAnsi="Times New Roman"/>
          <w:b w:val="0"/>
          <w:bCs/>
          <w:color w:val="auto"/>
          <w:highlight w:val="none"/>
        </w:rPr>
        <w:t xml:space="preserve">9. </w:t>
      </w:r>
      <w:bookmarkEnd w:id="226"/>
      <w:bookmarkStart w:id="228" w:name="_Toc491883149"/>
      <w:r>
        <w:rPr>
          <w:rFonts w:ascii="Times New Roman" w:hAnsi="Times New Roman"/>
          <w:b w:val="0"/>
          <w:bCs/>
          <w:color w:val="auto"/>
          <w:highlight w:val="none"/>
        </w:rPr>
        <w:t>需要补充的其他内容</w:t>
      </w:r>
      <w:bookmarkEnd w:id="227"/>
      <w:bookmarkEnd w:id="228"/>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需要补充的其他内容：见投标人须知前附表。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br w:type="page"/>
      </w:r>
    </w:p>
    <w:p>
      <w:pPr>
        <w:pStyle w:val="4"/>
        <w:ind w:firstLine="0" w:firstLineChars="0"/>
        <w:rPr>
          <w:rFonts w:ascii="Times New Roman" w:hAnsi="Times New Roman"/>
          <w:color w:val="auto"/>
          <w:highlight w:val="none"/>
        </w:rPr>
      </w:pPr>
      <w:bookmarkStart w:id="229" w:name="_Toc491883150"/>
      <w:bookmarkStart w:id="230" w:name="_Toc3183"/>
      <w:r>
        <w:rPr>
          <w:rFonts w:ascii="Times New Roman" w:hAnsi="Times New Roman"/>
          <w:color w:val="auto"/>
          <w:highlight w:val="none"/>
        </w:rPr>
        <w:t>附件一：开标记录表</w:t>
      </w:r>
      <w:bookmarkEnd w:id="229"/>
      <w:r>
        <w:rPr>
          <w:rStyle w:val="37"/>
          <w:rFonts w:ascii="Times New Roman" w:hAnsi="Times New Roman"/>
          <w:color w:val="auto"/>
          <w:highlight w:val="none"/>
        </w:rPr>
        <w:footnoteReference w:id="17"/>
      </w:r>
      <w:bookmarkEnd w:id="230"/>
    </w:p>
    <w:p>
      <w:pPr>
        <w:pageBreakBefore w:val="0"/>
        <w:kinsoku/>
        <w:wordWrap w:val="0"/>
        <w:bidi w:val="0"/>
        <w:spacing w:line="600" w:lineRule="exact"/>
        <w:ind w:firstLine="0" w:firstLineChars="0"/>
        <w:rPr>
          <w:rFonts w:hint="default" w:ascii="Times New Roman" w:hAnsi="Times New Roman" w:cs="Times New Roman"/>
          <w:color w:val="auto"/>
          <w:sz w:val="24"/>
          <w:highlight w:val="none"/>
        </w:rPr>
      </w:pPr>
      <w:r>
        <w:rPr>
          <w:rFonts w:hint="default" w:ascii="Times New Roman" w:hAnsi="Times New Roman" w:eastAsia="黑体" w:cs="Times New Roman"/>
          <w:color w:val="auto"/>
          <w:sz w:val="24"/>
          <w:szCs w:val="24"/>
          <w:highlight w:val="none"/>
          <w:u w:val="none"/>
          <w:lang w:val="en-US" w:eastAsia="zh-CN"/>
        </w:rPr>
        <w:t>以电子交易平台生成格式为准。</w:t>
      </w:r>
    </w:p>
    <w:p>
      <w:pPr>
        <w:ind w:firstLine="137"/>
        <w:rPr>
          <w:rFonts w:ascii="Times New Roman" w:hAnsi="Times New Roman"/>
          <w:color w:val="auto"/>
          <w:highlight w:val="none"/>
        </w:rPr>
      </w:pPr>
      <w:bookmarkStart w:id="231" w:name="_Toc491883151"/>
      <w:r>
        <w:rPr>
          <w:rFonts w:ascii="Times New Roman" w:hAnsi="Times New Roman"/>
          <w:color w:val="auto"/>
          <w:highlight w:val="none"/>
        </w:rPr>
        <w:br w:type="page"/>
      </w:r>
    </w:p>
    <w:p>
      <w:pPr>
        <w:pStyle w:val="4"/>
        <w:ind w:firstLine="0" w:firstLineChars="0"/>
        <w:rPr>
          <w:rFonts w:ascii="Times New Roman" w:hAnsi="Times New Roman"/>
          <w:color w:val="auto"/>
          <w:highlight w:val="none"/>
        </w:rPr>
      </w:pPr>
      <w:bookmarkStart w:id="232" w:name="_Toc27932"/>
      <w:r>
        <w:rPr>
          <w:rFonts w:ascii="Times New Roman" w:hAnsi="Times New Roman"/>
          <w:color w:val="auto"/>
          <w:highlight w:val="none"/>
        </w:rPr>
        <w:t>附件二：问题澄清通知</w:t>
      </w:r>
      <w:bookmarkEnd w:id="231"/>
      <w:bookmarkEnd w:id="232"/>
    </w:p>
    <w:p>
      <w:pPr>
        <w:spacing w:line="440" w:lineRule="exact"/>
        <w:jc w:val="center"/>
        <w:rPr>
          <w:rFonts w:ascii="Times New Roman" w:hAnsi="Times New Roman"/>
          <w:color w:val="auto"/>
          <w:highlight w:val="none"/>
        </w:rPr>
      </w:pPr>
    </w:p>
    <w:p>
      <w:pPr>
        <w:spacing w:line="440" w:lineRule="exact"/>
        <w:jc w:val="center"/>
        <w:rPr>
          <w:rFonts w:ascii="Times New Roman" w:hAnsi="Times New Roman" w:eastAsia="黑体"/>
          <w:color w:val="auto"/>
          <w:sz w:val="28"/>
          <w:highlight w:val="none"/>
        </w:rPr>
      </w:pPr>
      <w:r>
        <w:rPr>
          <w:rFonts w:ascii="Times New Roman" w:hAnsi="Times New Roman" w:eastAsia="黑体"/>
          <w:color w:val="auto"/>
          <w:sz w:val="28"/>
          <w:highlight w:val="none"/>
        </w:rPr>
        <w:t>问题澄清通知</w:t>
      </w:r>
    </w:p>
    <w:p>
      <w:pPr>
        <w:spacing w:line="440" w:lineRule="exact"/>
        <w:jc w:val="center"/>
        <w:rPr>
          <w:rFonts w:ascii="Times New Roman" w:hAnsi="Times New Roman"/>
          <w:color w:val="auto"/>
          <w:highlight w:val="none"/>
        </w:rPr>
      </w:pPr>
      <w:r>
        <w:rPr>
          <w:rFonts w:ascii="Times New Roman" w:hAnsi="Times New Roman"/>
          <w:color w:val="auto"/>
          <w:highlight w:val="none"/>
        </w:rPr>
        <w:t>（编号：</w:t>
      </w:r>
      <w:r>
        <w:rPr>
          <w:rFonts w:ascii="Times New Roman" w:hAnsi="Times New Roman" w:eastAsia="黑体"/>
          <w:color w:val="auto"/>
          <w:sz w:val="28"/>
          <w:highlight w:val="none"/>
          <w:u w:val="single"/>
        </w:rPr>
        <w:t xml:space="preserve">               </w:t>
      </w:r>
      <w:r>
        <w:rPr>
          <w:rFonts w:ascii="Times New Roman" w:hAnsi="Times New Roman"/>
          <w:color w:val="auto"/>
          <w:highlight w:val="none"/>
        </w:rPr>
        <w:t>）</w:t>
      </w:r>
    </w:p>
    <w:p>
      <w:pPr>
        <w:spacing w:line="440" w:lineRule="exact"/>
        <w:rPr>
          <w:rFonts w:ascii="Times New Roman" w:hAnsi="Times New Roman"/>
          <w:color w:val="auto"/>
          <w:highlight w:val="none"/>
        </w:rPr>
      </w:pPr>
    </w:p>
    <w:p>
      <w:pPr>
        <w:spacing w:line="440" w:lineRule="exact"/>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hAnsi="Times New Roman"/>
          <w:color w:val="auto"/>
          <w:highlight w:val="none"/>
        </w:rPr>
        <w:t>（投标人名称）：</w:t>
      </w:r>
    </w:p>
    <w:p>
      <w:pPr>
        <w:spacing w:line="440" w:lineRule="exact"/>
        <w:rPr>
          <w:rFonts w:ascii="Times New Roman" w:hAnsi="Times New Roman"/>
          <w:color w:val="auto"/>
          <w:highlight w:val="none"/>
        </w:rPr>
      </w:pPr>
    </w:p>
    <w:p>
      <w:pPr>
        <w:spacing w:line="440" w:lineRule="exact"/>
        <w:rPr>
          <w:rFonts w:ascii="Times New Roman" w:hAnsi="Times New Roman"/>
          <w:color w:val="auto"/>
          <w:highlight w:val="none"/>
        </w:rPr>
      </w:pPr>
      <w:r>
        <w:rPr>
          <w:rFonts w:ascii="Times New Roman" w:hAnsi="Times New Roman"/>
          <w:color w:val="auto"/>
          <w:highlight w:val="none"/>
        </w:rPr>
        <w:t>　　评标委员会对你方的投标文件进行了仔细的审查，现需你方对下列问题以书面形式予以澄清、说明或补正：</w:t>
      </w:r>
    </w:p>
    <w:p>
      <w:pPr>
        <w:spacing w:line="440" w:lineRule="exact"/>
        <w:rPr>
          <w:rFonts w:ascii="Times New Roman" w:hAnsi="Times New Roman"/>
          <w:color w:val="auto"/>
          <w:highlight w:val="none"/>
        </w:rPr>
      </w:pPr>
      <w:r>
        <w:rPr>
          <w:rFonts w:ascii="Times New Roman" w:hAnsi="Times New Roman"/>
          <w:color w:val="auto"/>
          <w:highlight w:val="none"/>
        </w:rPr>
        <w:t>　　</w:t>
      </w:r>
    </w:p>
    <w:p>
      <w:pPr>
        <w:spacing w:line="440" w:lineRule="exact"/>
        <w:rPr>
          <w:rFonts w:ascii="Times New Roman" w:hAnsi="Times New Roman"/>
          <w:color w:val="auto"/>
          <w:highlight w:val="none"/>
        </w:rPr>
      </w:pPr>
      <w:r>
        <w:rPr>
          <w:rFonts w:ascii="Times New Roman" w:hAnsi="Times New Roman"/>
          <w:color w:val="auto"/>
          <w:highlight w:val="none"/>
        </w:rPr>
        <w:t xml:space="preserve">    1.</w:t>
      </w:r>
    </w:p>
    <w:p>
      <w:pPr>
        <w:spacing w:line="440" w:lineRule="exact"/>
        <w:rPr>
          <w:rFonts w:ascii="Times New Roman" w:hAnsi="Times New Roman"/>
          <w:color w:val="auto"/>
          <w:highlight w:val="none"/>
        </w:rPr>
      </w:pPr>
      <w:r>
        <w:rPr>
          <w:rFonts w:ascii="Times New Roman" w:hAnsi="Times New Roman"/>
          <w:color w:val="auto"/>
          <w:highlight w:val="none"/>
        </w:rPr>
        <w:t xml:space="preserve">    2.</w:t>
      </w:r>
    </w:p>
    <w:p>
      <w:pPr>
        <w:spacing w:line="440" w:lineRule="exact"/>
        <w:rPr>
          <w:rFonts w:ascii="Times New Roman" w:hAnsi="Times New Roman"/>
          <w:color w:val="auto"/>
          <w:highlight w:val="none"/>
        </w:rPr>
      </w:pPr>
      <w:r>
        <w:rPr>
          <w:rFonts w:ascii="Times New Roman" w:hAnsi="Times New Roman"/>
          <w:color w:val="auto"/>
          <w:highlight w:val="none"/>
        </w:rPr>
        <w:t xml:space="preserve">     ......   </w:t>
      </w:r>
    </w:p>
    <w:p>
      <w:pPr>
        <w:spacing w:line="440" w:lineRule="exact"/>
        <w:rPr>
          <w:rFonts w:ascii="Times New Roman" w:hAnsi="Times New Roman"/>
          <w:color w:val="auto"/>
          <w:highlight w:val="none"/>
        </w:rPr>
      </w:pPr>
      <w:r>
        <w:rPr>
          <w:rFonts w:ascii="Times New Roman" w:hAnsi="Times New Roman"/>
          <w:color w:val="auto"/>
          <w:highlight w:val="none"/>
        </w:rPr>
        <w:t>　　　</w:t>
      </w:r>
    </w:p>
    <w:p>
      <w:pPr>
        <w:spacing w:line="440" w:lineRule="exact"/>
        <w:rPr>
          <w:rFonts w:ascii="Times New Roman" w:hAnsi="Times New Roman"/>
          <w:color w:val="auto"/>
          <w:highlight w:val="none"/>
        </w:rPr>
      </w:pPr>
      <w:r>
        <w:rPr>
          <w:rFonts w:hint="default" w:ascii="Times New Roman" w:hAnsi="Times New Roman"/>
          <w:color w:val="auto"/>
          <w:highlight w:val="none"/>
        </w:rPr>
        <w:t>　请将上述问题的澄清或说明于</w:t>
      </w:r>
      <w:r>
        <w:rPr>
          <w:rFonts w:hint="default" w:ascii="Times New Roman" w:hAnsi="Times New Roman"/>
          <w:color w:val="auto"/>
          <w:highlight w:val="none"/>
          <w:u w:val="single"/>
        </w:rPr>
        <w:t xml:space="preserve">   </w:t>
      </w:r>
      <w:r>
        <w:rPr>
          <w:rFonts w:hint="default" w:ascii="Times New Roman" w:hAnsi="Times New Roman"/>
          <w:color w:val="auto"/>
          <w:highlight w:val="none"/>
        </w:rPr>
        <w:t>年</w:t>
      </w:r>
      <w:r>
        <w:rPr>
          <w:rFonts w:hint="default" w:ascii="Times New Roman" w:hAnsi="Times New Roman"/>
          <w:color w:val="auto"/>
          <w:highlight w:val="none"/>
          <w:u w:val="single"/>
        </w:rPr>
        <w:t xml:space="preserve">   </w:t>
      </w:r>
      <w:r>
        <w:rPr>
          <w:rFonts w:hint="default" w:ascii="Times New Roman" w:hAnsi="Times New Roman"/>
          <w:color w:val="auto"/>
          <w:highlight w:val="none"/>
        </w:rPr>
        <w:t>月</w:t>
      </w:r>
      <w:r>
        <w:rPr>
          <w:rFonts w:hint="default" w:ascii="Times New Roman" w:hAnsi="Times New Roman"/>
          <w:color w:val="auto"/>
          <w:highlight w:val="none"/>
          <w:u w:val="single"/>
        </w:rPr>
        <w:t xml:space="preserve">   </w:t>
      </w:r>
      <w:r>
        <w:rPr>
          <w:rFonts w:hint="default" w:ascii="Times New Roman" w:hAnsi="Times New Roman"/>
          <w:color w:val="auto"/>
          <w:highlight w:val="none"/>
        </w:rPr>
        <w:t>日</w:t>
      </w:r>
      <w:r>
        <w:rPr>
          <w:rFonts w:hint="default" w:ascii="Times New Roman" w:hAnsi="Times New Roman"/>
          <w:color w:val="auto"/>
          <w:highlight w:val="none"/>
          <w:u w:val="single"/>
        </w:rPr>
        <w:t xml:space="preserve">   </w:t>
      </w:r>
      <w:r>
        <w:rPr>
          <w:rFonts w:hint="default" w:ascii="Times New Roman" w:hAnsi="Times New Roman"/>
          <w:color w:val="auto"/>
          <w:highlight w:val="none"/>
        </w:rPr>
        <w:t>时</w:t>
      </w:r>
      <w:r>
        <w:rPr>
          <w:rFonts w:hint="default" w:ascii="Times New Roman" w:hAnsi="Times New Roman"/>
          <w:color w:val="auto"/>
          <w:highlight w:val="none"/>
          <w:u w:val="single"/>
        </w:rPr>
        <w:t xml:space="preserve">   </w:t>
      </w:r>
      <w:r>
        <w:rPr>
          <w:rFonts w:hint="default" w:ascii="Times New Roman" w:hAnsi="Times New Roman"/>
          <w:color w:val="auto"/>
          <w:highlight w:val="none"/>
        </w:rPr>
        <w:t>分前通过</w:t>
      </w:r>
      <w:r>
        <w:rPr>
          <w:rFonts w:hint="eastAsia" w:ascii="宋体" w:hAnsi="宋体" w:eastAsia="宋体" w:cs="宋体"/>
          <w:color w:val="auto"/>
          <w:highlight w:val="none"/>
        </w:rPr>
        <w:t>“</w:t>
      </w:r>
      <w:r>
        <w:rPr>
          <w:rFonts w:hint="default" w:ascii="Times New Roman" w:hAnsi="Times New Roman"/>
          <w:color w:val="auto"/>
          <w:highlight w:val="none"/>
        </w:rPr>
        <w:t>电子交易平台</w:t>
      </w:r>
      <w:r>
        <w:rPr>
          <w:rFonts w:hint="eastAsia" w:ascii="宋体" w:hAnsi="宋体" w:eastAsia="宋体" w:cs="宋体"/>
          <w:color w:val="auto"/>
          <w:highlight w:val="none"/>
        </w:rPr>
        <w:t>”</w:t>
      </w:r>
      <w:r>
        <w:rPr>
          <w:rFonts w:hint="default" w:ascii="Times New Roman" w:hAnsi="Times New Roman"/>
          <w:color w:val="auto"/>
          <w:highlight w:val="none"/>
        </w:rPr>
        <w:t>上传。</w:t>
      </w:r>
    </w:p>
    <w:p>
      <w:pPr>
        <w:spacing w:line="440" w:lineRule="exact"/>
        <w:rPr>
          <w:rFonts w:ascii="Times New Roman" w:hAnsi="Times New Roman"/>
          <w:color w:val="auto"/>
          <w:highlight w:val="none"/>
        </w:rPr>
      </w:pPr>
    </w:p>
    <w:p>
      <w:pPr>
        <w:spacing w:line="440" w:lineRule="exact"/>
        <w:rPr>
          <w:rFonts w:ascii="Times New Roman" w:hAnsi="Times New Roman"/>
          <w:color w:val="auto"/>
          <w:highlight w:val="none"/>
        </w:rPr>
      </w:pPr>
    </w:p>
    <w:p>
      <w:pPr>
        <w:spacing w:line="440" w:lineRule="exact"/>
        <w:ind w:firstLine="1440" w:firstLineChars="600"/>
        <w:rPr>
          <w:rFonts w:ascii="Times New Roman" w:hAnsi="Times New Roman"/>
          <w:color w:val="auto"/>
          <w:highlight w:val="none"/>
        </w:rPr>
      </w:pPr>
      <w:r>
        <w:rPr>
          <w:rFonts w:ascii="Times New Roman" w:hAnsi="Times New Roman"/>
          <w:color w:val="auto"/>
          <w:highlight w:val="none"/>
        </w:rPr>
        <w:t>评标委员会授权的招标人或招标代理机构：</w:t>
      </w:r>
      <w:r>
        <w:rPr>
          <w:rFonts w:ascii="Times New Roman" w:hAnsi="Times New Roman" w:eastAsia="黑体"/>
          <w:color w:val="auto"/>
          <w:sz w:val="28"/>
          <w:highlight w:val="none"/>
          <w:u w:val="single"/>
        </w:rPr>
        <w:t xml:space="preserve">      </w:t>
      </w:r>
      <w:r>
        <w:rPr>
          <w:rFonts w:ascii="Times New Roman" w:hAnsi="Times New Roman"/>
          <w:color w:val="auto"/>
          <w:highlight w:val="none"/>
        </w:rPr>
        <w:t>（签字或盖章）</w:t>
      </w:r>
    </w:p>
    <w:p>
      <w:pPr>
        <w:spacing w:line="440" w:lineRule="exact"/>
        <w:rPr>
          <w:rFonts w:ascii="Times New Roman" w:hAnsi="Times New Roman"/>
          <w:color w:val="auto"/>
          <w:highlight w:val="none"/>
        </w:rPr>
      </w:pPr>
    </w:p>
    <w:p>
      <w:pPr>
        <w:spacing w:line="440" w:lineRule="exact"/>
        <w:ind w:right="840"/>
        <w:jc w:val="right"/>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hAnsi="Times New Roman"/>
          <w:color w:val="auto"/>
          <w:highlight w:val="none"/>
        </w:rPr>
        <w:t>年</w:t>
      </w:r>
      <w:r>
        <w:rPr>
          <w:rFonts w:ascii="Times New Roman" w:hAnsi="Times New Roman"/>
          <w:color w:val="auto"/>
          <w:highlight w:val="none"/>
          <w:u w:val="single"/>
        </w:rPr>
        <w:t xml:space="preserve">       </w:t>
      </w:r>
      <w:r>
        <w:rPr>
          <w:rFonts w:ascii="Times New Roman" w:hAnsi="Times New Roman"/>
          <w:color w:val="auto"/>
          <w:highlight w:val="none"/>
        </w:rPr>
        <w:t>月</w:t>
      </w:r>
      <w:r>
        <w:rPr>
          <w:rFonts w:ascii="Times New Roman" w:hAnsi="Times New Roman"/>
          <w:color w:val="auto"/>
          <w:highlight w:val="none"/>
          <w:u w:val="single"/>
        </w:rPr>
        <w:t xml:space="preserve">       </w:t>
      </w:r>
      <w:r>
        <w:rPr>
          <w:rFonts w:ascii="Times New Roman" w:hAnsi="Times New Roman"/>
          <w:color w:val="auto"/>
          <w:highlight w:val="none"/>
        </w:rPr>
        <w:t>日</w:t>
      </w:r>
    </w:p>
    <w:p>
      <w:pPr>
        <w:spacing w:line="400" w:lineRule="exact"/>
        <w:rPr>
          <w:rFonts w:ascii="Times New Roman" w:hAnsi="Times New Roman"/>
          <w:color w:val="auto"/>
          <w:highlight w:val="none"/>
        </w:rPr>
      </w:pPr>
    </w:p>
    <w:p>
      <w:pPr>
        <w:spacing w:line="400" w:lineRule="exact"/>
        <w:rPr>
          <w:rFonts w:ascii="Times New Roman" w:hAnsi="Times New Roman"/>
          <w:color w:val="auto"/>
          <w:highlight w:val="none"/>
        </w:rPr>
      </w:pPr>
      <w:r>
        <w:rPr>
          <w:rFonts w:ascii="Times New Roman" w:hAnsi="Times New Roman"/>
          <w:color w:val="auto"/>
          <w:highlight w:val="none"/>
        </w:rPr>
        <w:br w:type="page"/>
      </w:r>
    </w:p>
    <w:p>
      <w:pPr>
        <w:pStyle w:val="4"/>
        <w:ind w:firstLine="0" w:firstLineChars="0"/>
        <w:rPr>
          <w:rFonts w:ascii="Times New Roman" w:hAnsi="Times New Roman"/>
          <w:color w:val="auto"/>
          <w:highlight w:val="none"/>
        </w:rPr>
      </w:pPr>
      <w:bookmarkStart w:id="233" w:name="_Toc491883152"/>
      <w:bookmarkStart w:id="234" w:name="_Toc28484"/>
      <w:r>
        <w:rPr>
          <w:rFonts w:ascii="Times New Roman" w:hAnsi="Times New Roman"/>
          <w:color w:val="auto"/>
          <w:highlight w:val="none"/>
        </w:rPr>
        <w:t>附件三：问题的澄清</w:t>
      </w:r>
      <w:bookmarkEnd w:id="233"/>
      <w:bookmarkEnd w:id="234"/>
    </w:p>
    <w:p>
      <w:pPr>
        <w:spacing w:line="400" w:lineRule="exact"/>
        <w:jc w:val="center"/>
        <w:rPr>
          <w:rFonts w:ascii="Times New Roman" w:hAnsi="Times New Roman" w:eastAsia="黑体"/>
          <w:color w:val="auto"/>
          <w:sz w:val="28"/>
          <w:highlight w:val="none"/>
        </w:rPr>
      </w:pPr>
    </w:p>
    <w:p>
      <w:pPr>
        <w:spacing w:line="400" w:lineRule="exact"/>
        <w:jc w:val="center"/>
        <w:rPr>
          <w:rFonts w:ascii="Times New Roman" w:hAnsi="Times New Roman" w:eastAsia="黑体"/>
          <w:color w:val="auto"/>
          <w:sz w:val="28"/>
          <w:highlight w:val="none"/>
        </w:rPr>
      </w:pPr>
      <w:r>
        <w:rPr>
          <w:rFonts w:ascii="Times New Roman" w:hAnsi="Times New Roman" w:eastAsia="黑体"/>
          <w:color w:val="auto"/>
          <w:sz w:val="28"/>
          <w:highlight w:val="none"/>
        </w:rPr>
        <w:t>问题的澄清</w:t>
      </w:r>
    </w:p>
    <w:p>
      <w:pPr>
        <w:spacing w:line="400" w:lineRule="exact"/>
        <w:ind w:firstLine="3960" w:firstLineChars="1650"/>
        <w:rPr>
          <w:rFonts w:ascii="Times New Roman" w:hAnsi="Times New Roman"/>
          <w:color w:val="auto"/>
          <w:highlight w:val="none"/>
        </w:rPr>
      </w:pPr>
      <w:r>
        <w:rPr>
          <w:rFonts w:ascii="Times New Roman" w:hAnsi="Times New Roman"/>
          <w:color w:val="auto"/>
          <w:highlight w:val="none"/>
        </w:rPr>
        <w:t>（编号：</w:t>
      </w:r>
      <w:r>
        <w:rPr>
          <w:rFonts w:ascii="Times New Roman" w:hAnsi="Times New Roman" w:eastAsia="黑体"/>
          <w:color w:val="auto"/>
          <w:sz w:val="28"/>
          <w:highlight w:val="none"/>
          <w:u w:val="single"/>
        </w:rPr>
        <w:t xml:space="preserve">           </w:t>
      </w:r>
      <w:r>
        <w:rPr>
          <w:rFonts w:ascii="Times New Roman" w:hAnsi="Times New Roman"/>
          <w:color w:val="auto"/>
          <w:highlight w:val="none"/>
        </w:rPr>
        <w:t>）</w:t>
      </w:r>
    </w:p>
    <w:p>
      <w:pPr>
        <w:spacing w:line="400" w:lineRule="exact"/>
        <w:rPr>
          <w:rFonts w:ascii="Times New Roman" w:hAnsi="Times New Roman"/>
          <w:color w:val="auto"/>
          <w:highlight w:val="none"/>
        </w:rPr>
      </w:pPr>
    </w:p>
    <w:p>
      <w:pPr>
        <w:spacing w:line="440" w:lineRule="exact"/>
        <w:rPr>
          <w:rFonts w:ascii="Times New Roman" w:hAnsi="Times New Roman"/>
          <w:color w:val="auto"/>
          <w:highlight w:val="none"/>
        </w:rPr>
      </w:pPr>
      <w:r>
        <w:rPr>
          <w:rFonts w:ascii="Times New Roman" w:hAnsi="Times New Roman"/>
          <w:color w:val="auto"/>
          <w:highlight w:val="none"/>
        </w:rPr>
        <w:t>评标委员会：</w:t>
      </w:r>
    </w:p>
    <w:p>
      <w:pPr>
        <w:spacing w:line="440" w:lineRule="exact"/>
        <w:rPr>
          <w:rFonts w:ascii="Times New Roman" w:hAnsi="Times New Roman"/>
          <w:color w:val="auto"/>
          <w:highlight w:val="none"/>
        </w:rPr>
      </w:pPr>
    </w:p>
    <w:p>
      <w:pPr>
        <w:spacing w:line="440" w:lineRule="exact"/>
        <w:rPr>
          <w:rFonts w:ascii="Times New Roman" w:hAnsi="Times New Roman"/>
          <w:color w:val="auto"/>
          <w:highlight w:val="none"/>
        </w:rPr>
      </w:pPr>
      <w:r>
        <w:rPr>
          <w:rFonts w:ascii="Times New Roman" w:hAnsi="Times New Roman"/>
          <w:color w:val="auto"/>
          <w:highlight w:val="none"/>
        </w:rPr>
        <w:t>　　问题澄清通知（编号：</w:t>
      </w:r>
      <w:r>
        <w:rPr>
          <w:rFonts w:ascii="Times New Roman" w:hAnsi="Times New Roman" w:eastAsia="黑体"/>
          <w:color w:val="auto"/>
          <w:sz w:val="28"/>
          <w:highlight w:val="none"/>
          <w:u w:val="single"/>
        </w:rPr>
        <w:t xml:space="preserve">      </w:t>
      </w:r>
      <w:r>
        <w:rPr>
          <w:rFonts w:ascii="Times New Roman" w:hAnsi="Times New Roman"/>
          <w:color w:val="auto"/>
          <w:highlight w:val="none"/>
        </w:rPr>
        <w:t>）已收悉，现澄清、说明或补正如下：</w:t>
      </w:r>
    </w:p>
    <w:p>
      <w:pPr>
        <w:spacing w:line="440" w:lineRule="exact"/>
        <w:rPr>
          <w:rFonts w:ascii="Times New Roman" w:hAnsi="Times New Roman"/>
          <w:color w:val="auto"/>
          <w:highlight w:val="none"/>
        </w:rPr>
      </w:pPr>
      <w:r>
        <w:rPr>
          <w:rFonts w:ascii="Times New Roman" w:hAnsi="Times New Roman"/>
          <w:color w:val="auto"/>
          <w:highlight w:val="none"/>
        </w:rPr>
        <w:t>　     1.</w:t>
      </w:r>
    </w:p>
    <w:p>
      <w:pPr>
        <w:spacing w:line="440" w:lineRule="exact"/>
        <w:rPr>
          <w:rFonts w:ascii="Times New Roman" w:hAnsi="Times New Roman"/>
          <w:color w:val="auto"/>
          <w:highlight w:val="none"/>
        </w:rPr>
      </w:pPr>
      <w:r>
        <w:rPr>
          <w:rFonts w:ascii="Times New Roman" w:hAnsi="Times New Roman"/>
          <w:color w:val="auto"/>
          <w:highlight w:val="none"/>
        </w:rPr>
        <w:t>　     2.</w:t>
      </w:r>
    </w:p>
    <w:p>
      <w:pPr>
        <w:spacing w:line="440" w:lineRule="exact"/>
        <w:rPr>
          <w:rFonts w:ascii="Times New Roman" w:hAnsi="Times New Roman"/>
          <w:color w:val="auto"/>
          <w:highlight w:val="none"/>
        </w:rPr>
      </w:pPr>
      <w:r>
        <w:rPr>
          <w:rFonts w:ascii="Times New Roman" w:hAnsi="Times New Roman"/>
          <w:color w:val="auto"/>
          <w:highlight w:val="none"/>
        </w:rPr>
        <w:t>　    .....</w:t>
      </w:r>
    </w:p>
    <w:p>
      <w:pPr>
        <w:spacing w:line="440" w:lineRule="exact"/>
        <w:rPr>
          <w:rFonts w:ascii="Times New Roman" w:hAnsi="Times New Roman"/>
          <w:color w:val="auto"/>
          <w:highlight w:val="none"/>
        </w:rPr>
      </w:pPr>
    </w:p>
    <w:p>
      <w:pPr>
        <w:spacing w:line="440" w:lineRule="exact"/>
        <w:rPr>
          <w:rFonts w:ascii="Times New Roman" w:hAnsi="Times New Roman"/>
          <w:color w:val="auto"/>
          <w:highlight w:val="none"/>
        </w:rPr>
      </w:pPr>
      <w:r>
        <w:rPr>
          <w:rFonts w:ascii="Times New Roman" w:hAnsi="Times New Roman"/>
          <w:color w:val="auto"/>
          <w:highlight w:val="none"/>
        </w:rPr>
        <w:t>　</w:t>
      </w:r>
    </w:p>
    <w:p>
      <w:pPr>
        <w:spacing w:line="440" w:lineRule="exact"/>
        <w:rPr>
          <w:rFonts w:ascii="Times New Roman" w:hAnsi="Times New Roman"/>
          <w:color w:val="auto"/>
          <w:highlight w:val="none"/>
        </w:rPr>
      </w:pP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上述问题澄清、说明或补正，不改变我方投标文件的实质性内容，构成我方投标文件的组成部分。</w:t>
      </w:r>
    </w:p>
    <w:p>
      <w:pPr>
        <w:spacing w:line="440" w:lineRule="exact"/>
        <w:rPr>
          <w:rFonts w:ascii="Times New Roman" w:hAnsi="Times New Roman"/>
          <w:color w:val="auto"/>
          <w:highlight w:val="none"/>
        </w:rPr>
      </w:pPr>
    </w:p>
    <w:p>
      <w:pPr>
        <w:spacing w:line="440" w:lineRule="exact"/>
        <w:rPr>
          <w:rFonts w:ascii="Times New Roman" w:hAnsi="Times New Roman"/>
          <w:color w:val="auto"/>
          <w:highlight w:val="none"/>
        </w:rPr>
      </w:pPr>
    </w:p>
    <w:p>
      <w:pPr>
        <w:spacing w:line="480" w:lineRule="auto"/>
        <w:rPr>
          <w:rFonts w:ascii="Times New Roman" w:hAnsi="Times New Roman"/>
          <w:color w:val="auto"/>
          <w:highlight w:val="none"/>
        </w:rPr>
      </w:pPr>
      <w:r>
        <w:rPr>
          <w:rFonts w:ascii="Times New Roman" w:hAnsi="Times New Roman"/>
          <w:color w:val="auto"/>
          <w:highlight w:val="none"/>
        </w:rPr>
        <w:t>　　　　　　　　　　　　投标人：</w:t>
      </w:r>
      <w:r>
        <w:rPr>
          <w:rFonts w:ascii="Times New Roman" w:hAnsi="Times New Roman" w:eastAsia="黑体"/>
          <w:color w:val="auto"/>
          <w:sz w:val="28"/>
          <w:highlight w:val="none"/>
          <w:u w:val="single"/>
        </w:rPr>
        <w:t xml:space="preserve">                         </w:t>
      </w:r>
      <w:r>
        <w:rPr>
          <w:rFonts w:ascii="Times New Roman" w:hAnsi="Times New Roman"/>
          <w:color w:val="auto"/>
          <w:highlight w:val="none"/>
        </w:rPr>
        <w:t>（盖单位章）</w:t>
      </w:r>
    </w:p>
    <w:p>
      <w:pPr>
        <w:spacing w:line="480" w:lineRule="auto"/>
        <w:ind w:firstLine="2400" w:firstLineChars="1000"/>
        <w:rPr>
          <w:rFonts w:ascii="Times New Roman" w:hAnsi="Times New Roman"/>
          <w:color w:val="auto"/>
          <w:highlight w:val="none"/>
        </w:rPr>
      </w:pPr>
      <w:r>
        <w:rPr>
          <w:rFonts w:hint="default" w:ascii="Times New Roman" w:hAnsi="Times New Roman"/>
          <w:color w:val="auto"/>
          <w:highlight w:val="none"/>
        </w:rPr>
        <w:t xml:space="preserve"> </w:t>
      </w:r>
      <w:r>
        <w:rPr>
          <w:rFonts w:ascii="Times New Roman" w:hAnsi="Times New Roman"/>
          <w:color w:val="auto"/>
          <w:highlight w:val="none"/>
        </w:rPr>
        <w:t>法定代表人（单位负责人）或其委托代理人：</w:t>
      </w:r>
      <w:r>
        <w:rPr>
          <w:rFonts w:ascii="Times New Roman" w:hAnsi="Times New Roman"/>
          <w:color w:val="auto"/>
          <w:highlight w:val="none"/>
          <w:u w:val="single"/>
        </w:rPr>
        <w:t xml:space="preserve">        </w:t>
      </w:r>
      <w:r>
        <w:rPr>
          <w:rFonts w:ascii="Times New Roman" w:hAnsi="Times New Roman"/>
          <w:color w:val="auto"/>
          <w:highlight w:val="none"/>
        </w:rPr>
        <w:t>（签字）</w:t>
      </w:r>
    </w:p>
    <w:p>
      <w:pPr>
        <w:spacing w:line="440" w:lineRule="exact"/>
        <w:rPr>
          <w:rFonts w:ascii="Times New Roman" w:hAnsi="Times New Roman"/>
          <w:color w:val="auto"/>
          <w:highlight w:val="none"/>
        </w:rPr>
      </w:pPr>
      <w:r>
        <w:rPr>
          <w:rFonts w:ascii="Times New Roman" w:hAnsi="Times New Roman"/>
          <w:color w:val="auto"/>
          <w:highlight w:val="none"/>
        </w:rPr>
        <w:t>　　　　　　　　　　　　　　　</w:t>
      </w:r>
    </w:p>
    <w:p>
      <w:pPr>
        <w:spacing w:line="440" w:lineRule="exact"/>
        <w:jc w:val="right"/>
        <w:rPr>
          <w:rFonts w:ascii="Times New Roman" w:hAnsi="Times New Roman"/>
          <w:color w:val="auto"/>
          <w:highlight w:val="none"/>
        </w:rPr>
      </w:pPr>
      <w:r>
        <w:rPr>
          <w:rFonts w:ascii="Times New Roman" w:hAnsi="Times New Roman"/>
          <w:color w:val="auto"/>
          <w:highlight w:val="none"/>
        </w:rPr>
        <w:t>　　　　　　　　　　　　　　　</w:t>
      </w:r>
      <w:r>
        <w:rPr>
          <w:rFonts w:ascii="Times New Roman" w:hAnsi="Times New Roman"/>
          <w:color w:val="auto"/>
          <w:highlight w:val="none"/>
          <w:u w:val="single"/>
        </w:rPr>
        <w:t xml:space="preserve">        </w:t>
      </w:r>
      <w:r>
        <w:rPr>
          <w:rFonts w:ascii="Times New Roman" w:hAnsi="Times New Roman"/>
          <w:color w:val="auto"/>
          <w:highlight w:val="none"/>
        </w:rPr>
        <w:t>年</w:t>
      </w:r>
      <w:bookmarkStart w:id="235" w:name="_Toc352691527"/>
      <w:bookmarkStart w:id="236" w:name="_Toc384308266"/>
      <w:bookmarkStart w:id="237" w:name="_Toc152045581"/>
      <w:bookmarkStart w:id="238" w:name="_Toc152042358"/>
      <w:bookmarkStart w:id="239" w:name="_Toc15139"/>
      <w:bookmarkStart w:id="240" w:name="_Toc369531571"/>
      <w:bookmarkStart w:id="241" w:name="_Toc247514005"/>
      <w:bookmarkStart w:id="242" w:name="_Toc144974548"/>
      <w:bookmarkStart w:id="243" w:name="_Toc247527606"/>
      <w:bookmarkStart w:id="244" w:name="_Toc300835002"/>
      <w:bookmarkStart w:id="245" w:name="_Toc361508640"/>
      <w:r>
        <w:rPr>
          <w:rFonts w:ascii="Times New Roman" w:hAnsi="Times New Roman"/>
          <w:color w:val="auto"/>
          <w:highlight w:val="none"/>
          <w:u w:val="single"/>
        </w:rPr>
        <w:t xml:space="preserve">        </w:t>
      </w:r>
      <w:r>
        <w:rPr>
          <w:rFonts w:ascii="Times New Roman" w:hAnsi="Times New Roman"/>
          <w:color w:val="auto"/>
          <w:highlight w:val="none"/>
        </w:rPr>
        <w:t>月</w:t>
      </w:r>
      <w:r>
        <w:rPr>
          <w:rFonts w:ascii="Times New Roman" w:hAnsi="Times New Roman"/>
          <w:color w:val="auto"/>
          <w:highlight w:val="none"/>
          <w:u w:val="single"/>
        </w:rPr>
        <w:t xml:space="preserve">        </w:t>
      </w:r>
      <w:r>
        <w:rPr>
          <w:rFonts w:ascii="Times New Roman" w:hAnsi="Times New Roman"/>
          <w:color w:val="auto"/>
          <w:highlight w:val="none"/>
        </w:rPr>
        <w:t>日</w:t>
      </w:r>
    </w:p>
    <w:bookmarkEnd w:id="235"/>
    <w:bookmarkEnd w:id="236"/>
    <w:bookmarkEnd w:id="237"/>
    <w:bookmarkEnd w:id="238"/>
    <w:bookmarkEnd w:id="239"/>
    <w:bookmarkEnd w:id="240"/>
    <w:bookmarkEnd w:id="241"/>
    <w:bookmarkEnd w:id="242"/>
    <w:bookmarkEnd w:id="243"/>
    <w:bookmarkEnd w:id="244"/>
    <w:bookmarkEnd w:id="245"/>
    <w:p>
      <w:pPr>
        <w:spacing w:line="400" w:lineRule="exact"/>
        <w:rPr>
          <w:rFonts w:ascii="Times New Roman" w:hAnsi="Times New Roman"/>
          <w:color w:val="auto"/>
          <w:highlight w:val="none"/>
        </w:rPr>
      </w:pPr>
    </w:p>
    <w:p>
      <w:pPr>
        <w:spacing w:line="400" w:lineRule="exact"/>
        <w:rPr>
          <w:rFonts w:ascii="Times New Roman" w:hAnsi="Times New Roman"/>
          <w:color w:val="auto"/>
          <w:highlight w:val="none"/>
        </w:rPr>
      </w:pPr>
      <w:r>
        <w:rPr>
          <w:rFonts w:ascii="Times New Roman" w:hAnsi="Times New Roman"/>
          <w:color w:val="auto"/>
          <w:highlight w:val="none"/>
        </w:rPr>
        <w:br w:type="page"/>
      </w:r>
    </w:p>
    <w:p>
      <w:pPr>
        <w:pStyle w:val="4"/>
        <w:ind w:firstLine="0" w:firstLineChars="0"/>
        <w:rPr>
          <w:rFonts w:ascii="Times New Roman" w:hAnsi="Times New Roman"/>
          <w:color w:val="auto"/>
          <w:highlight w:val="none"/>
        </w:rPr>
      </w:pPr>
      <w:bookmarkStart w:id="246" w:name="_Toc27439"/>
      <w:bookmarkStart w:id="247" w:name="_Toc491883153"/>
      <w:r>
        <w:rPr>
          <w:rFonts w:ascii="Times New Roman" w:hAnsi="Times New Roman"/>
          <w:color w:val="auto"/>
          <w:highlight w:val="none"/>
        </w:rPr>
        <w:t>附件四：中标通知书</w:t>
      </w:r>
      <w:bookmarkEnd w:id="246"/>
      <w:bookmarkEnd w:id="247"/>
    </w:p>
    <w:p>
      <w:pPr>
        <w:spacing w:line="400" w:lineRule="exact"/>
        <w:rPr>
          <w:rFonts w:ascii="Times New Roman" w:hAnsi="Times New Roman"/>
          <w:color w:val="auto"/>
          <w:highlight w:val="none"/>
        </w:rPr>
      </w:pPr>
    </w:p>
    <w:p>
      <w:pPr>
        <w:spacing w:line="400" w:lineRule="exact"/>
        <w:rPr>
          <w:rFonts w:ascii="Times New Roman" w:hAnsi="Times New Roman"/>
          <w:color w:val="auto"/>
          <w:highlight w:val="none"/>
        </w:rPr>
      </w:pPr>
      <w:r>
        <w:rPr>
          <w:rFonts w:hint="default" w:ascii="Times New Roman" w:hAnsi="Times New Roman" w:eastAsia="黑体" w:cs="Times New Roman"/>
          <w:color w:val="auto"/>
          <w:sz w:val="24"/>
          <w:szCs w:val="24"/>
          <w:highlight w:val="none"/>
          <w:u w:val="none"/>
          <w:lang w:val="en-US" w:eastAsia="zh-CN"/>
        </w:rPr>
        <w:t>以辽宁省招标投标监管网生成格式为准（如有）。</w:t>
      </w:r>
    </w:p>
    <w:p>
      <w:pPr>
        <w:spacing w:line="400" w:lineRule="exact"/>
        <w:rPr>
          <w:rFonts w:ascii="Times New Roman" w:hAnsi="Times New Roman"/>
          <w:color w:val="auto"/>
          <w:highlight w:val="none"/>
        </w:rPr>
      </w:pPr>
      <w:r>
        <w:rPr>
          <w:rFonts w:ascii="Times New Roman" w:hAnsi="Times New Roman"/>
          <w:color w:val="auto"/>
          <w:highlight w:val="none"/>
        </w:rPr>
        <w:br w:type="page"/>
      </w: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topLinePunct/>
        <w:spacing w:line="240" w:lineRule="atLeast"/>
        <w:ind w:right="36" w:rightChars="15" w:firstLine="0" w:firstLineChars="0"/>
        <w:jc w:val="center"/>
        <w:outlineLvl w:val="0"/>
        <w:rPr>
          <w:rFonts w:hint="default" w:ascii="Times New Roman" w:hAnsi="Times New Roman" w:eastAsia="黑体" w:cs="Times New Roman"/>
          <w:color w:val="auto"/>
          <w:sz w:val="56"/>
          <w:szCs w:val="56"/>
          <w:highlight w:val="none"/>
          <w:lang w:val="en-US" w:eastAsia="zh-CN"/>
        </w:rPr>
      </w:pPr>
      <w:bookmarkStart w:id="248" w:name="_Toc25586"/>
      <w:bookmarkStart w:id="249" w:name="_Toc25463"/>
      <w:bookmarkStart w:id="250" w:name="_Toc24615"/>
      <w:r>
        <w:rPr>
          <w:rFonts w:hint="default" w:ascii="Times New Roman" w:hAnsi="Times New Roman" w:eastAsia="黑体" w:cs="Times New Roman"/>
          <w:color w:val="auto"/>
          <w:sz w:val="56"/>
          <w:szCs w:val="56"/>
          <w:highlight w:val="none"/>
        </w:rPr>
        <w:t>第</w:t>
      </w:r>
      <w:r>
        <w:rPr>
          <w:rFonts w:hint="default" w:ascii="Times New Roman" w:hAnsi="Times New Roman" w:eastAsia="黑体" w:cs="Times New Roman"/>
          <w:color w:val="auto"/>
          <w:sz w:val="56"/>
          <w:szCs w:val="56"/>
          <w:highlight w:val="none"/>
          <w:lang w:val="en-US" w:eastAsia="zh-CN"/>
        </w:rPr>
        <w:t>三</w:t>
      </w:r>
      <w:r>
        <w:rPr>
          <w:rFonts w:hint="default" w:ascii="Times New Roman" w:hAnsi="Times New Roman" w:eastAsia="黑体" w:cs="Times New Roman"/>
          <w:color w:val="auto"/>
          <w:sz w:val="56"/>
          <w:szCs w:val="56"/>
          <w:highlight w:val="none"/>
        </w:rPr>
        <w:t xml:space="preserve">章  </w:t>
      </w:r>
      <w:r>
        <w:rPr>
          <w:rFonts w:hint="default" w:ascii="Times New Roman" w:hAnsi="Times New Roman" w:eastAsia="黑体" w:cs="Times New Roman"/>
          <w:color w:val="auto"/>
          <w:sz w:val="56"/>
          <w:szCs w:val="56"/>
          <w:highlight w:val="none"/>
          <w:lang w:val="en-US" w:eastAsia="zh-CN"/>
        </w:rPr>
        <w:t>评标办法</w:t>
      </w:r>
      <w:bookmarkEnd w:id="248"/>
      <w:bookmarkEnd w:id="249"/>
      <w:bookmarkEnd w:id="250"/>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spacing w:line="440" w:lineRule="exact"/>
        <w:jc w:val="center"/>
        <w:rPr>
          <w:rStyle w:val="47"/>
          <w:rFonts w:hint="default" w:ascii="Times New Roman" w:hAnsi="Times New Roman" w:eastAsia="黑体" w:cs="Times New Roman"/>
          <w:color w:val="auto"/>
          <w:sz w:val="44"/>
          <w:szCs w:val="44"/>
          <w:highlight w:val="none"/>
        </w:rPr>
        <w:sectPr>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p>
    <w:p>
      <w:pPr>
        <w:pStyle w:val="2"/>
        <w:keepNext/>
        <w:keepLines/>
        <w:pageBreakBefore w:val="0"/>
        <w:widowControl w:val="0"/>
        <w:kinsoku/>
        <w:wordWrap w:val="0"/>
        <w:overflowPunct/>
        <w:topLinePunct w:val="0"/>
        <w:autoSpaceDE/>
        <w:autoSpaceDN/>
        <w:bidi w:val="0"/>
        <w:adjustRightInd/>
        <w:snapToGrid/>
        <w:spacing w:after="286" w:afterLines="100" w:line="240" w:lineRule="auto"/>
        <w:ind w:firstLine="0" w:firstLineChars="0"/>
        <w:jc w:val="center"/>
        <w:textAlignment w:val="auto"/>
        <w:rPr>
          <w:rFonts w:hint="default" w:ascii="Times New Roman" w:hAnsi="Times New Roman" w:cs="Times New Roman"/>
          <w:color w:val="auto"/>
          <w:highlight w:val="none"/>
        </w:rPr>
      </w:pPr>
      <w:bookmarkStart w:id="251" w:name="_Toc7418"/>
      <w:r>
        <w:rPr>
          <w:rFonts w:hint="default" w:ascii="Times New Roman" w:hAnsi="Times New Roman" w:eastAsia="黑体" w:cs="Times New Roman"/>
          <w:b w:val="0"/>
          <w:bCs/>
          <w:color w:val="auto"/>
          <w:sz w:val="40"/>
          <w:szCs w:val="18"/>
          <w:highlight w:val="none"/>
        </w:rPr>
        <w:t>第三章</w:t>
      </w:r>
      <w:r>
        <w:rPr>
          <w:rFonts w:hint="default" w:ascii="Times New Roman" w:hAnsi="Times New Roman" w:eastAsia="黑体" w:cs="Times New Roman"/>
          <w:b w:val="0"/>
          <w:bCs/>
          <w:color w:val="auto"/>
          <w:sz w:val="40"/>
          <w:szCs w:val="18"/>
          <w:highlight w:val="none"/>
          <w:lang w:val="en-US" w:eastAsia="zh-CN"/>
        </w:rPr>
        <w:t xml:space="preserve">  </w:t>
      </w:r>
      <w:r>
        <w:rPr>
          <w:rFonts w:hint="default" w:ascii="Times New Roman" w:hAnsi="Times New Roman" w:eastAsia="黑体" w:cs="Times New Roman"/>
          <w:b w:val="0"/>
          <w:bCs/>
          <w:color w:val="auto"/>
          <w:sz w:val="40"/>
          <w:szCs w:val="18"/>
          <w:highlight w:val="none"/>
        </w:rPr>
        <w:t>评标办法（经评审的最低投标价法）</w:t>
      </w:r>
      <w:bookmarkEnd w:id="251"/>
    </w:p>
    <w:p>
      <w:pPr>
        <w:pStyle w:val="3"/>
        <w:keepNext/>
        <w:keepLines/>
        <w:pageBreakBefore w:val="0"/>
        <w:widowControl w:val="0"/>
        <w:kinsoku/>
        <w:wordWrap/>
        <w:overflowPunct/>
        <w:topLinePunct w:val="0"/>
        <w:autoSpaceDE/>
        <w:autoSpaceDN/>
        <w:bidi w:val="0"/>
        <w:adjustRightInd/>
        <w:snapToGrid/>
        <w:spacing w:before="0" w:after="240" w:line="380" w:lineRule="atLeast"/>
        <w:ind w:firstLine="0" w:firstLineChars="0"/>
        <w:textAlignment w:val="auto"/>
        <w:outlineLvl w:val="1"/>
        <w:rPr>
          <w:rFonts w:hint="default" w:ascii="Times New Roman" w:hAnsi="Times New Roman" w:eastAsia="黑体" w:cs="Times New Roman"/>
          <w:color w:val="auto"/>
          <w:sz w:val="24"/>
          <w:szCs w:val="24"/>
          <w:highlight w:val="none"/>
        </w:rPr>
      </w:pPr>
      <w:bookmarkStart w:id="252" w:name="_Toc5647"/>
      <w:r>
        <w:rPr>
          <w:rFonts w:hint="default" w:ascii="Times New Roman" w:hAnsi="Times New Roman" w:eastAsia="黑体" w:cs="Times New Roman"/>
          <w:color w:val="auto"/>
          <w:sz w:val="32"/>
          <w:szCs w:val="32"/>
          <w:highlight w:val="none"/>
        </w:rPr>
        <w:t>评标办法前附表</w:t>
      </w:r>
      <w:r>
        <w:rPr>
          <w:rStyle w:val="37"/>
          <w:rFonts w:hint="default" w:ascii="Times New Roman" w:hAnsi="Times New Roman" w:cs="Times New Roman"/>
          <w:color w:val="auto"/>
          <w:sz w:val="24"/>
          <w:szCs w:val="24"/>
          <w:highlight w:val="none"/>
        </w:rPr>
        <w:footnoteReference w:id="18"/>
      </w:r>
      <w:bookmarkEnd w:id="252"/>
    </w:p>
    <w:tbl>
      <w:tblPr>
        <w:tblStyle w:val="30"/>
        <w:tblW w:w="11656"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287"/>
        <w:gridCol w:w="2476"/>
        <w:gridCol w:w="4680"/>
        <w:gridCol w:w="247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tblHeader/>
        </w:trPr>
        <w:tc>
          <w:tcPr>
            <w:tcW w:w="2024" w:type="dxa"/>
            <w:gridSpan w:val="2"/>
            <w:tcBorders>
              <w:top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b/>
                <w:color w:val="auto"/>
                <w:sz w:val="21"/>
                <w:szCs w:val="21"/>
                <w:highlight w:val="none"/>
              </w:rPr>
            </w:pPr>
            <w:r>
              <w:rPr>
                <w:rFonts w:ascii="Times New Roman" w:hAnsi="Times New Roman"/>
                <w:b/>
                <w:color w:val="auto"/>
                <w:sz w:val="21"/>
                <w:szCs w:val="21"/>
                <w:highlight w:val="none"/>
              </w:rPr>
              <w:t>条款号</w:t>
            </w:r>
          </w:p>
        </w:tc>
        <w:tc>
          <w:tcPr>
            <w:tcW w:w="7156"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b/>
                <w:color w:val="auto"/>
                <w:sz w:val="21"/>
                <w:szCs w:val="21"/>
                <w:highlight w:val="none"/>
              </w:rPr>
            </w:pPr>
            <w:r>
              <w:rPr>
                <w:rFonts w:hint="eastAsia" w:ascii="Times New Roman" w:hAnsi="Times New Roman"/>
                <w:b/>
                <w:color w:val="auto"/>
                <w:sz w:val="21"/>
                <w:szCs w:val="21"/>
                <w:highlight w:val="none"/>
              </w:rPr>
              <w:t>评审因素与评审标准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trHeight w:val="506" w:hRule="atLeast"/>
        </w:trPr>
        <w:tc>
          <w:tcPr>
            <w:tcW w:w="7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1</w:t>
            </w:r>
          </w:p>
        </w:tc>
        <w:tc>
          <w:tcPr>
            <w:tcW w:w="128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评标方法</w:t>
            </w:r>
          </w:p>
        </w:tc>
        <w:tc>
          <w:tcPr>
            <w:tcW w:w="7156"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hint="default" w:ascii="Times New Roman" w:hAnsi="Times New Roman" w:eastAsia="宋体"/>
                <w:color w:val="auto"/>
                <w:sz w:val="21"/>
                <w:szCs w:val="21"/>
                <w:highlight w:val="none"/>
                <w:lang w:val="en-US" w:eastAsia="zh-CN"/>
              </w:rPr>
            </w:pPr>
            <w:r>
              <w:rPr>
                <w:rFonts w:hint="default" w:ascii="Times New Roman" w:hAnsi="Times New Roman"/>
                <w:color w:val="auto"/>
                <w:sz w:val="21"/>
                <w:szCs w:val="21"/>
                <w:highlight w:val="none"/>
              </w:rPr>
              <w:t>经评审的投标价相等时，评标委员会依次按照以下优先顺序推荐中标候选人或确定中标人：</w:t>
            </w:r>
            <w:r>
              <w:rPr>
                <w:rFonts w:hint="default" w:ascii="Times New Roman" w:hAnsi="Times New Roman"/>
                <w:color w:val="auto"/>
                <w:sz w:val="21"/>
                <w:szCs w:val="21"/>
                <w:highlight w:val="none"/>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trHeight w:val="506" w:hRule="atLeast"/>
        </w:trPr>
        <w:tc>
          <w:tcPr>
            <w:tcW w:w="7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2.1.1</w:t>
            </w:r>
          </w:p>
          <w:p>
            <w:pPr>
              <w:spacing w:line="440" w:lineRule="exact"/>
              <w:ind w:firstLine="0" w:firstLineChars="0"/>
              <w:jc w:val="both"/>
              <w:rPr>
                <w:rFonts w:ascii="Times New Roman" w:hAnsi="Times New Roman"/>
                <w:color w:val="auto"/>
                <w:sz w:val="21"/>
                <w:szCs w:val="21"/>
                <w:highlight w:val="none"/>
              </w:rPr>
            </w:pPr>
            <w:r>
              <w:rPr>
                <w:rFonts w:hint="default" w:ascii="Times New Roman" w:hAnsi="Times New Roman"/>
                <w:color w:val="auto"/>
                <w:sz w:val="21"/>
                <w:szCs w:val="21"/>
                <w:highlight w:val="none"/>
                <w:lang w:val="en-US" w:eastAsia="zh-CN"/>
              </w:rPr>
              <w:t>2.1.3</w:t>
            </w:r>
          </w:p>
        </w:tc>
        <w:tc>
          <w:tcPr>
            <w:tcW w:w="128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hint="default" w:ascii="Times New Roman" w:hAnsi="Times New Roman"/>
                <w:color w:val="auto"/>
                <w:sz w:val="21"/>
                <w:szCs w:val="21"/>
                <w:highlight w:val="none"/>
              </w:rPr>
              <w:t>形式评审与响应性评审标准</w:t>
            </w:r>
          </w:p>
        </w:tc>
        <w:tc>
          <w:tcPr>
            <w:tcW w:w="7156"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360" w:lineRule="atLeast"/>
              <w:ind w:firstLine="250" w:firstLineChars="119"/>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第一个信封（商务及技术文件）评审标准：</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（1）投标文件按照招标文件规定的格式、内容填写，字迹清晰可辨：</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a.投标函按招标文件规定填报了项目名称、标段号、补遗书编号（如有）；</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b.投标文件组成齐全完整，内容均按规定填写。</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）投标人按照招标文件的规定提供了投标保证金：</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a.投标保证金金额符合招标文件规定的金额，且投标保证金有效期不少于投标有效期；</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c.若投标保证金采用银行保函形式提交，银行保函的格式、开具保函的银行均满足招标文件要求。</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bidi w:val="0"/>
              <w:spacing w:line="360" w:lineRule="atLeast"/>
              <w:ind w:firstLine="249" w:firstLineChars="119"/>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eastAsia="zh-CN"/>
              </w:rPr>
              <w:t>）投标人法定代表人授权委托代理人签署投标文件的，须提交授权委托书，且授权人和被授权人均在授权委托书上使用CA 数字证书加盖个人电子印章或电子签名。</w:t>
            </w:r>
          </w:p>
          <w:p>
            <w:pPr>
              <w:pageBreakBefore w:val="0"/>
              <w:kinsoku/>
              <w:wordWrap w:val="0"/>
              <w:bidi w:val="0"/>
              <w:spacing w:line="360" w:lineRule="atLeast"/>
              <w:ind w:firstLine="249" w:firstLineChars="119"/>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lang w:eastAsia="zh-CN"/>
              </w:rPr>
              <w:t>）投标人法定代表人亲自签署投标文件的，提供了法定代表人身份证明，且法定代表人在法定代表人身份证明上使用CA 数字证书加盖个人电子印章或电子签名。</w:t>
            </w:r>
          </w:p>
          <w:p>
            <w:pPr>
              <w:pageBreakBefore w:val="0"/>
              <w:kinsoku/>
              <w:wordWrap w:val="0"/>
              <w:bidi w:val="0"/>
              <w:spacing w:line="360" w:lineRule="atLeast"/>
              <w:ind w:firstLine="249" w:firstLineChars="119"/>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）投标人以联合体形式投标时，联合体满足招标文件的要求：投标人按照招标文件提供的格式签订了联合体协议书，明确各方承担连带责任，并明确了联合体牵头人</w:t>
            </w:r>
            <w:r>
              <w:rPr>
                <w:rFonts w:hint="default" w:ascii="Times New Roman" w:hAnsi="Times New Roman" w:cs="Times New Roman"/>
                <w:color w:val="auto"/>
                <w:sz w:val="21"/>
                <w:szCs w:val="21"/>
                <w:highlight w:val="none"/>
                <w:lang w:eastAsia="zh-CN"/>
              </w:rPr>
              <w:t>。</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）投标人如有分包计划，符合招标文件第二章</w:t>
            </w:r>
            <w:r>
              <w:rPr>
                <w:rFonts w:hint="eastAsia" w:ascii="宋体" w:hAnsi="宋体" w:eastAsia="宋体" w:cs="宋体"/>
                <w:color w:val="auto"/>
                <w:sz w:val="21"/>
                <w:szCs w:val="21"/>
                <w:highlight w:val="none"/>
              </w:rPr>
              <w:t>“</w:t>
            </w:r>
            <w:r>
              <w:rPr>
                <w:rFonts w:hint="default" w:ascii="Times New Roman" w:hAnsi="Times New Roman" w:cs="Times New Roman"/>
                <w:color w:val="auto"/>
                <w:sz w:val="21"/>
                <w:szCs w:val="21"/>
                <w:highlight w:val="none"/>
              </w:rPr>
              <w:t>投标人须知</w:t>
            </w:r>
            <w:r>
              <w:rPr>
                <w:rFonts w:hint="eastAsia" w:ascii="宋体" w:hAnsi="宋体" w:eastAsia="宋体" w:cs="宋体"/>
                <w:color w:val="auto"/>
                <w:sz w:val="21"/>
                <w:szCs w:val="21"/>
                <w:highlight w:val="none"/>
              </w:rPr>
              <w:t>”</w:t>
            </w:r>
            <w:r>
              <w:rPr>
                <w:rFonts w:hint="default" w:ascii="Times New Roman" w:hAnsi="Times New Roman" w:cs="Times New Roman"/>
                <w:color w:val="auto"/>
                <w:sz w:val="21"/>
                <w:szCs w:val="21"/>
                <w:highlight w:val="none"/>
              </w:rPr>
              <w:t>第1.1</w:t>
            </w:r>
            <w:r>
              <w:rPr>
                <w:rFonts w:hint="default"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款规定。</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）同一投标人未提交两个以上不同的投标文件，但招标文件要求提交备选投标的除外。</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）投标文件中未出现有关投标报价的内容。</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）投标文件载明的招标项目完成期限未超过招标文件规定的时限。</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）投标文件对招标文件的实质性要求和条件作出响应</w:t>
            </w:r>
            <w:r>
              <w:rPr>
                <w:rFonts w:hint="default" w:ascii="Times New Roman" w:hAnsi="Times New Roman" w:cs="Times New Roman"/>
                <w:color w:val="auto"/>
                <w:sz w:val="21"/>
                <w:szCs w:val="21"/>
                <w:highlight w:val="none"/>
                <w:lang w:eastAsia="zh-CN"/>
              </w:rPr>
              <w:t>，或者对招标文件的偏差</w:t>
            </w:r>
            <w:r>
              <w:rPr>
                <w:rFonts w:hint="default" w:ascii="Times New Roman" w:hAnsi="Times New Roman" w:cs="Times New Roman"/>
                <w:color w:val="auto"/>
                <w:sz w:val="21"/>
                <w:szCs w:val="21"/>
                <w:highlight w:val="none"/>
                <w:lang w:val="en-US" w:eastAsia="zh-CN"/>
              </w:rPr>
              <w:t>未</w:t>
            </w:r>
            <w:r>
              <w:rPr>
                <w:rFonts w:hint="default" w:ascii="Times New Roman" w:hAnsi="Times New Roman" w:cs="Times New Roman"/>
                <w:color w:val="auto"/>
                <w:sz w:val="21"/>
                <w:szCs w:val="21"/>
                <w:highlight w:val="none"/>
                <w:lang w:eastAsia="zh-CN"/>
              </w:rPr>
              <w:t>超出招标文件规定的偏差范围或最高项数</w:t>
            </w:r>
            <w:r>
              <w:rPr>
                <w:rFonts w:hint="default" w:ascii="Times New Roman" w:hAnsi="Times New Roman" w:cs="Times New Roman"/>
                <w:color w:val="auto"/>
                <w:sz w:val="21"/>
                <w:szCs w:val="21"/>
                <w:highlight w:val="none"/>
              </w:rPr>
              <w:t>。</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12</w:t>
            </w:r>
            <w:r>
              <w:rPr>
                <w:rFonts w:hint="default" w:ascii="Times New Roman" w:hAnsi="Times New Roman" w:cs="Times New Roman"/>
                <w:color w:val="auto"/>
                <w:sz w:val="21"/>
                <w:szCs w:val="21"/>
                <w:highlight w:val="none"/>
                <w:lang w:eastAsia="zh-CN"/>
              </w:rPr>
              <w:t>）权利义务：符合招标文件第二章</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投标人须知</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第1.11.1项规定和第四章</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合同条款及格式</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中的实质性要求和条件。</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13</w:t>
            </w:r>
            <w:r>
              <w:rPr>
                <w:rFonts w:hint="default" w:ascii="Times New Roman" w:hAnsi="Times New Roman" w:cs="Times New Roman"/>
                <w:color w:val="auto"/>
                <w:sz w:val="21"/>
                <w:szCs w:val="21"/>
                <w:highlight w:val="none"/>
                <w:lang w:eastAsia="zh-CN"/>
              </w:rPr>
              <w:t>）投标设备及技术服务和质保期服务</w:t>
            </w:r>
            <w:r>
              <w:rPr>
                <w:rFonts w:hint="default" w:ascii="Times New Roman" w:hAnsi="Times New Roman" w:cs="Times New Roman"/>
                <w:color w:val="auto"/>
                <w:sz w:val="21"/>
                <w:szCs w:val="21"/>
                <w:highlight w:val="none"/>
                <w:lang w:val="en-US" w:eastAsia="zh-CN"/>
              </w:rPr>
              <w:t>/投标材料及相关服务：符合第五章</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供货要求</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中的实质性要求和条件。</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（14）技术支持资料：符合第二章</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第1.11.3项规定。</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（15）投标人上传投标文件的标段数量满足第一章</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招标公告</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第3.3款规定，投标函上填写的标段号与上传的对应项目标段号一致。</w:t>
            </w:r>
          </w:p>
          <w:p>
            <w:pPr>
              <w:wordWrap w:val="0"/>
              <w:spacing w:line="360" w:lineRule="atLeast"/>
              <w:ind w:firstLine="249" w:firstLineChars="119"/>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16</w:t>
            </w:r>
            <w:r>
              <w:rPr>
                <w:rFonts w:hint="default" w:ascii="Times New Roman" w:hAnsi="Times New Roman" w:cs="Times New Roman"/>
                <w:color w:val="auto"/>
                <w:sz w:val="21"/>
                <w:szCs w:val="21"/>
                <w:highlight w:val="none"/>
              </w:rPr>
              <w:t>）未发现投标人与其他投标人存在使用同一不可篡改的唯一标识软硬件设备投标的（如：MAC地址、标书制作特征码、标书唯一特征码等）。</w:t>
            </w:r>
          </w:p>
          <w:p>
            <w:pPr>
              <w:wordWrap w:val="0"/>
              <w:spacing w:line="360" w:lineRule="atLeast"/>
              <w:ind w:firstLine="249" w:firstLineChars="119"/>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p>
            <w:pPr>
              <w:wordWrap w:val="0"/>
              <w:spacing w:line="360" w:lineRule="atLeast"/>
              <w:ind w:firstLine="249" w:firstLineChars="119"/>
              <w:jc w:val="left"/>
              <w:rPr>
                <w:rFonts w:hint="default" w:ascii="Times New Roman" w:hAnsi="Times New Roman" w:cs="Times New Roman"/>
                <w:color w:val="auto"/>
                <w:sz w:val="21"/>
                <w:szCs w:val="21"/>
                <w:highlight w:val="none"/>
              </w:rPr>
            </w:pPr>
          </w:p>
          <w:p>
            <w:pPr>
              <w:pageBreakBefore w:val="0"/>
              <w:kinsoku/>
              <w:wordWrap w:val="0"/>
              <w:bidi w:val="0"/>
              <w:spacing w:line="360" w:lineRule="atLeast"/>
              <w:ind w:firstLine="385" w:firstLineChars="183"/>
              <w:rPr>
                <w:rFonts w:hint="default" w:ascii="Times New Roman" w:hAnsi="Times New Roman" w:cs="Times New Roman"/>
                <w:color w:val="auto"/>
                <w:sz w:val="21"/>
                <w:szCs w:val="21"/>
                <w:highlight w:val="none"/>
              </w:rPr>
            </w:pPr>
            <w:r>
              <w:rPr>
                <w:rFonts w:hint="default" w:ascii="Times New Roman" w:hAnsi="Times New Roman" w:cs="Times New Roman"/>
                <w:b/>
                <w:color w:val="auto"/>
                <w:sz w:val="21"/>
                <w:szCs w:val="21"/>
                <w:highlight w:val="none"/>
              </w:rPr>
              <w:t>第二个信封（报价文件）评审标准：</w:t>
            </w:r>
          </w:p>
          <w:p>
            <w:pPr>
              <w:pageBreakBefore w:val="0"/>
              <w:kinsoku/>
              <w:wordWrap w:val="0"/>
              <w:bidi w:val="0"/>
              <w:spacing w:line="360" w:lineRule="atLeast"/>
              <w:ind w:firstLine="384" w:firstLineChars="183"/>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a.</w:t>
            </w:r>
            <w:r>
              <w:rPr>
                <w:rFonts w:hint="default" w:ascii="Times New Roman" w:hAnsi="Times New Roman" w:cs="Times New Roman"/>
                <w:color w:val="auto"/>
                <w:sz w:val="21"/>
                <w:szCs w:val="21"/>
                <w:highlight w:val="none"/>
              </w:rPr>
              <w:t>投标函按招标文件规定填报了项目名称、标段号、补遗书编号（如有）、投标价（包括大写金额和小写金额）；</w:t>
            </w:r>
          </w:p>
          <w:p>
            <w:pPr>
              <w:pageBreakBefore w:val="0"/>
              <w:kinsoku/>
              <w:wordWrap w:val="0"/>
              <w:bidi w:val="0"/>
              <w:spacing w:line="360" w:lineRule="atLeast"/>
              <w:ind w:firstLine="384" w:firstLineChars="183"/>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b</w:t>
            </w:r>
            <w:r>
              <w:rPr>
                <w:rFonts w:hint="default" w:ascii="Times New Roman" w:hAnsi="Times New Roman" w:cs="Times New Roman"/>
                <w:color w:val="auto"/>
                <w:sz w:val="21"/>
                <w:szCs w:val="21"/>
                <w:highlight w:val="none"/>
              </w:rPr>
              <w:t>.投标文件组成齐全完整，内容均按规定填写。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（3）投标报价中的报价未超过招标文件设定的最高投标限价（如有）。</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（4）投标报价中报价的大写金额能够确定具体数值。</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（5）同一投标人未提交两个以上不同的投标报价，但招标文件要求提交备选投标的除外。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分项报价表</w:t>
            </w:r>
            <w:r>
              <w:rPr>
                <w:rFonts w:hint="default" w:ascii="Times New Roman" w:hAnsi="Times New Roman" w:cs="Times New Roman"/>
                <w:color w:val="auto"/>
                <w:sz w:val="21"/>
                <w:szCs w:val="21"/>
                <w:highlight w:val="none"/>
              </w:rPr>
              <w:t>中的投标报价和投标函大写金额报价一致。</w:t>
            </w:r>
          </w:p>
          <w:p>
            <w:pPr>
              <w:wordWrap w:val="0"/>
              <w:spacing w:line="360" w:lineRule="atLeast"/>
              <w:ind w:firstLine="459" w:firstLineChars="219"/>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）未发现投标人与其他投标人存在使用同一不可篡改的唯一标识软硬件设备投标的（如：MAC地址、标书制作特征码、标书唯一特征码等）。</w:t>
            </w:r>
          </w:p>
          <w:p>
            <w:pPr>
              <w:wordWrap w:val="0"/>
              <w:spacing w:line="360" w:lineRule="atLeast"/>
              <w:ind w:firstLine="249" w:firstLineChars="119"/>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trHeight w:val="506" w:hRule="atLeast"/>
        </w:trPr>
        <w:tc>
          <w:tcPr>
            <w:tcW w:w="7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hint="default" w:ascii="Times New Roman" w:hAnsi="Times New Roman"/>
                <w:color w:val="auto"/>
                <w:sz w:val="21"/>
                <w:szCs w:val="21"/>
                <w:highlight w:val="none"/>
                <w:lang w:val="en-US" w:eastAsia="zh-CN"/>
              </w:rPr>
            </w:pPr>
            <w:r>
              <w:rPr>
                <w:rFonts w:hint="default" w:ascii="Times New Roman" w:hAnsi="Times New Roman"/>
                <w:color w:val="auto"/>
                <w:sz w:val="21"/>
                <w:szCs w:val="21"/>
                <w:highlight w:val="none"/>
                <w:lang w:val="en-US" w:eastAsia="zh-CN"/>
              </w:rPr>
              <w:t>2.1.2</w:t>
            </w:r>
          </w:p>
        </w:tc>
        <w:tc>
          <w:tcPr>
            <w:tcW w:w="128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hint="default" w:ascii="Times New Roman" w:hAnsi="Times New Roman"/>
                <w:color w:val="auto"/>
                <w:sz w:val="21"/>
                <w:szCs w:val="21"/>
                <w:highlight w:val="none"/>
              </w:rPr>
            </w:pPr>
            <w:r>
              <w:rPr>
                <w:rFonts w:ascii="Times New Roman" w:hAnsi="Times New Roman"/>
                <w:color w:val="auto"/>
                <w:sz w:val="21"/>
                <w:szCs w:val="21"/>
                <w:highlight w:val="none"/>
              </w:rPr>
              <w:t>资格评审标准</w:t>
            </w:r>
          </w:p>
        </w:tc>
        <w:tc>
          <w:tcPr>
            <w:tcW w:w="7156" w:type="dxa"/>
            <w:gridSpan w:val="2"/>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）投标人的资质等级符合招标文件规定。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）投标人的财务状况符合招标文件规定。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）投标人的类似项目业绩符合招标文件规定。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rPr>
              <w:t>）投标人的信誉符合招标文件规定。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）投标人的其他要求符合招标文件规定。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）投标设备</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材料制造商的资质要求（如有）</w:t>
            </w:r>
            <w:r>
              <w:rPr>
                <w:rFonts w:hint="default" w:ascii="Times New Roman" w:hAnsi="Times New Roman" w:cs="Times New Roman"/>
                <w:color w:val="auto"/>
                <w:sz w:val="21"/>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eastAsia="zh-CN"/>
              </w:rPr>
              <w:t>投标设备</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材料的业绩要求（如有）。</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）投标人不存在第二章</w:t>
            </w:r>
            <w:r>
              <w:rPr>
                <w:rFonts w:hint="eastAsia" w:ascii="宋体" w:hAnsi="宋体" w:eastAsia="宋体" w:cs="宋体"/>
                <w:color w:val="auto"/>
                <w:sz w:val="21"/>
                <w:szCs w:val="21"/>
                <w:highlight w:val="none"/>
              </w:rPr>
              <w:t>“</w:t>
            </w:r>
            <w:r>
              <w:rPr>
                <w:rFonts w:hint="default" w:ascii="Times New Roman" w:hAnsi="Times New Roman" w:cs="Times New Roman"/>
                <w:color w:val="auto"/>
                <w:sz w:val="21"/>
                <w:szCs w:val="21"/>
                <w:highlight w:val="none"/>
              </w:rPr>
              <w:t>投标人须知</w:t>
            </w:r>
            <w:r>
              <w:rPr>
                <w:rFonts w:hint="eastAsia" w:ascii="宋体" w:hAnsi="宋体" w:eastAsia="宋体" w:cs="宋体"/>
                <w:color w:val="auto"/>
                <w:sz w:val="21"/>
                <w:szCs w:val="21"/>
                <w:highlight w:val="none"/>
              </w:rPr>
              <w:t>”</w:t>
            </w:r>
            <w:r>
              <w:rPr>
                <w:rFonts w:hint="default" w:ascii="Times New Roman" w:hAnsi="Times New Roman" w:cs="Times New Roman"/>
                <w:color w:val="auto"/>
                <w:sz w:val="21"/>
                <w:szCs w:val="21"/>
                <w:highlight w:val="none"/>
              </w:rPr>
              <w:t>第1.4.3项规定的任何一种情形。</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）以联合体形式参与投标的，联合体各方均未再以自己名义单独或参加其他联合体在同一标段中投标；独立参与投标的，投标人未同时参加联合体在同一标段中投标。</w:t>
            </w:r>
          </w:p>
          <w:p>
            <w:pPr>
              <w:wordWrap w:val="0"/>
              <w:spacing w:line="360" w:lineRule="atLeast"/>
              <w:ind w:firstLine="249" w:firstLineChars="119"/>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6" w:hRule="atLeast"/>
        </w:trPr>
        <w:tc>
          <w:tcPr>
            <w:tcW w:w="2024" w:type="dxa"/>
            <w:gridSpan w:val="2"/>
            <w:tcBorders>
              <w:top w:val="single" w:color="auto" w:sz="4" w:space="0"/>
              <w:bottom w:val="single" w:color="auto" w:sz="4" w:space="0"/>
              <w:right w:val="single" w:color="auto" w:sz="4" w:space="0"/>
            </w:tcBorders>
            <w:vAlign w:val="center"/>
          </w:tcPr>
          <w:p>
            <w:pPr>
              <w:ind w:firstLine="0" w:firstLineChars="0"/>
              <w:jc w:val="center"/>
              <w:rPr>
                <w:rFonts w:ascii="Times New Roman" w:hAnsi="Times New Roman"/>
                <w:color w:val="auto"/>
                <w:sz w:val="21"/>
                <w:szCs w:val="21"/>
                <w:highlight w:val="none"/>
              </w:rPr>
            </w:pPr>
            <w:r>
              <w:rPr>
                <w:rFonts w:ascii="Times New Roman" w:hAnsi="Times New Roman"/>
                <w:b/>
                <w:color w:val="auto"/>
                <w:sz w:val="21"/>
                <w:szCs w:val="21"/>
                <w:highlight w:val="none"/>
              </w:rPr>
              <w:t>条款号</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hint="default" w:ascii="Times New Roman" w:hAnsi="Times New Roman"/>
                <w:b/>
                <w:color w:val="auto"/>
                <w:sz w:val="21"/>
                <w:szCs w:val="21"/>
                <w:highlight w:val="none"/>
              </w:rPr>
              <w:t>价格调整因素</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ascii="Times New Roman" w:hAnsi="Times New Roman"/>
                <w:b/>
                <w:color w:val="auto"/>
                <w:sz w:val="21"/>
                <w:szCs w:val="21"/>
                <w:highlight w:val="none"/>
              </w:rPr>
              <w:t>价格调整标准</w:t>
            </w:r>
          </w:p>
        </w:tc>
        <w:tc>
          <w:tcPr>
            <w:tcW w:w="2476" w:type="dxa"/>
            <w:tcBorders>
              <w:left w:val="single" w:color="auto" w:sz="4" w:space="0"/>
            </w:tcBorders>
            <w:vAlign w:val="center"/>
          </w:tcPr>
          <w:p>
            <w:pPr>
              <w:widowControl/>
              <w:jc w:val="left"/>
              <w:rPr>
                <w:rFonts w:ascii="Times New Roman" w:hAnsi="Times New Roman"/>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737" w:type="dxa"/>
            <w:vMerge w:val="restart"/>
            <w:tcBorders>
              <w:top w:val="single" w:color="auto" w:sz="4" w:space="0"/>
              <w:right w:val="single" w:color="auto" w:sz="4" w:space="0"/>
            </w:tcBorders>
            <w:vAlign w:val="center"/>
          </w:tcPr>
          <w:p>
            <w:pPr>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2.2</w:t>
            </w:r>
          </w:p>
        </w:tc>
        <w:tc>
          <w:tcPr>
            <w:tcW w:w="1287" w:type="dxa"/>
            <w:vMerge w:val="restart"/>
            <w:tcBorders>
              <w:top w:val="single" w:color="auto" w:sz="4" w:space="0"/>
              <w:left w:val="single" w:color="auto" w:sz="4" w:space="0"/>
              <w:right w:val="single" w:color="auto" w:sz="4" w:space="0"/>
            </w:tcBorders>
            <w:vAlign w:val="center"/>
          </w:tcPr>
          <w:p>
            <w:pPr>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详细评审标准</w:t>
            </w:r>
          </w:p>
        </w:tc>
        <w:tc>
          <w:tcPr>
            <w:tcW w:w="2476" w:type="dxa"/>
            <w:tcBorders>
              <w:top w:val="single" w:color="auto" w:sz="4" w:space="0"/>
              <w:left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付款条件</w:t>
            </w:r>
          </w:p>
        </w:tc>
        <w:tc>
          <w:tcPr>
            <w:tcW w:w="4680" w:type="dxa"/>
            <w:tcBorders>
              <w:top w:val="single" w:color="auto" w:sz="4" w:space="0"/>
              <w:lef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737" w:type="dxa"/>
            <w:vMerge w:val="continue"/>
            <w:tcBorders>
              <w:top w:val="single" w:color="auto" w:sz="4" w:space="0"/>
              <w:right w:val="single" w:color="auto" w:sz="4" w:space="0"/>
            </w:tcBorders>
            <w:vAlign w:val="center"/>
          </w:tcPr>
          <w:p>
            <w:pPr>
              <w:ind w:firstLine="0" w:firstLineChars="0"/>
              <w:rPr>
                <w:rFonts w:ascii="Times New Roman" w:hAnsi="Times New Roman"/>
                <w:color w:val="auto"/>
                <w:sz w:val="21"/>
                <w:szCs w:val="21"/>
                <w:highlight w:val="none"/>
              </w:rPr>
            </w:pPr>
          </w:p>
        </w:tc>
        <w:tc>
          <w:tcPr>
            <w:tcW w:w="1287" w:type="dxa"/>
            <w:vMerge w:val="continue"/>
            <w:tcBorders>
              <w:top w:val="single" w:color="auto" w:sz="4" w:space="0"/>
              <w:left w:val="single" w:color="auto" w:sz="4" w:space="0"/>
              <w:right w:val="single" w:color="auto" w:sz="4" w:space="0"/>
            </w:tcBorders>
            <w:vAlign w:val="center"/>
          </w:tcPr>
          <w:p>
            <w:pPr>
              <w:ind w:firstLine="0" w:firstLineChars="0"/>
              <w:rPr>
                <w:rFonts w:ascii="Times New Roman" w:hAnsi="Times New Roman"/>
                <w:color w:val="auto"/>
                <w:sz w:val="21"/>
                <w:szCs w:val="21"/>
                <w:highlight w:val="none"/>
              </w:rPr>
            </w:pPr>
          </w:p>
        </w:tc>
        <w:tc>
          <w:tcPr>
            <w:tcW w:w="2476" w:type="dxa"/>
            <w:tcBorders>
              <w:top w:val="single" w:color="auto" w:sz="4" w:space="0"/>
              <w:left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hint="default" w:ascii="Times New Roman" w:hAnsi="Times New Roman"/>
                <w:color w:val="auto"/>
                <w:sz w:val="21"/>
                <w:szCs w:val="21"/>
                <w:highlight w:val="none"/>
              </w:rPr>
              <w:t>交货期</w:t>
            </w:r>
          </w:p>
        </w:tc>
        <w:tc>
          <w:tcPr>
            <w:tcW w:w="4680" w:type="dxa"/>
            <w:tcBorders>
              <w:top w:val="single" w:color="auto" w:sz="4" w:space="0"/>
              <w:lef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2476" w:type="dxa"/>
          <w:cantSplit/>
          <w:trHeight w:val="466" w:hRule="atLeast"/>
        </w:trPr>
        <w:tc>
          <w:tcPr>
            <w:tcW w:w="737" w:type="dxa"/>
            <w:vMerge w:val="continue"/>
            <w:tcBorders>
              <w:bottom w:val="single" w:color="auto" w:sz="4" w:space="0"/>
              <w:right w:val="single" w:color="auto" w:sz="4" w:space="0"/>
            </w:tcBorders>
            <w:vAlign w:val="center"/>
          </w:tcPr>
          <w:p>
            <w:pPr>
              <w:ind w:firstLine="0" w:firstLineChars="0"/>
              <w:rPr>
                <w:rFonts w:ascii="Times New Roman" w:hAnsi="Times New Roman"/>
                <w:color w:val="auto"/>
                <w:sz w:val="21"/>
                <w:szCs w:val="21"/>
                <w:highlight w:val="none"/>
              </w:rPr>
            </w:pPr>
          </w:p>
        </w:tc>
        <w:tc>
          <w:tcPr>
            <w:tcW w:w="1287" w:type="dxa"/>
            <w:vMerge w:val="continue"/>
            <w:tcBorders>
              <w:left w:val="single" w:color="auto" w:sz="4" w:space="0"/>
              <w:bottom w:val="single" w:color="auto" w:sz="4" w:space="0"/>
              <w:right w:val="single" w:color="auto" w:sz="4" w:space="0"/>
            </w:tcBorders>
            <w:vAlign w:val="center"/>
          </w:tcPr>
          <w:p>
            <w:pPr>
              <w:ind w:firstLine="0" w:firstLineChars="0"/>
              <w:rPr>
                <w:rFonts w:ascii="Times New Roman" w:hAnsi="Times New Roman"/>
                <w:color w:val="auto"/>
                <w:sz w:val="21"/>
                <w:szCs w:val="21"/>
                <w:highlight w:val="none"/>
              </w:rPr>
            </w:pPr>
          </w:p>
        </w:tc>
        <w:tc>
          <w:tcPr>
            <w:tcW w:w="2476" w:type="dxa"/>
            <w:tcBorders>
              <w:top w:val="single" w:color="auto" w:sz="4" w:space="0"/>
              <w:left w:val="single" w:color="auto" w:sz="4" w:space="0"/>
              <w:righ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w:t>
            </w:r>
          </w:p>
        </w:tc>
        <w:tc>
          <w:tcPr>
            <w:tcW w:w="4680" w:type="dxa"/>
            <w:tcBorders>
              <w:top w:val="single" w:color="auto" w:sz="4" w:space="0"/>
              <w:left w:val="single" w:color="auto" w:sz="4" w:space="0"/>
            </w:tcBorders>
            <w:vAlign w:val="center"/>
          </w:tcPr>
          <w:p>
            <w:pPr>
              <w:spacing w:line="440" w:lineRule="exac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w:t>
            </w:r>
          </w:p>
        </w:tc>
      </w:tr>
    </w:tbl>
    <w:p>
      <w:pP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pStyle w:val="3"/>
        <w:rPr>
          <w:rFonts w:ascii="Times New Roman" w:hAnsi="Times New Roman"/>
          <w:color w:val="auto"/>
          <w:highlight w:val="none"/>
        </w:rPr>
      </w:pPr>
      <w:bookmarkStart w:id="253" w:name="_Toc21479"/>
      <w:bookmarkStart w:id="254" w:name="_Toc491883169"/>
      <w:bookmarkStart w:id="255" w:name="_Toc234832955"/>
      <w:bookmarkStart w:id="256" w:name="_Toc501257174"/>
      <w:r>
        <w:rPr>
          <w:rFonts w:ascii="Times New Roman" w:hAnsi="Times New Roman"/>
          <w:color w:val="auto"/>
          <w:highlight w:val="none"/>
        </w:rPr>
        <w:t>1. 评标方法</w:t>
      </w:r>
      <w:bookmarkEnd w:id="253"/>
      <w:bookmarkEnd w:id="254"/>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本次评标采用经评审的最低投标价法。评标委员会对满足招标文件实质性要求的投标文件，根据本章第2.2款规定的评标价格调整方法进行必要的价格调整，并按照经评审的投标价由低到高的顺序推荐中</w:t>
      </w:r>
      <w:bookmarkStart w:id="257" w:name="_Toc144974575"/>
      <w:bookmarkStart w:id="258" w:name="_Toc361508655"/>
      <w:bookmarkStart w:id="259" w:name="_Toc369531586"/>
      <w:bookmarkStart w:id="260" w:name="_Toc300835017"/>
      <w:bookmarkStart w:id="261" w:name="_Toc30581"/>
      <w:bookmarkStart w:id="262" w:name="_Toc152045607"/>
      <w:bookmarkStart w:id="263" w:name="_Toc247527632"/>
      <w:bookmarkStart w:id="264" w:name="_Toc247514031"/>
      <w:bookmarkStart w:id="265" w:name="_Toc384308281"/>
      <w:bookmarkStart w:id="266" w:name="_Toc352691542"/>
      <w:bookmarkStart w:id="267" w:name="_Toc152042385"/>
      <w:r>
        <w:rPr>
          <w:rFonts w:ascii="Times New Roman" w:hAnsi="Times New Roman"/>
          <w:color w:val="auto"/>
          <w:highlight w:val="none"/>
        </w:rPr>
        <w:t>标候选人，或根据招标人</w:t>
      </w:r>
      <w:bookmarkEnd w:id="257"/>
      <w:r>
        <w:rPr>
          <w:rFonts w:ascii="Times New Roman" w:hAnsi="Times New Roman"/>
          <w:color w:val="auto"/>
          <w:highlight w:val="none"/>
        </w:rPr>
        <w:t>授权直</w:t>
      </w:r>
      <w:bookmarkEnd w:id="258"/>
      <w:bookmarkEnd w:id="259"/>
      <w:bookmarkEnd w:id="260"/>
      <w:bookmarkEnd w:id="261"/>
      <w:bookmarkEnd w:id="262"/>
      <w:bookmarkEnd w:id="263"/>
      <w:bookmarkEnd w:id="264"/>
      <w:bookmarkEnd w:id="265"/>
      <w:bookmarkEnd w:id="266"/>
      <w:bookmarkEnd w:id="267"/>
      <w:r>
        <w:rPr>
          <w:rFonts w:ascii="Times New Roman" w:hAnsi="Times New Roman"/>
          <w:color w:val="auto"/>
          <w:highlight w:val="none"/>
        </w:rPr>
        <w:t>接确定中标人，但投标报价低于其成本的除外。经评审的投标价相等时，</w:t>
      </w:r>
      <w:r>
        <w:rPr>
          <w:rFonts w:hint="default" w:ascii="Times New Roman" w:hAnsi="Times New Roman"/>
          <w:color w:val="auto"/>
          <w:highlight w:val="none"/>
        </w:rPr>
        <w:t>评标委员会应按照评标办法前附表规定的优先次序推荐中标候选人或确定中标人</w:t>
      </w:r>
      <w:r>
        <w:rPr>
          <w:rFonts w:ascii="Times New Roman" w:hAnsi="Times New Roman"/>
          <w:color w:val="auto"/>
          <w:highlight w:val="none"/>
        </w:rPr>
        <w:t>。</w:t>
      </w:r>
    </w:p>
    <w:p>
      <w:pPr>
        <w:pStyle w:val="3"/>
        <w:rPr>
          <w:rFonts w:ascii="Times New Roman" w:hAnsi="Times New Roman"/>
          <w:color w:val="auto"/>
          <w:highlight w:val="none"/>
        </w:rPr>
      </w:pPr>
      <w:bookmarkStart w:id="268" w:name="_Toc4426"/>
      <w:bookmarkStart w:id="269" w:name="_Toc491883170"/>
      <w:r>
        <w:rPr>
          <w:rFonts w:ascii="Times New Roman" w:hAnsi="Times New Roman"/>
          <w:color w:val="auto"/>
          <w:highlight w:val="none"/>
        </w:rPr>
        <w:t>2. 评审标准</w:t>
      </w:r>
      <w:bookmarkEnd w:id="268"/>
      <w:bookmarkEnd w:id="269"/>
    </w:p>
    <w:p>
      <w:pPr>
        <w:spacing w:line="400" w:lineRule="exact"/>
        <w:ind w:firstLine="137"/>
        <w:outlineLvl w:val="9"/>
        <w:rPr>
          <w:rFonts w:ascii="Times New Roman" w:hAnsi="Times New Roman"/>
          <w:color w:val="auto"/>
          <w:highlight w:val="none"/>
        </w:rPr>
      </w:pPr>
      <w:bookmarkStart w:id="270" w:name="_Toc491883171"/>
      <w:r>
        <w:rPr>
          <w:rFonts w:ascii="Times New Roman" w:hAnsi="Times New Roman"/>
          <w:color w:val="auto"/>
          <w:highlight w:val="none"/>
        </w:rPr>
        <w:t>2.1 初步评审标准</w:t>
      </w:r>
      <w:bookmarkEnd w:id="270"/>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2.1.1 形式评审标准：见评标办法前附表。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2.1.2 资格评审标准：见评标办法前附表。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2.1.3 响应性评审标准：见评标办法前附表。</w:t>
      </w:r>
    </w:p>
    <w:p>
      <w:pPr>
        <w:spacing w:line="400" w:lineRule="exact"/>
        <w:ind w:firstLine="137"/>
        <w:outlineLvl w:val="9"/>
        <w:rPr>
          <w:rFonts w:ascii="Times New Roman" w:hAnsi="Times New Roman"/>
          <w:color w:val="auto"/>
          <w:highlight w:val="none"/>
        </w:rPr>
      </w:pPr>
      <w:bookmarkStart w:id="271" w:name="_Toc491883172"/>
      <w:r>
        <w:rPr>
          <w:rFonts w:ascii="Times New Roman" w:hAnsi="Times New Roman"/>
          <w:color w:val="auto"/>
          <w:highlight w:val="none"/>
        </w:rPr>
        <w:t xml:space="preserve">2.2 </w:t>
      </w:r>
      <w:r>
        <w:rPr>
          <w:rFonts w:hint="default" w:ascii="Times New Roman" w:hAnsi="Times New Roman"/>
          <w:color w:val="auto"/>
          <w:highlight w:val="none"/>
        </w:rPr>
        <w:t>详细评审标准</w:t>
      </w:r>
      <w:bookmarkEnd w:id="271"/>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详细评审标准：见评标办法前附表。</w:t>
      </w:r>
    </w:p>
    <w:p>
      <w:pPr>
        <w:pStyle w:val="3"/>
        <w:rPr>
          <w:rFonts w:ascii="Times New Roman" w:hAnsi="Times New Roman"/>
          <w:color w:val="auto"/>
          <w:highlight w:val="none"/>
        </w:rPr>
      </w:pPr>
      <w:bookmarkStart w:id="272" w:name="_Toc24014"/>
      <w:bookmarkStart w:id="273" w:name="_Toc491883173"/>
      <w:r>
        <w:rPr>
          <w:rFonts w:ascii="Times New Roman" w:hAnsi="Times New Roman"/>
          <w:color w:val="auto"/>
          <w:highlight w:val="none"/>
        </w:rPr>
        <w:t>3. 评标程序</w:t>
      </w:r>
      <w:bookmarkEnd w:id="272"/>
      <w:bookmarkEnd w:id="273"/>
    </w:p>
    <w:p>
      <w:pPr>
        <w:spacing w:before="240" w:after="240" w:line="240" w:lineRule="atLeast"/>
        <w:ind w:firstLine="136" w:firstLineChars="0"/>
        <w:outlineLvl w:val="2"/>
        <w:rPr>
          <w:rFonts w:hint="default" w:ascii="Times New Roman" w:hAnsi="Times New Roman" w:eastAsia="黑体"/>
          <w:color w:val="auto"/>
          <w:highlight w:val="none"/>
        </w:rPr>
      </w:pPr>
      <w:bookmarkStart w:id="274" w:name="_Toc491883174"/>
      <w:bookmarkStart w:id="275" w:name="_Toc28138"/>
      <w:r>
        <w:rPr>
          <w:rFonts w:hint="default" w:ascii="Times New Roman" w:hAnsi="Times New Roman" w:eastAsia="黑体"/>
          <w:color w:val="auto"/>
          <w:highlight w:val="none"/>
        </w:rPr>
        <w:t>3.1 第一个信封初步评审</w:t>
      </w:r>
      <w:bookmarkEnd w:id="274"/>
      <w:bookmarkEnd w:id="275"/>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3.1.1 评标委员会依据本章第2.1款规定的标准对投标文件</w:t>
      </w:r>
      <w:r>
        <w:rPr>
          <w:rFonts w:hint="default" w:ascii="Times New Roman" w:hAnsi="Times New Roman"/>
          <w:color w:val="auto"/>
          <w:highlight w:val="none"/>
        </w:rPr>
        <w:t>第一个信封（商务及技术文件）</w:t>
      </w:r>
      <w:r>
        <w:rPr>
          <w:rFonts w:ascii="Times New Roman" w:hAnsi="Times New Roman"/>
          <w:color w:val="auto"/>
          <w:highlight w:val="none"/>
        </w:rPr>
        <w:t>进行初步评审。有一项不符合评审标准的，评标委员会应当否决其投标。</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3.1.2 投标文件的标的、技术性能指标/质量标准、交货期</w:t>
      </w:r>
      <w:r>
        <w:rPr>
          <w:rFonts w:hint="default" w:ascii="Times New Roman" w:hAnsi="Times New Roman"/>
          <w:color w:val="auto"/>
          <w:highlight w:val="none"/>
          <w:lang w:eastAsia="zh-CN"/>
        </w:rPr>
        <w:t>、交货地点</w:t>
      </w:r>
      <w:r>
        <w:rPr>
          <w:rFonts w:hint="default" w:ascii="Times New Roman" w:hAnsi="Times New Roman"/>
          <w:color w:val="auto"/>
          <w:highlight w:val="none"/>
        </w:rPr>
        <w:t>等实质性要求和条件不得出现（存在）不利于招标人的偏差，否则，评标委员会应否决其投标。</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spacing w:before="240" w:after="240" w:line="240" w:lineRule="atLeast"/>
        <w:ind w:firstLine="136" w:firstLineChars="0"/>
        <w:outlineLvl w:val="2"/>
        <w:rPr>
          <w:rFonts w:hint="default" w:ascii="Times New Roman" w:hAnsi="Times New Roman" w:eastAsia="黑体"/>
          <w:color w:val="auto"/>
          <w:highlight w:val="none"/>
          <w:lang w:val="en-US" w:eastAsia="zh-CN"/>
        </w:rPr>
      </w:pPr>
      <w:bookmarkStart w:id="276" w:name="_Toc4491"/>
      <w:r>
        <w:rPr>
          <w:rFonts w:hint="default" w:ascii="Times New Roman" w:hAnsi="Times New Roman" w:eastAsia="黑体"/>
          <w:color w:val="auto"/>
          <w:highlight w:val="none"/>
          <w:lang w:val="en-US" w:eastAsia="zh-CN"/>
        </w:rPr>
        <w:t>3.2第二个信封开标</w:t>
      </w:r>
      <w:bookmarkEnd w:id="276"/>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第一个信封（商务及技术文件）评审结束后，招标人将按照第二章</w:t>
      </w:r>
      <w:r>
        <w:rPr>
          <w:rFonts w:hint="eastAsia" w:ascii="宋体" w:hAnsi="宋体" w:eastAsia="宋体" w:cs="宋体"/>
          <w:color w:val="auto"/>
          <w:highlight w:val="none"/>
          <w:lang w:val="en-US" w:eastAsia="zh-CN"/>
        </w:rPr>
        <w:t>“</w:t>
      </w:r>
      <w:r>
        <w:rPr>
          <w:rFonts w:hint="default" w:ascii="Times New Roman" w:hAnsi="Times New Roman"/>
          <w:color w:val="auto"/>
          <w:highlight w:val="none"/>
          <w:lang w:val="en-US" w:eastAsia="zh-CN"/>
        </w:rPr>
        <w:t>投标人须知</w:t>
      </w:r>
      <w:r>
        <w:rPr>
          <w:rFonts w:hint="eastAsia" w:ascii="宋体" w:hAnsi="宋体" w:eastAsia="宋体" w:cs="宋体"/>
          <w:color w:val="auto"/>
          <w:highlight w:val="none"/>
          <w:lang w:val="en-US" w:eastAsia="zh-CN"/>
        </w:rPr>
        <w:t>”</w:t>
      </w:r>
      <w:r>
        <w:rPr>
          <w:rFonts w:hint="default" w:ascii="Times New Roman" w:hAnsi="Times New Roman"/>
          <w:color w:val="auto"/>
          <w:highlight w:val="none"/>
          <w:lang w:val="en-US" w:eastAsia="zh-CN"/>
        </w:rPr>
        <w:t>第5.1款规定的时间和地点对通过投标文件第一个信封（商务及技术文件）评审的投标文件第二个信封（报价文件）进行开标。</w:t>
      </w:r>
    </w:p>
    <w:p>
      <w:pPr>
        <w:spacing w:before="240" w:after="240" w:line="240" w:lineRule="atLeast"/>
        <w:ind w:firstLine="136" w:firstLineChars="0"/>
        <w:outlineLvl w:val="2"/>
        <w:rPr>
          <w:rFonts w:hint="default" w:ascii="Times New Roman" w:hAnsi="Times New Roman" w:eastAsia="黑体"/>
          <w:color w:val="auto"/>
          <w:highlight w:val="none"/>
          <w:lang w:val="en-US" w:eastAsia="zh-CN"/>
        </w:rPr>
      </w:pPr>
      <w:bookmarkStart w:id="277" w:name="_Toc19445"/>
      <w:r>
        <w:rPr>
          <w:rFonts w:hint="default" w:ascii="Times New Roman" w:hAnsi="Times New Roman" w:eastAsia="黑体"/>
          <w:color w:val="auto"/>
          <w:highlight w:val="none"/>
          <w:lang w:val="en-US" w:eastAsia="zh-CN"/>
        </w:rPr>
        <w:t>3.3</w:t>
      </w:r>
      <w:r>
        <w:rPr>
          <w:rFonts w:hint="default" w:ascii="Times New Roman" w:hAnsi="Times New Roman" w:eastAsia="黑体"/>
          <w:color w:val="auto"/>
          <w:highlight w:val="none"/>
        </w:rPr>
        <w:t>第</w:t>
      </w:r>
      <w:r>
        <w:rPr>
          <w:rFonts w:hint="default" w:ascii="Times New Roman" w:hAnsi="Times New Roman" w:eastAsia="黑体"/>
          <w:color w:val="auto"/>
          <w:highlight w:val="none"/>
          <w:lang w:val="en-US" w:eastAsia="zh-CN"/>
        </w:rPr>
        <w:t>二</w:t>
      </w:r>
      <w:r>
        <w:rPr>
          <w:rFonts w:hint="default" w:ascii="Times New Roman" w:hAnsi="Times New Roman" w:eastAsia="黑体"/>
          <w:color w:val="auto"/>
          <w:highlight w:val="none"/>
        </w:rPr>
        <w:t>个信封初步评审</w:t>
      </w:r>
      <w:bookmarkEnd w:id="277"/>
    </w:p>
    <w:p>
      <w:pPr>
        <w:spacing w:line="400" w:lineRule="exact"/>
        <w:ind w:firstLine="480" w:firstLineChars="200"/>
        <w:rPr>
          <w:rFonts w:hint="default" w:ascii="Times New Roman" w:hAnsi="Times New Roman"/>
          <w:color w:val="auto"/>
          <w:highlight w:val="none"/>
        </w:rPr>
      </w:pPr>
      <w:r>
        <w:rPr>
          <w:rFonts w:ascii="Times New Roman" w:hAnsi="Times New Roman"/>
          <w:color w:val="auto"/>
          <w:highlight w:val="none"/>
        </w:rPr>
        <w:t>3.</w:t>
      </w:r>
      <w:r>
        <w:rPr>
          <w:rFonts w:hint="default" w:ascii="Times New Roman" w:hAnsi="Times New Roman"/>
          <w:color w:val="auto"/>
          <w:highlight w:val="none"/>
          <w:lang w:val="en-US" w:eastAsia="zh-CN"/>
        </w:rPr>
        <w:t>3.1</w:t>
      </w:r>
      <w:r>
        <w:rPr>
          <w:rFonts w:ascii="Times New Roman" w:hAnsi="Times New Roman"/>
          <w:color w:val="auto"/>
          <w:highlight w:val="none"/>
        </w:rPr>
        <w:t xml:space="preserve"> </w:t>
      </w:r>
      <w:r>
        <w:rPr>
          <w:rFonts w:hint="default" w:ascii="Times New Roman" w:hAnsi="Times New Roman"/>
          <w:color w:val="auto"/>
          <w:highlight w:val="none"/>
        </w:rPr>
        <w:t>评标委员会依据本章第2.1.1项、第2.1.3项规定的评审标准对投标文件第二个信封（报价文件）进行初步评审。有一项不符合评审标准的，评标委员会应否决其投标。</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lang w:val="en-US" w:eastAsia="zh-CN"/>
        </w:rPr>
        <w:t xml:space="preserve">3.3.2 </w:t>
      </w:r>
      <w:r>
        <w:rPr>
          <w:rFonts w:ascii="Times New Roman" w:hAnsi="Times New Roman"/>
          <w:color w:val="auto"/>
          <w:highlight w:val="none"/>
        </w:rPr>
        <w:t>投标报价有算术错误及其他错误的，评标委员会按以下原则要求投标人对投标报价进行修正，并要求投标人书面澄清确认。投标人拒不澄清确认的，评标委员会应当否决其投标：</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（1）投标文件中的大写金额与小写金额不一致的，以大写金额为准；</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（2）总价金额与单价金额不一致的，以单价金额为准，但单价金额小数点有明显错误的除外；</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（3）投标报价为各分项报价金额之和，投标报价与分项报价的合价不一致的，应以各分项合价累计数为准，修正投标报价；</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（4）</w:t>
      </w:r>
      <w:r>
        <w:rPr>
          <w:rFonts w:hint="default" w:ascii="Times New Roman" w:hAnsi="Times New Roman"/>
          <w:color w:val="auto"/>
          <w:highlight w:val="none"/>
        </w:rPr>
        <w:t>如果</w:t>
      </w:r>
      <w:r>
        <w:rPr>
          <w:rFonts w:ascii="Times New Roman" w:hAnsi="Times New Roman"/>
          <w:color w:val="auto"/>
          <w:highlight w:val="none"/>
        </w:rPr>
        <w:t>分项报价中存在缺漏项，则视为缺漏项价格已包含在其他分项报价之中。</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rPr>
        <w:t>3.3.</w:t>
      </w:r>
      <w:r>
        <w:rPr>
          <w:rFonts w:hint="default" w:ascii="Times New Roman" w:hAnsi="Times New Roman"/>
          <w:color w:val="auto"/>
          <w:highlight w:val="none"/>
          <w:lang w:val="en-US" w:eastAsia="zh-CN"/>
        </w:rPr>
        <w:t>3</w:t>
      </w:r>
      <w:r>
        <w:rPr>
          <w:rFonts w:hint="default" w:ascii="Times New Roman" w:hAnsi="Times New Roman"/>
          <w:color w:val="auto"/>
          <w:highlight w:val="none"/>
        </w:rPr>
        <w:t xml:space="preserve"> 修正后的最终投标报价若超过最高投标限价（如有），评标委员会应否决其投标。</w:t>
      </w:r>
    </w:p>
    <w:p>
      <w:pPr>
        <w:spacing w:before="240" w:after="240" w:line="240" w:lineRule="atLeast"/>
        <w:ind w:firstLine="136" w:firstLineChars="0"/>
        <w:outlineLvl w:val="2"/>
        <w:rPr>
          <w:rFonts w:hint="default" w:ascii="Times New Roman" w:hAnsi="Times New Roman" w:eastAsia="黑体"/>
          <w:color w:val="auto"/>
          <w:highlight w:val="none"/>
        </w:rPr>
      </w:pPr>
      <w:bookmarkStart w:id="278" w:name="_Toc2370"/>
      <w:bookmarkStart w:id="279" w:name="_Toc491883175"/>
      <w:r>
        <w:rPr>
          <w:rFonts w:hint="default" w:ascii="Times New Roman" w:hAnsi="Times New Roman" w:eastAsia="黑体"/>
          <w:color w:val="auto"/>
          <w:highlight w:val="none"/>
        </w:rPr>
        <w:t>3.</w:t>
      </w:r>
      <w:r>
        <w:rPr>
          <w:rFonts w:hint="default" w:ascii="Times New Roman" w:hAnsi="Times New Roman" w:eastAsia="黑体"/>
          <w:color w:val="auto"/>
          <w:highlight w:val="none"/>
          <w:lang w:val="en-US" w:eastAsia="zh-CN"/>
        </w:rPr>
        <w:t>4</w:t>
      </w:r>
      <w:r>
        <w:rPr>
          <w:rFonts w:hint="default" w:ascii="Times New Roman" w:hAnsi="Times New Roman" w:eastAsia="黑体"/>
          <w:color w:val="auto"/>
          <w:highlight w:val="none"/>
        </w:rPr>
        <w:t xml:space="preserve"> 第二个信封详细评审</w:t>
      </w:r>
      <w:bookmarkEnd w:id="278"/>
      <w:bookmarkEnd w:id="279"/>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default" w:ascii="Times New Roman" w:hAnsi="Times New Roman"/>
          <w:color w:val="auto"/>
          <w:highlight w:val="none"/>
          <w:lang w:val="en-US" w:eastAsia="zh-CN"/>
        </w:rPr>
        <w:t>4</w:t>
      </w:r>
      <w:r>
        <w:rPr>
          <w:rFonts w:ascii="Times New Roman" w:hAnsi="Times New Roman"/>
          <w:color w:val="auto"/>
          <w:highlight w:val="none"/>
        </w:rPr>
        <w:t>.1 评标委员会按本章第2</w:t>
      </w:r>
      <w:bookmarkStart w:id="280" w:name="_Toc5752"/>
      <w:r>
        <w:rPr>
          <w:rFonts w:ascii="Times New Roman" w:hAnsi="Times New Roman"/>
          <w:color w:val="auto"/>
          <w:highlight w:val="none"/>
        </w:rPr>
        <w:t>.2款规定的评标价格调整方法进行必要的价格调整，</w:t>
      </w:r>
      <w:bookmarkEnd w:id="280"/>
      <w:r>
        <w:rPr>
          <w:rFonts w:hint="default" w:ascii="Times New Roman" w:hAnsi="Times New Roman"/>
          <w:color w:val="auto"/>
          <w:highlight w:val="none"/>
        </w:rPr>
        <w:t>计算出经评审的投标价（即评标价），并编制价格比较一览表</w:t>
      </w:r>
      <w:r>
        <w:rPr>
          <w:rFonts w:ascii="Times New Roman" w:hAnsi="Times New Roman"/>
          <w:color w:val="auto"/>
          <w:highlight w:val="none"/>
        </w:rPr>
        <w:t>。</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default" w:ascii="Times New Roman" w:hAnsi="Times New Roman"/>
          <w:color w:val="auto"/>
          <w:highlight w:val="none"/>
          <w:lang w:val="en-US" w:eastAsia="zh-CN"/>
        </w:rPr>
        <w:t>4</w:t>
      </w:r>
      <w:r>
        <w:rPr>
          <w:rFonts w:ascii="Times New Roman" w:hAnsi="Times New Roman"/>
          <w:color w:val="auto"/>
          <w:highlight w:val="none"/>
        </w:rPr>
        <w:t xml:space="preserve">.2 </w:t>
      </w:r>
      <w:r>
        <w:rPr>
          <w:rFonts w:hint="default" w:ascii="Times New Roman" w:hAnsi="Times New Roman" w:cs="Times New Roman"/>
          <w:color w:val="auto"/>
          <w:highlight w:val="none"/>
        </w:rPr>
        <w:t>评标委员会发现投标人的报价明显低于其他投标报价，是有可能影响履约的异常低价，应按本章3.</w:t>
      </w:r>
      <w:r>
        <w:rPr>
          <w:rFonts w:hint="eastAsia" w:ascii="Times New Roman" w:hAnsi="Times New Roman" w:cs="Times New Roman"/>
          <w:color w:val="auto"/>
          <w:highlight w:val="none"/>
          <w:lang w:val="en-US" w:eastAsia="zh-CN"/>
        </w:rPr>
        <w:t>6</w:t>
      </w:r>
      <w:r>
        <w:rPr>
          <w:rFonts w:hint="default" w:ascii="Times New Roman" w:hAnsi="Times New Roman" w:cs="Times New Roman"/>
          <w:color w:val="auto"/>
          <w:highlight w:val="none"/>
        </w:rPr>
        <w:t>款的规定向投标人发出澄清，要求该投标人作出书面说明该报价的合理性并提供相应证明材料。当投标人不能合理说明并证明其报价的合理性的，评标委员会应以少数服从多数的原则否决其投标。</w:t>
      </w:r>
      <w:r>
        <w:rPr>
          <w:rFonts w:ascii="Times New Roman" w:hAnsi="Times New Roman"/>
          <w:color w:val="auto"/>
          <w:highlight w:val="none"/>
        </w:rPr>
        <w:t>。</w:t>
      </w:r>
    </w:p>
    <w:p>
      <w:pPr>
        <w:keepNext/>
        <w:keepLines/>
        <w:widowControl w:val="0"/>
        <w:spacing w:before="240" w:after="240" w:line="240" w:lineRule="atLeast"/>
        <w:ind w:firstLine="0" w:firstLineChars="0"/>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281" w:name="_Toc19251"/>
      <w:bookmarkStart w:id="282" w:name="_Toc5120"/>
      <w:bookmarkStart w:id="283" w:name="_Toc6967"/>
      <w:bookmarkStart w:id="284" w:name="_Toc501257168"/>
      <w:bookmarkStart w:id="285" w:name="_Toc13930"/>
      <w:bookmarkStart w:id="286" w:name="_Toc491883176"/>
      <w:r>
        <w:rPr>
          <w:rFonts w:hint="default" w:ascii="Times New Roman" w:hAnsi="Times New Roman" w:eastAsia="黑体" w:cs="Times New Roman"/>
          <w:b w:val="0"/>
          <w:bCs/>
          <w:color w:val="auto"/>
          <w:kern w:val="44"/>
          <w:sz w:val="24"/>
          <w:szCs w:val="24"/>
          <w:highlight w:val="none"/>
          <w:lang w:val="en-US" w:eastAsia="zh-CN" w:bidi="ar-SA"/>
        </w:rPr>
        <w:t>3.</w:t>
      </w:r>
      <w:r>
        <w:rPr>
          <w:rFonts w:hint="eastAsia" w:ascii="Times New Roman" w:hAnsi="Times New Roman" w:eastAsia="黑体" w:cs="Times New Roman"/>
          <w:b w:val="0"/>
          <w:bCs/>
          <w:color w:val="auto"/>
          <w:kern w:val="44"/>
          <w:sz w:val="24"/>
          <w:szCs w:val="24"/>
          <w:highlight w:val="none"/>
          <w:lang w:val="en-US" w:eastAsia="zh-CN" w:bidi="ar-SA"/>
        </w:rPr>
        <w:t>5</w:t>
      </w:r>
      <w:r>
        <w:rPr>
          <w:rFonts w:hint="default" w:ascii="Times New Roman" w:hAnsi="Times New Roman" w:eastAsia="黑体" w:cs="Times New Roman"/>
          <w:b w:val="0"/>
          <w:bCs/>
          <w:color w:val="auto"/>
          <w:kern w:val="44"/>
          <w:sz w:val="24"/>
          <w:szCs w:val="24"/>
          <w:highlight w:val="none"/>
          <w:lang w:val="en-US" w:eastAsia="zh-CN" w:bidi="ar-SA"/>
        </w:rPr>
        <w:t xml:space="preserve"> 投标文件相关信息的核查</w:t>
      </w:r>
      <w:bookmarkEnd w:id="281"/>
      <w:bookmarkEnd w:id="282"/>
      <w:bookmarkEnd w:id="283"/>
      <w:bookmarkEnd w:id="284"/>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eastAsia" w:ascii="Times New Roman" w:hAnsi="Times New Roman" w:eastAsia="宋体"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.1 评标委员会应对在评标过程中发现的投标人与投标人之间、投标人与招标人之间存在的串通投标的情形进行评审和认定。投标人存在串通投标、弄虚作假、行贿等违法行为的，评标委员会应否决其投标。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（1）有下列情形之一的，属于投标人相互串通投标：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a.投标人之间协商投标报价等投标文件的实质性内容；</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b.投标人之间约定中标人；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c.投标人之间约定部分投标人放弃投标或中标；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d.属于同一集团、协会、商会等组织成员的投标人按照该组织要求协同投标；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e.投标人之间为谋取中标或排斥特定投标人而采取的其他联合行动。</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（2）有下列情形之一的，视为投标人相互串通投标：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a.不同投标人的投标文件由同一单位或个人编制；</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b.不同投标人委托同一单位或个人办理投标事宜；</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c.不同投标人的投标文件载明的项目管理成员为同一人；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d.不同投标人的投标文件异常一致或投标报价呈规律性差异；</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e.不同投标人的投标文件相互混装；</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f.不同投标人的投标保证金从同一单位或个人的账户转出。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（3）有下列情形之一的，属于招标人与投标人串通投标：</w:t>
      </w:r>
    </w:p>
    <w:p>
      <w:pPr>
        <w:spacing w:line="400" w:lineRule="atLeast"/>
        <w:ind w:firstLine="480" w:firstLineChars="200"/>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a.招标人在开标前开启投标文件并将有关信息泄露给其他投标人</w:t>
      </w:r>
      <w:r>
        <w:rPr>
          <w:rFonts w:hint="eastAsia" w:ascii="Times New Roman" w:hAnsi="Times New Roman" w:cs="Times New Roman"/>
          <w:color w:val="auto"/>
          <w:sz w:val="24"/>
          <w:szCs w:val="24"/>
          <w:highlight w:val="none"/>
          <w:lang w:eastAsia="zh-CN"/>
        </w:rPr>
        <w:t>；</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b.招标人直接或间接向投标人泄露标底、评标委员会成员等信息；</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c.招标人明示或暗示投标人压低或抬高投标报价；</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d.招标人授意投标人撤换、修改投标文件；</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e.招标人明示或暗示投标人为特定投标人中标提供方便；</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f.招标人与投标人为谋求特定投标人中标而采取的其他串通行为。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（4）投标人有下列情形之一的，属于弄虚作假的行为：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a.使用通过受让或租借等方式获取的资格、资质证书投标；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b.使用伪造、变造的许可证件；</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c.提供虚假的财务状况或业绩；</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d.提供虚假的项目负责人或主要技术人员简历、劳动关系证明；</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e.提供虚假的信用状况；</w:t>
      </w:r>
    </w:p>
    <w:p>
      <w:pPr>
        <w:spacing w:before="0" w:after="0" w:line="400" w:lineRule="atLeast"/>
        <w:ind w:firstLine="480" w:firstLineChars="200"/>
        <w:outlineLvl w:val="9"/>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 w:val="24"/>
          <w:szCs w:val="24"/>
          <w:highlight w:val="none"/>
        </w:rPr>
        <w:t>f.其他弄虚作假的行为。</w:t>
      </w:r>
    </w:p>
    <w:p>
      <w:pPr>
        <w:spacing w:before="240" w:after="240" w:line="240" w:lineRule="atLeast"/>
        <w:ind w:firstLine="136" w:firstLineChars="0"/>
        <w:outlineLvl w:val="2"/>
        <w:rPr>
          <w:rFonts w:hint="default" w:ascii="Times New Roman" w:hAnsi="Times New Roman" w:eastAsia="黑体"/>
          <w:color w:val="auto"/>
          <w:highlight w:val="none"/>
        </w:rPr>
      </w:pPr>
      <w:r>
        <w:rPr>
          <w:rFonts w:hint="default" w:ascii="Times New Roman" w:hAnsi="Times New Roman" w:eastAsia="黑体"/>
          <w:color w:val="auto"/>
          <w:highlight w:val="none"/>
        </w:rPr>
        <w:t>3.</w:t>
      </w:r>
      <w:r>
        <w:rPr>
          <w:rFonts w:hint="eastAsia" w:ascii="Times New Roman" w:hAnsi="Times New Roman" w:eastAsia="黑体"/>
          <w:color w:val="auto"/>
          <w:highlight w:val="none"/>
          <w:lang w:val="en-US" w:eastAsia="zh-CN"/>
        </w:rPr>
        <w:t>6</w:t>
      </w:r>
      <w:r>
        <w:rPr>
          <w:rFonts w:hint="default" w:ascii="Times New Roman" w:hAnsi="Times New Roman" w:eastAsia="黑体"/>
          <w:color w:val="auto"/>
          <w:highlight w:val="none"/>
        </w:rPr>
        <w:t xml:space="preserve"> 投标文件的澄清</w:t>
      </w:r>
      <w:bookmarkEnd w:id="285"/>
      <w:bookmarkEnd w:id="286"/>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lang w:val="en-US" w:eastAsia="zh-CN"/>
        </w:rPr>
        <w:t>6</w:t>
      </w:r>
      <w:r>
        <w:rPr>
          <w:rFonts w:ascii="Times New Roman" w:hAnsi="Times New Roman"/>
          <w:color w:val="auto"/>
          <w:highlight w:val="none"/>
        </w:rPr>
        <w:t>.1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lang w:val="en-US" w:eastAsia="zh-CN"/>
        </w:rPr>
        <w:t>6</w:t>
      </w:r>
      <w:r>
        <w:rPr>
          <w:rFonts w:ascii="Times New Roman" w:hAnsi="Times New Roman"/>
          <w:color w:val="auto"/>
          <w:highlight w:val="none"/>
        </w:rPr>
        <w:t>.2 澄清、说明或补正不得超出投标文件的范围且不得改变投标文件的实质性内容，并构成投标文件的组成部分。</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lang w:val="en-US" w:eastAsia="zh-CN"/>
        </w:rPr>
        <w:t>6</w:t>
      </w:r>
      <w:r>
        <w:rPr>
          <w:rFonts w:ascii="Times New Roman" w:hAnsi="Times New Roman"/>
          <w:color w:val="auto"/>
          <w:highlight w:val="none"/>
        </w:rPr>
        <w:t>.3 评标委员会对投标人提交的澄清、说明或补正有疑问的，可以要求投标人进一步澄清、说明或补正，直至满足评标委员会的要求。</w:t>
      </w:r>
    </w:p>
    <w:p>
      <w:pPr>
        <w:keepNext w:val="0"/>
        <w:keepLines w:val="0"/>
        <w:spacing w:before="240" w:after="240" w:line="240" w:lineRule="atLeast"/>
        <w:ind w:firstLine="136" w:firstLineChars="0"/>
        <w:outlineLvl w:val="9"/>
        <w:rPr>
          <w:rFonts w:hint="default" w:ascii="Times New Roman" w:hAnsi="Times New Roman" w:eastAsia="黑体"/>
          <w:color w:val="auto"/>
          <w:highlight w:val="none"/>
        </w:rPr>
      </w:pPr>
      <w:bookmarkStart w:id="287" w:name="_Toc491883177"/>
      <w:r>
        <w:rPr>
          <w:rFonts w:hint="default" w:ascii="Times New Roman" w:hAnsi="Times New Roman" w:eastAsia="黑体"/>
          <w:color w:val="auto"/>
          <w:highlight w:val="none"/>
        </w:rPr>
        <w:t>3.</w:t>
      </w:r>
      <w:r>
        <w:rPr>
          <w:rFonts w:hint="eastAsia" w:ascii="Times New Roman" w:hAnsi="Times New Roman" w:eastAsia="黑体"/>
          <w:color w:val="auto"/>
          <w:highlight w:val="none"/>
          <w:lang w:val="en-US" w:eastAsia="zh-CN"/>
        </w:rPr>
        <w:t>7</w:t>
      </w:r>
      <w:r>
        <w:rPr>
          <w:rFonts w:hint="default" w:ascii="Times New Roman" w:hAnsi="Times New Roman" w:eastAsia="黑体"/>
          <w:color w:val="auto"/>
          <w:highlight w:val="none"/>
        </w:rPr>
        <w:t xml:space="preserve"> 评标结果</w:t>
      </w:r>
      <w:bookmarkEnd w:id="287"/>
    </w:p>
    <w:p>
      <w:pPr>
        <w:spacing w:before="0" w:after="0"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lang w:val="en-US" w:eastAsia="zh-CN"/>
        </w:rPr>
        <w:t>7</w:t>
      </w:r>
      <w:r>
        <w:rPr>
          <w:rFonts w:ascii="Times New Roman" w:hAnsi="Times New Roman"/>
          <w:color w:val="auto"/>
          <w:highlight w:val="none"/>
        </w:rPr>
        <w:t>.1 除第二章</w:t>
      </w:r>
      <w:r>
        <w:rPr>
          <w:rFonts w:hint="eastAsia" w:ascii="宋体" w:hAnsi="宋体" w:eastAsia="宋体" w:cs="宋体"/>
          <w:color w:val="auto"/>
          <w:highlight w:val="none"/>
        </w:rPr>
        <w:t>“</w:t>
      </w:r>
      <w:r>
        <w:rPr>
          <w:rFonts w:ascii="Times New Roman" w:hAnsi="Times New Roman"/>
          <w:color w:val="auto"/>
          <w:highlight w:val="none"/>
        </w:rPr>
        <w:t>投标人须知</w:t>
      </w:r>
      <w:r>
        <w:rPr>
          <w:rFonts w:hint="eastAsia" w:ascii="宋体" w:hAnsi="宋体" w:eastAsia="宋体" w:cs="宋体"/>
          <w:color w:val="auto"/>
          <w:highlight w:val="none"/>
        </w:rPr>
        <w:t>”</w:t>
      </w:r>
      <w:r>
        <w:rPr>
          <w:rFonts w:ascii="Times New Roman" w:hAnsi="Times New Roman"/>
          <w:color w:val="auto"/>
          <w:highlight w:val="none"/>
        </w:rPr>
        <w:t>前附表授权直接确定中标人外，评标委员会按照经评审的价格由低到高的顺序推荐中标候选人，并标明排序。</w:t>
      </w:r>
    </w:p>
    <w:p>
      <w:pPr>
        <w:spacing w:before="0" w:after="0" w:line="400" w:lineRule="exact"/>
        <w:ind w:firstLine="480" w:firstLineChars="200"/>
        <w:outlineLvl w:val="9"/>
        <w:rPr>
          <w:rFonts w:hint="default" w:ascii="Times New Roman" w:hAnsi="Times New Roman" w:eastAsia="宋体" w:cs="Times New Roman"/>
          <w:color w:val="auto"/>
          <w:szCs w:val="24"/>
          <w:highlight w:val="none"/>
        </w:rPr>
      </w:pPr>
      <w:r>
        <w:rPr>
          <w:rFonts w:ascii="Times New Roman" w:hAnsi="Times New Roman"/>
          <w:b w:val="0"/>
          <w:color w:val="auto"/>
          <w:kern w:val="2"/>
          <w:sz w:val="24"/>
          <w:szCs w:val="22"/>
          <w:highlight w:val="none"/>
        </w:rPr>
        <w:t>3.</w:t>
      </w:r>
      <w:r>
        <w:rPr>
          <w:rFonts w:hint="eastAsia" w:ascii="Times New Roman" w:hAnsi="Times New Roman"/>
          <w:b w:val="0"/>
          <w:color w:val="auto"/>
          <w:kern w:val="2"/>
          <w:sz w:val="24"/>
          <w:szCs w:val="22"/>
          <w:highlight w:val="none"/>
          <w:lang w:val="en-US" w:eastAsia="zh-CN"/>
        </w:rPr>
        <w:t>7</w:t>
      </w:r>
      <w:r>
        <w:rPr>
          <w:rFonts w:ascii="Times New Roman" w:hAnsi="Times New Roman"/>
          <w:b w:val="0"/>
          <w:color w:val="auto"/>
          <w:kern w:val="2"/>
          <w:sz w:val="24"/>
          <w:szCs w:val="22"/>
          <w:highlight w:val="none"/>
        </w:rPr>
        <w:t>.2 评标委员会完成评标后，应当向招标人提交评标报告。</w:t>
      </w:r>
      <w:bookmarkEnd w:id="255"/>
      <w:bookmarkEnd w:id="256"/>
    </w:p>
    <w:p>
      <w:pPr>
        <w:pageBreakBefore w:val="0"/>
        <w:kinsoku/>
        <w:wordWrap/>
        <w:bidi w:val="0"/>
        <w:spacing w:line="240" w:lineRule="auto"/>
        <w:ind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pStyle w:val="2"/>
        <w:wordWrap w:val="0"/>
        <w:spacing w:after="286" w:afterLines="100" w:line="240" w:lineRule="auto"/>
        <w:ind w:firstLine="0" w:firstLineChars="0"/>
        <w:jc w:val="center"/>
        <w:rPr>
          <w:rFonts w:hint="default" w:ascii="Times New Roman" w:hAnsi="Times New Roman" w:eastAsia="黑体" w:cs="Times New Roman"/>
          <w:b w:val="0"/>
          <w:bCs/>
          <w:color w:val="auto"/>
          <w:sz w:val="40"/>
          <w:szCs w:val="18"/>
          <w:highlight w:val="none"/>
        </w:rPr>
      </w:pPr>
      <w:bookmarkStart w:id="288" w:name="_Toc491883156"/>
      <w:bookmarkStart w:id="289" w:name="_Toc16309"/>
      <w:r>
        <w:rPr>
          <w:rFonts w:hint="default" w:ascii="Times New Roman" w:hAnsi="Times New Roman" w:eastAsia="黑体" w:cs="Times New Roman"/>
          <w:b w:val="0"/>
          <w:bCs/>
          <w:color w:val="auto"/>
          <w:sz w:val="40"/>
          <w:szCs w:val="18"/>
          <w:highlight w:val="none"/>
        </w:rPr>
        <w:t>第三章</w:t>
      </w:r>
      <w:r>
        <w:rPr>
          <w:rFonts w:hint="default" w:ascii="Times New Roman" w:hAnsi="Times New Roman" w:eastAsia="黑体" w:cs="Times New Roman"/>
          <w:b w:val="0"/>
          <w:bCs/>
          <w:color w:val="auto"/>
          <w:sz w:val="40"/>
          <w:szCs w:val="18"/>
          <w:highlight w:val="none"/>
          <w:lang w:val="en-US" w:eastAsia="zh-CN"/>
        </w:rPr>
        <w:t xml:space="preserve">  </w:t>
      </w:r>
      <w:r>
        <w:rPr>
          <w:rFonts w:hint="default" w:ascii="Times New Roman" w:hAnsi="Times New Roman" w:eastAsia="黑体" w:cs="Times New Roman"/>
          <w:b w:val="0"/>
          <w:bCs/>
          <w:color w:val="auto"/>
          <w:sz w:val="40"/>
          <w:szCs w:val="18"/>
          <w:highlight w:val="none"/>
        </w:rPr>
        <w:t>评标办法（</w:t>
      </w:r>
      <w:r>
        <w:rPr>
          <w:rFonts w:hint="eastAsia" w:eastAsia="黑体" w:cs="Times New Roman"/>
          <w:b w:val="0"/>
          <w:bCs/>
          <w:color w:val="auto"/>
          <w:sz w:val="40"/>
          <w:szCs w:val="18"/>
          <w:highlight w:val="none"/>
          <w:lang w:eastAsia="zh-CN"/>
        </w:rPr>
        <w:t>综合评分法</w:t>
      </w:r>
      <w:r>
        <w:rPr>
          <w:rFonts w:hint="default" w:ascii="Times New Roman" w:hAnsi="Times New Roman" w:eastAsia="黑体" w:cs="Times New Roman"/>
          <w:b w:val="0"/>
          <w:bCs/>
          <w:color w:val="auto"/>
          <w:sz w:val="40"/>
          <w:szCs w:val="18"/>
          <w:highlight w:val="none"/>
        </w:rPr>
        <w:t>）</w:t>
      </w:r>
      <w:bookmarkEnd w:id="288"/>
      <w:bookmarkEnd w:id="289"/>
    </w:p>
    <w:p>
      <w:pPr>
        <w:pStyle w:val="3"/>
        <w:rPr>
          <w:rFonts w:ascii="Times New Roman" w:hAnsi="Times New Roman" w:cs="Times New Roman"/>
          <w:color w:val="auto"/>
          <w:highlight w:val="none"/>
        </w:rPr>
      </w:pPr>
      <w:bookmarkStart w:id="290" w:name="_Toc29118"/>
      <w:bookmarkStart w:id="291" w:name="_Toc491883158"/>
      <w:r>
        <w:rPr>
          <w:rFonts w:ascii="Times New Roman" w:hAnsi="Times New Roman" w:cs="Times New Roman"/>
          <w:color w:val="auto"/>
          <w:highlight w:val="none"/>
        </w:rPr>
        <w:t>评标办法前附表</w:t>
      </w:r>
      <w:bookmarkEnd w:id="290"/>
      <w:r>
        <w:rPr>
          <w:rStyle w:val="37"/>
          <w:rFonts w:hint="default" w:ascii="Times New Roman" w:hAnsi="Times New Roman" w:cs="Times New Roman"/>
          <w:color w:val="auto"/>
          <w:sz w:val="24"/>
          <w:szCs w:val="24"/>
          <w:highlight w:val="none"/>
        </w:rPr>
        <w:footnoteReference w:id="19"/>
      </w:r>
    </w:p>
    <w:tbl>
      <w:tblPr>
        <w:tblStyle w:val="30"/>
        <w:tblW w:w="918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8"/>
        <w:gridCol w:w="1196"/>
        <w:gridCol w:w="7156"/>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blHeader/>
        </w:trPr>
        <w:tc>
          <w:tcPr>
            <w:tcW w:w="2024" w:type="dxa"/>
            <w:gridSpan w:val="2"/>
            <w:tcBorders>
              <w:top w:val="single" w:color="auto" w:sz="4" w:space="0"/>
              <w:bottom w:val="single" w:color="auto" w:sz="4" w:space="0"/>
              <w:right w:val="single" w:color="auto" w:sz="4" w:space="0"/>
            </w:tcBorders>
            <w:vAlign w:val="center"/>
          </w:tcPr>
          <w:p>
            <w:pPr>
              <w:spacing w:line="440" w:lineRule="exact"/>
              <w:ind w:left="0" w:leftChars="0" w:firstLine="0" w:firstLineChars="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条款号</w:t>
            </w:r>
          </w:p>
        </w:tc>
        <w:tc>
          <w:tcPr>
            <w:tcW w:w="7156" w:type="dxa"/>
            <w:tcBorders>
              <w:top w:val="single" w:color="auto" w:sz="4" w:space="0"/>
              <w:left w:val="single" w:color="auto" w:sz="4" w:space="0"/>
              <w:bottom w:val="single" w:color="auto" w:sz="4" w:space="0"/>
              <w:right w:val="single" w:color="auto" w:sz="4" w:space="0"/>
            </w:tcBorders>
            <w:vAlign w:val="center"/>
          </w:tcPr>
          <w:p>
            <w:pPr>
              <w:ind w:left="0" w:leftChars="0" w:firstLine="0" w:firstLineChars="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评审因素</w:t>
            </w:r>
            <w:r>
              <w:rPr>
                <w:rFonts w:hint="default" w:ascii="Times New Roman" w:hAnsi="Times New Roman" w:cs="Times New Roman"/>
                <w:b/>
                <w:color w:val="auto"/>
                <w:sz w:val="21"/>
                <w:szCs w:val="21"/>
                <w:highlight w:val="none"/>
                <w:lang w:val="en-US" w:eastAsia="zh-CN"/>
              </w:rPr>
              <w:t>与</w:t>
            </w:r>
            <w:r>
              <w:rPr>
                <w:rFonts w:ascii="Times New Roman" w:hAnsi="Times New Roman" w:cs="Times New Roman"/>
                <w:b/>
                <w:color w:val="auto"/>
                <w:sz w:val="21"/>
                <w:szCs w:val="21"/>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828"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1</w:t>
            </w:r>
          </w:p>
        </w:tc>
        <w:tc>
          <w:tcPr>
            <w:tcW w:w="1196"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评标方法</w:t>
            </w:r>
          </w:p>
        </w:tc>
        <w:tc>
          <w:tcPr>
            <w:tcW w:w="715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综合评分相等时，评标委员会依次按照以下优先顺序推荐中标候选人或确定中标人：</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（1）评标价低的投标人优先；</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（2）商务和技术得分较高的投标人优先；</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828"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2.1.1</w:t>
            </w:r>
          </w:p>
          <w:p>
            <w:pPr>
              <w:spacing w:line="440" w:lineRule="exact"/>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2.1.3</w:t>
            </w:r>
          </w:p>
        </w:tc>
        <w:tc>
          <w:tcPr>
            <w:tcW w:w="1196"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eastAsia="宋体" w:cs="Times New Roman"/>
                <w:color w:val="auto"/>
                <w:sz w:val="21"/>
                <w:szCs w:val="21"/>
                <w:highlight w:val="none"/>
              </w:rPr>
              <w:t>形式评审与响应性评审标准</w:t>
            </w:r>
          </w:p>
        </w:tc>
        <w:tc>
          <w:tcPr>
            <w:tcW w:w="715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360" w:lineRule="atLeast"/>
              <w:ind w:firstLine="250" w:firstLineChars="119"/>
              <w:rPr>
                <w:rFonts w:hint="default" w:ascii="Times New Roman" w:hAnsi="Times New Roman" w:cs="Times New Roman"/>
                <w:b/>
                <w:color w:val="auto"/>
                <w:sz w:val="21"/>
                <w:szCs w:val="21"/>
                <w:highlight w:val="none"/>
              </w:rPr>
            </w:pPr>
            <w:r>
              <w:rPr>
                <w:rFonts w:hint="default" w:ascii="Times New Roman" w:hAnsi="Times New Roman" w:cs="Times New Roman"/>
                <w:b/>
                <w:color w:val="auto"/>
                <w:sz w:val="21"/>
                <w:szCs w:val="21"/>
                <w:highlight w:val="none"/>
              </w:rPr>
              <w:t>第一个信封（商务及技术文件）评审标准：</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（1）投标文件按照招标文件规定的格式、内容填写，字迹清晰可辨：</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a.投标函按招标文件规定填报了项目名称、标段号、补遗书编号（如有）；</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b.投标文件组成齐全完整，内容均按规定填写。</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）投标人按照招标文件的规定提供了投标保证金：</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a.投标保证金金额符合招标文件规定的金额，且投标保证金有效期不少于投标有效期；</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b.若投标保证金采用现金或支票形式提交，投标人应在递交投标文件截止时间之前，将投标保证金由投标人的基本账户转入招标人指定账户；</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c.若投标保证金采用银行保函形式提交，银行保函的格式、开具保函的银行均满足招标文件要求。</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d.若投标保证金采用电子保函形式提交，投标人应在投标文件中提供电子保函的原件扫描件、电子化保函验真渠道和从投标人基本账户支出的保函财务费用支付凭证。</w:t>
            </w:r>
          </w:p>
          <w:p>
            <w:pPr>
              <w:pageBreakBefore w:val="0"/>
              <w:kinsoku/>
              <w:wordWrap w:val="0"/>
              <w:bidi w:val="0"/>
              <w:spacing w:line="360" w:lineRule="atLeast"/>
              <w:ind w:firstLine="249" w:firstLineChars="119"/>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lang w:eastAsia="zh-CN"/>
              </w:rPr>
              <w:t>）投标人法定代表人授权委托代理人签署投标文件的，须提交授权委托书，且授权人和被授权人均在授权委托书上使用CA 数字证书加盖个人电子印章或电子签名。</w:t>
            </w:r>
          </w:p>
          <w:p>
            <w:pPr>
              <w:pageBreakBefore w:val="0"/>
              <w:kinsoku/>
              <w:wordWrap w:val="0"/>
              <w:bidi w:val="0"/>
              <w:spacing w:line="360" w:lineRule="atLeast"/>
              <w:ind w:firstLine="249" w:firstLineChars="119"/>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lang w:eastAsia="zh-CN"/>
              </w:rPr>
              <w:t>）投标人法定代表人亲自签署投标文件的，提供了法定代表人身份证明，且法定代表人在法定代表人身份证明上使用CA 数字证书加盖个人电子印章或电子签名。</w:t>
            </w:r>
          </w:p>
          <w:p>
            <w:pPr>
              <w:pageBreakBefore w:val="0"/>
              <w:kinsoku/>
              <w:wordWrap w:val="0"/>
              <w:bidi w:val="0"/>
              <w:spacing w:line="360" w:lineRule="atLeast"/>
              <w:ind w:firstLine="249" w:firstLineChars="119"/>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）投标人以联合体形式投标时，联合体满足招标文件的要求：投标人按照招标文件提供的格式签订了联合体协议书，明确各方承担连带责任，并明确了联合体牵头人</w:t>
            </w:r>
            <w:r>
              <w:rPr>
                <w:rFonts w:hint="default" w:ascii="Times New Roman" w:hAnsi="Times New Roman" w:cs="Times New Roman"/>
                <w:color w:val="auto"/>
                <w:sz w:val="21"/>
                <w:szCs w:val="21"/>
                <w:highlight w:val="none"/>
                <w:lang w:eastAsia="zh-CN"/>
              </w:rPr>
              <w:t>。</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）投标人如有分包计划，符合招标文件第二章</w:t>
            </w:r>
            <w:r>
              <w:rPr>
                <w:rFonts w:hint="eastAsia" w:ascii="宋体" w:hAnsi="宋体" w:eastAsia="宋体" w:cs="宋体"/>
                <w:color w:val="auto"/>
                <w:sz w:val="21"/>
                <w:szCs w:val="21"/>
                <w:highlight w:val="none"/>
              </w:rPr>
              <w:t>“</w:t>
            </w:r>
            <w:r>
              <w:rPr>
                <w:rFonts w:hint="default" w:ascii="Times New Roman" w:hAnsi="Times New Roman" w:cs="Times New Roman"/>
                <w:color w:val="auto"/>
                <w:sz w:val="21"/>
                <w:szCs w:val="21"/>
                <w:highlight w:val="none"/>
              </w:rPr>
              <w:t>投标人须知</w:t>
            </w:r>
            <w:r>
              <w:rPr>
                <w:rFonts w:hint="eastAsia" w:ascii="宋体" w:hAnsi="宋体" w:eastAsia="宋体" w:cs="宋体"/>
                <w:color w:val="auto"/>
                <w:sz w:val="21"/>
                <w:szCs w:val="21"/>
                <w:highlight w:val="none"/>
              </w:rPr>
              <w:t>”</w:t>
            </w:r>
            <w:r>
              <w:rPr>
                <w:rFonts w:hint="default" w:ascii="Times New Roman" w:hAnsi="Times New Roman" w:cs="Times New Roman"/>
                <w:color w:val="auto"/>
                <w:sz w:val="21"/>
                <w:szCs w:val="21"/>
                <w:highlight w:val="none"/>
              </w:rPr>
              <w:t>第1.1</w:t>
            </w:r>
            <w:r>
              <w:rPr>
                <w:rFonts w:hint="default"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款规定。</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）同一投标人未提交两个以上不同的投标文件，但招标文件要求提交备选投标的除外。</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）投标文件中未出现有关投标报价的内容。</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0</w:t>
            </w:r>
            <w:r>
              <w:rPr>
                <w:rFonts w:hint="default" w:ascii="Times New Roman" w:hAnsi="Times New Roman" w:cs="Times New Roman"/>
                <w:color w:val="auto"/>
                <w:sz w:val="21"/>
                <w:szCs w:val="21"/>
                <w:highlight w:val="none"/>
              </w:rPr>
              <w:t>）投标文件载明的招标项目完成期限未超过招标文件规定的时限。</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）投标文件对招标文件的实质性要求和条件作出响应</w:t>
            </w:r>
            <w:r>
              <w:rPr>
                <w:rFonts w:hint="default" w:ascii="Times New Roman" w:hAnsi="Times New Roman" w:cs="Times New Roman"/>
                <w:color w:val="auto"/>
                <w:sz w:val="21"/>
                <w:szCs w:val="21"/>
                <w:highlight w:val="none"/>
                <w:lang w:eastAsia="zh-CN"/>
              </w:rPr>
              <w:t>，或者对招标文件的偏差</w:t>
            </w:r>
            <w:r>
              <w:rPr>
                <w:rFonts w:hint="default" w:ascii="Times New Roman" w:hAnsi="Times New Roman" w:cs="Times New Roman"/>
                <w:color w:val="auto"/>
                <w:sz w:val="21"/>
                <w:szCs w:val="21"/>
                <w:highlight w:val="none"/>
                <w:lang w:val="en-US" w:eastAsia="zh-CN"/>
              </w:rPr>
              <w:t>未</w:t>
            </w:r>
            <w:r>
              <w:rPr>
                <w:rFonts w:hint="default" w:ascii="Times New Roman" w:hAnsi="Times New Roman" w:cs="Times New Roman"/>
                <w:color w:val="auto"/>
                <w:sz w:val="21"/>
                <w:szCs w:val="21"/>
                <w:highlight w:val="none"/>
                <w:lang w:eastAsia="zh-CN"/>
              </w:rPr>
              <w:t>超出招标文件规定的偏差范围或最高项数</w:t>
            </w:r>
            <w:r>
              <w:rPr>
                <w:rFonts w:hint="default" w:ascii="Times New Roman" w:hAnsi="Times New Roman" w:cs="Times New Roman"/>
                <w:color w:val="auto"/>
                <w:sz w:val="21"/>
                <w:szCs w:val="21"/>
                <w:highlight w:val="none"/>
              </w:rPr>
              <w:t>。</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12</w:t>
            </w:r>
            <w:r>
              <w:rPr>
                <w:rFonts w:hint="default" w:ascii="Times New Roman" w:hAnsi="Times New Roman" w:cs="Times New Roman"/>
                <w:color w:val="auto"/>
                <w:sz w:val="21"/>
                <w:szCs w:val="21"/>
                <w:highlight w:val="none"/>
                <w:lang w:eastAsia="zh-CN"/>
              </w:rPr>
              <w:t>）权利义务：符合招标文件第二章</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投标人须知</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第1.11.1项规定和第四章</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合同条款及格式</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中的实质性要求和条件。</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13</w:t>
            </w:r>
            <w:r>
              <w:rPr>
                <w:rFonts w:hint="default" w:ascii="Times New Roman" w:hAnsi="Times New Roman" w:cs="Times New Roman"/>
                <w:color w:val="auto"/>
                <w:sz w:val="21"/>
                <w:szCs w:val="21"/>
                <w:highlight w:val="none"/>
                <w:lang w:eastAsia="zh-CN"/>
              </w:rPr>
              <w:t>）投标设备及技术服务和质保期服务</w:t>
            </w:r>
            <w:r>
              <w:rPr>
                <w:rFonts w:hint="default" w:ascii="Times New Roman" w:hAnsi="Times New Roman" w:cs="Times New Roman"/>
                <w:color w:val="auto"/>
                <w:sz w:val="21"/>
                <w:szCs w:val="21"/>
                <w:highlight w:val="none"/>
                <w:lang w:val="en-US" w:eastAsia="zh-CN"/>
              </w:rPr>
              <w:t>/投标材料及相关服务：符合第五章</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供货要求</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中的实质性要求和条件。</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（14）技术支持资料：符合第二章</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投标人须知</w:t>
            </w:r>
            <w:r>
              <w:rPr>
                <w:rFonts w:hint="eastAsia" w:ascii="宋体" w:hAnsi="宋体" w:eastAsia="宋体" w:cs="宋体"/>
                <w:color w:val="auto"/>
                <w:sz w:val="21"/>
                <w:szCs w:val="21"/>
                <w:highlight w:val="none"/>
                <w:lang w:val="en-US" w:eastAsia="zh-CN"/>
              </w:rPr>
              <w:t>”</w:t>
            </w:r>
            <w:r>
              <w:rPr>
                <w:rFonts w:hint="default" w:ascii="Times New Roman" w:hAnsi="Times New Roman" w:cs="Times New Roman"/>
                <w:color w:val="auto"/>
                <w:sz w:val="21"/>
                <w:szCs w:val="21"/>
                <w:highlight w:val="none"/>
                <w:lang w:val="en-US" w:eastAsia="zh-CN"/>
              </w:rPr>
              <w:t>第1.11.3项规定</w:t>
            </w:r>
            <w:r>
              <w:rPr>
                <w:rFonts w:hint="default" w:ascii="Times New Roman" w:hAnsi="Times New Roman" w:cs="Times New Roman"/>
                <w:color w:val="auto"/>
                <w:sz w:val="21"/>
                <w:szCs w:val="21"/>
                <w:highlight w:val="none"/>
                <w:lang w:eastAsia="zh-CN"/>
              </w:rPr>
              <w:t>。</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15</w:t>
            </w:r>
            <w:r>
              <w:rPr>
                <w:rFonts w:hint="default" w:ascii="Times New Roman" w:hAnsi="Times New Roman" w:cs="Times New Roman"/>
                <w:color w:val="auto"/>
                <w:sz w:val="21"/>
                <w:szCs w:val="21"/>
                <w:highlight w:val="none"/>
                <w:lang w:eastAsia="zh-CN"/>
              </w:rPr>
              <w:t>）</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技术服务和质保期服务计划</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相关服务计划</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采用暗标形式，其编制须满足招标文件要求。</w:t>
            </w:r>
          </w:p>
          <w:p>
            <w:pPr>
              <w:pageBreakBefore w:val="0"/>
              <w:kinsoku/>
              <w:wordWrap w:val="0"/>
              <w:bidi w:val="0"/>
              <w:spacing w:line="360" w:lineRule="atLeast"/>
              <w:ind w:firstLine="249" w:firstLineChars="119"/>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（1</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lang w:eastAsia="zh-CN"/>
              </w:rPr>
              <w:t>）投标人上传投标文件的标段数量满足第一章</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招标公告</w:t>
            </w:r>
            <w:r>
              <w:rPr>
                <w:rFonts w:hint="eastAsia" w:ascii="宋体" w:hAnsi="宋体" w:eastAsia="宋体" w:cs="宋体"/>
                <w:color w:val="auto"/>
                <w:sz w:val="21"/>
                <w:szCs w:val="21"/>
                <w:highlight w:val="none"/>
                <w:lang w:eastAsia="zh-CN"/>
              </w:rPr>
              <w:t>”</w:t>
            </w:r>
            <w:r>
              <w:rPr>
                <w:rFonts w:hint="default" w:ascii="Times New Roman" w:hAnsi="Times New Roman" w:cs="Times New Roman"/>
                <w:color w:val="auto"/>
                <w:sz w:val="21"/>
                <w:szCs w:val="21"/>
                <w:highlight w:val="none"/>
                <w:lang w:eastAsia="zh-CN"/>
              </w:rPr>
              <w:t>第3.3款规定，投标函上填写的标段号与上传的对应项目标段号一致。</w:t>
            </w:r>
          </w:p>
          <w:p>
            <w:pPr>
              <w:keepNext w:val="0"/>
              <w:keepLines w:val="0"/>
              <w:pageBreakBefore w:val="0"/>
              <w:widowControl w:val="0"/>
              <w:kinsoku/>
              <w:wordWrap/>
              <w:overflowPunct/>
              <w:topLinePunct w:val="0"/>
              <w:autoSpaceDE/>
              <w:autoSpaceDN/>
              <w:bidi w:val="0"/>
              <w:adjustRightInd/>
              <w:snapToGrid/>
              <w:spacing w:line="440" w:lineRule="exact"/>
              <w:ind w:firstLine="249" w:firstLineChars="119"/>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r>
              <w:rPr>
                <w:rFonts w:hint="eastAsia"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）未发现投标人与其他投标人存在使用同一不可篡改的唯一标识软硬件设备投标的（如：MAC地址、标书制作特征码、标书唯一特征码等）。</w:t>
            </w:r>
          </w:p>
          <w:p>
            <w:pPr>
              <w:keepNext w:val="0"/>
              <w:keepLines w:val="0"/>
              <w:pageBreakBefore w:val="0"/>
              <w:widowControl w:val="0"/>
              <w:kinsoku/>
              <w:wordWrap/>
              <w:overflowPunct/>
              <w:topLinePunct w:val="0"/>
              <w:autoSpaceDE/>
              <w:autoSpaceDN/>
              <w:bidi w:val="0"/>
              <w:adjustRightInd/>
              <w:snapToGrid/>
              <w:spacing w:line="440" w:lineRule="exact"/>
              <w:ind w:firstLine="249" w:firstLineChars="119"/>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40" w:lineRule="exact"/>
              <w:ind w:firstLine="249" w:firstLineChars="119"/>
              <w:jc w:val="left"/>
              <w:textAlignment w:val="auto"/>
              <w:rPr>
                <w:rFonts w:hint="default" w:ascii="Times New Roman" w:hAnsi="Times New Roman" w:cs="Times New Roman"/>
                <w:color w:val="auto"/>
                <w:sz w:val="21"/>
                <w:szCs w:val="21"/>
                <w:highlight w:val="none"/>
              </w:rPr>
            </w:pPr>
          </w:p>
          <w:p>
            <w:pPr>
              <w:pageBreakBefore w:val="0"/>
              <w:kinsoku/>
              <w:wordWrap w:val="0"/>
              <w:bidi w:val="0"/>
              <w:spacing w:line="360" w:lineRule="atLeast"/>
              <w:ind w:firstLine="385" w:firstLineChars="183"/>
              <w:rPr>
                <w:rFonts w:hint="default" w:ascii="Times New Roman" w:hAnsi="Times New Roman" w:cs="Times New Roman"/>
                <w:color w:val="auto"/>
                <w:sz w:val="21"/>
                <w:szCs w:val="21"/>
                <w:highlight w:val="none"/>
              </w:rPr>
            </w:pPr>
            <w:r>
              <w:rPr>
                <w:rFonts w:hint="default" w:ascii="Times New Roman" w:hAnsi="Times New Roman" w:cs="Times New Roman"/>
                <w:b/>
                <w:color w:val="auto"/>
                <w:sz w:val="21"/>
                <w:szCs w:val="21"/>
                <w:highlight w:val="none"/>
              </w:rPr>
              <w:t>第二个信封（报价文件）评审标准：</w:t>
            </w:r>
          </w:p>
          <w:p>
            <w:pPr>
              <w:pageBreakBefore w:val="0"/>
              <w:kinsoku/>
              <w:wordWrap w:val="0"/>
              <w:bidi w:val="0"/>
              <w:spacing w:line="360" w:lineRule="atLeast"/>
              <w:ind w:firstLine="384" w:firstLineChars="183"/>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（1）投标文件按照招标文件规定的格式、内容填写，字迹清晰可辨：</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a.</w:t>
            </w:r>
            <w:r>
              <w:rPr>
                <w:rFonts w:hint="default" w:ascii="Times New Roman" w:hAnsi="Times New Roman" w:cs="Times New Roman"/>
                <w:color w:val="auto"/>
                <w:sz w:val="21"/>
                <w:szCs w:val="21"/>
                <w:highlight w:val="none"/>
              </w:rPr>
              <w:t>投标函按招标文件规定填报了项目名称、标段号、补遗书编号（如有）、投标价（包括大写金额和小写金额）；</w:t>
            </w:r>
          </w:p>
          <w:p>
            <w:pPr>
              <w:pageBreakBefore w:val="0"/>
              <w:kinsoku/>
              <w:wordWrap w:val="0"/>
              <w:bidi w:val="0"/>
              <w:spacing w:line="360" w:lineRule="atLeast"/>
              <w:ind w:firstLine="384" w:firstLineChars="183"/>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b</w:t>
            </w:r>
            <w:r>
              <w:rPr>
                <w:rFonts w:hint="default" w:ascii="Times New Roman" w:hAnsi="Times New Roman" w:cs="Times New Roman"/>
                <w:color w:val="auto"/>
                <w:sz w:val="21"/>
                <w:szCs w:val="21"/>
                <w:highlight w:val="none"/>
              </w:rPr>
              <w:t>.投标文件组成齐全完整，内容均按规定填写。</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（2）投标文件上法定代表人或其委托代理人的签字、投标人的单位章盖章齐全，符合招标文件规定。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（3）投标报价中的报价未超过招标文件设定的最高投标限价（如有）。</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（4）投标报价中报价的大写金额能够确定具体数值。</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（5）同一投标人未提交两个以上不同的投标报价，但招标文件要求提交备选投标的除外。</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分项报价表</w:t>
            </w:r>
            <w:r>
              <w:rPr>
                <w:rFonts w:hint="default" w:ascii="Times New Roman" w:hAnsi="Times New Roman" w:cs="Times New Roman"/>
                <w:color w:val="auto"/>
                <w:sz w:val="21"/>
                <w:szCs w:val="21"/>
                <w:highlight w:val="none"/>
              </w:rPr>
              <w:t>中的投标报价和投标函大写金额报价一致。</w:t>
            </w:r>
          </w:p>
          <w:p>
            <w:pPr>
              <w:spacing w:line="440" w:lineRule="exact"/>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）未发现投标人与其他投标人存在使用同一不可篡改的唯一标识软硬件设备投标的（如：MAC地址、标书制作特征码、标书唯一特征码等）。</w:t>
            </w:r>
          </w:p>
          <w:p>
            <w:pPr>
              <w:keepNext w:val="0"/>
              <w:keepLines w:val="0"/>
              <w:pageBreakBefore w:val="0"/>
              <w:widowControl w:val="0"/>
              <w:kinsoku/>
              <w:wordWrap/>
              <w:overflowPunct/>
              <w:topLinePunct w:val="0"/>
              <w:autoSpaceDE/>
              <w:autoSpaceDN/>
              <w:bidi w:val="0"/>
              <w:adjustRightInd/>
              <w:snapToGrid/>
              <w:spacing w:line="440" w:lineRule="exact"/>
              <w:ind w:firstLine="249" w:firstLineChars="119"/>
              <w:jc w:val="left"/>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828"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2.1.2</w:t>
            </w:r>
          </w:p>
        </w:tc>
        <w:tc>
          <w:tcPr>
            <w:tcW w:w="1196"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sz w:val="21"/>
                <w:szCs w:val="21"/>
                <w:highlight w:val="none"/>
              </w:rPr>
              <w:t>资格评审标准</w:t>
            </w:r>
          </w:p>
        </w:tc>
        <w:tc>
          <w:tcPr>
            <w:tcW w:w="7156" w:type="dxa"/>
            <w:tcBorders>
              <w:top w:val="single" w:color="auto" w:sz="4" w:space="0"/>
              <w:left w:val="single" w:color="auto" w:sz="4" w:space="0"/>
              <w:bottom w:val="single" w:color="auto" w:sz="4" w:space="0"/>
              <w:right w:val="single" w:color="auto" w:sz="4" w:space="0"/>
            </w:tcBorders>
            <w:vAlign w:val="center"/>
          </w:tcPr>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1</w:t>
            </w:r>
            <w:r>
              <w:rPr>
                <w:rFonts w:hint="default" w:ascii="Times New Roman" w:hAnsi="Times New Roman" w:cs="Times New Roman"/>
                <w:color w:val="auto"/>
                <w:sz w:val="21"/>
                <w:szCs w:val="21"/>
                <w:highlight w:val="none"/>
              </w:rPr>
              <w:t>）投标人的资质等级符合招标文件规定。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2</w:t>
            </w:r>
            <w:r>
              <w:rPr>
                <w:rFonts w:hint="default" w:ascii="Times New Roman" w:hAnsi="Times New Roman" w:cs="Times New Roman"/>
                <w:color w:val="auto"/>
                <w:sz w:val="21"/>
                <w:szCs w:val="21"/>
                <w:highlight w:val="none"/>
              </w:rPr>
              <w:t>）投标人的财务状况符合招标文件规定。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3</w:t>
            </w:r>
            <w:r>
              <w:rPr>
                <w:rFonts w:hint="default" w:ascii="Times New Roman" w:hAnsi="Times New Roman" w:cs="Times New Roman"/>
                <w:color w:val="auto"/>
                <w:sz w:val="21"/>
                <w:szCs w:val="21"/>
                <w:highlight w:val="none"/>
              </w:rPr>
              <w:t>）投标人的类似项目业绩符合招标文件规定。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4</w:t>
            </w:r>
            <w:r>
              <w:rPr>
                <w:rFonts w:hint="default" w:ascii="Times New Roman" w:hAnsi="Times New Roman" w:cs="Times New Roman"/>
                <w:color w:val="auto"/>
                <w:sz w:val="21"/>
                <w:szCs w:val="21"/>
                <w:highlight w:val="none"/>
              </w:rPr>
              <w:t>）投标人的信誉符合招标文件规定。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5</w:t>
            </w:r>
            <w:r>
              <w:rPr>
                <w:rFonts w:hint="default" w:ascii="Times New Roman" w:hAnsi="Times New Roman" w:cs="Times New Roman"/>
                <w:color w:val="auto"/>
                <w:sz w:val="21"/>
                <w:szCs w:val="21"/>
                <w:highlight w:val="none"/>
              </w:rPr>
              <w:t>）投标人的其他要求符合招标文件规定。</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lang w:eastAsia="zh-CN"/>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6</w:t>
            </w:r>
            <w:r>
              <w:rPr>
                <w:rFonts w:hint="default" w:ascii="Times New Roman" w:hAnsi="Times New Roman" w:cs="Times New Roman"/>
                <w:color w:val="auto"/>
                <w:sz w:val="21"/>
                <w:szCs w:val="21"/>
                <w:highlight w:val="none"/>
              </w:rPr>
              <w:t>）投标设备</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rPr>
              <w:t>材料制造商的资质要求（如有）</w:t>
            </w:r>
            <w:r>
              <w:rPr>
                <w:rFonts w:hint="default" w:ascii="Times New Roman" w:hAnsi="Times New Roman" w:cs="Times New Roman"/>
                <w:color w:val="auto"/>
                <w:sz w:val="21"/>
                <w:szCs w:val="21"/>
                <w:highlight w:val="none"/>
                <w:lang w:eastAsia="zh-CN"/>
              </w:rPr>
              <w:t>。</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7</w:t>
            </w: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eastAsia="zh-CN"/>
              </w:rPr>
              <w:t>投标设备</w:t>
            </w:r>
            <w:r>
              <w:rPr>
                <w:rFonts w:hint="eastAsia" w:ascii="Times New Roman" w:hAnsi="Times New Roman" w:cs="Times New Roman"/>
                <w:color w:val="auto"/>
                <w:sz w:val="21"/>
                <w:szCs w:val="21"/>
                <w:highlight w:val="none"/>
                <w:lang w:val="en-US" w:eastAsia="zh-CN"/>
              </w:rPr>
              <w:t>/</w:t>
            </w:r>
            <w:r>
              <w:rPr>
                <w:rFonts w:hint="default" w:ascii="Times New Roman" w:hAnsi="Times New Roman" w:cs="Times New Roman"/>
                <w:color w:val="auto"/>
                <w:sz w:val="21"/>
                <w:szCs w:val="21"/>
                <w:highlight w:val="none"/>
                <w:lang w:eastAsia="zh-CN"/>
              </w:rPr>
              <w:t>材料的业绩要求（如有）。</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8</w:t>
            </w:r>
            <w:r>
              <w:rPr>
                <w:rFonts w:hint="default" w:ascii="Times New Roman" w:hAnsi="Times New Roman" w:cs="Times New Roman"/>
                <w:color w:val="auto"/>
                <w:sz w:val="21"/>
                <w:szCs w:val="21"/>
                <w:highlight w:val="none"/>
              </w:rPr>
              <w:t>）投标人不存在第二章</w:t>
            </w:r>
            <w:r>
              <w:rPr>
                <w:rFonts w:hint="eastAsia" w:ascii="宋体" w:hAnsi="宋体" w:eastAsia="宋体" w:cs="宋体"/>
                <w:color w:val="auto"/>
                <w:sz w:val="21"/>
                <w:szCs w:val="21"/>
                <w:highlight w:val="none"/>
              </w:rPr>
              <w:t>“</w:t>
            </w:r>
            <w:r>
              <w:rPr>
                <w:rFonts w:hint="default" w:ascii="Times New Roman" w:hAnsi="Times New Roman" w:cs="Times New Roman"/>
                <w:color w:val="auto"/>
                <w:sz w:val="21"/>
                <w:szCs w:val="21"/>
                <w:highlight w:val="none"/>
              </w:rPr>
              <w:t>投标人须知</w:t>
            </w:r>
            <w:r>
              <w:rPr>
                <w:rFonts w:hint="eastAsia" w:ascii="宋体" w:hAnsi="宋体" w:eastAsia="宋体" w:cs="宋体"/>
                <w:color w:val="auto"/>
                <w:sz w:val="21"/>
                <w:szCs w:val="21"/>
                <w:highlight w:val="none"/>
              </w:rPr>
              <w:t>”</w:t>
            </w:r>
            <w:r>
              <w:rPr>
                <w:rFonts w:hint="default" w:ascii="Times New Roman" w:hAnsi="Times New Roman" w:cs="Times New Roman"/>
                <w:color w:val="auto"/>
                <w:sz w:val="21"/>
                <w:szCs w:val="21"/>
                <w:highlight w:val="none"/>
              </w:rPr>
              <w:t>第1.4.3项规定的任何一种情形。</w:t>
            </w:r>
          </w:p>
          <w:p>
            <w:pPr>
              <w:pageBreakBefore w:val="0"/>
              <w:kinsoku/>
              <w:wordWrap w:val="0"/>
              <w:bidi w:val="0"/>
              <w:spacing w:line="360" w:lineRule="atLeast"/>
              <w:ind w:firstLine="420" w:firstLineChars="20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lang w:val="en-US" w:eastAsia="zh-CN"/>
              </w:rPr>
              <w:t>9</w:t>
            </w:r>
            <w:r>
              <w:rPr>
                <w:rFonts w:hint="default" w:ascii="Times New Roman" w:hAnsi="Times New Roman" w:cs="Times New Roman"/>
                <w:color w:val="auto"/>
                <w:sz w:val="21"/>
                <w:szCs w:val="21"/>
                <w:highlight w:val="none"/>
              </w:rPr>
              <w:t>）以联合体形式参与投标的，联合体各方均未再以自己名义单独或参加其他联合体在同一标段中投标；独立参与投标的，投标人未同时参加联合体在同一标段中投标。</w:t>
            </w:r>
          </w:p>
          <w:p>
            <w:pPr>
              <w:spacing w:line="440" w:lineRule="exact"/>
              <w:ind w:firstLine="420" w:firstLineChars="200"/>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p>
        </w:tc>
      </w:tr>
    </w:tbl>
    <w:p>
      <w:pPr>
        <w:rPr>
          <w:rFonts w:ascii="Times New Roman" w:hAnsi="Times New Roman" w:cs="Times New Roman"/>
          <w:color w:val="auto"/>
          <w:highlight w:val="none"/>
        </w:rPr>
      </w:pPr>
    </w:p>
    <w:tbl>
      <w:tblPr>
        <w:tblStyle w:val="30"/>
        <w:tblW w:w="918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24"/>
        <w:gridCol w:w="2476"/>
        <w:gridCol w:w="468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tcBorders>
              <w:top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条款号</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条款内容</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tcBorders>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2.2.1</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分值构成</w:t>
            </w:r>
          </w:p>
          <w:p>
            <w:pPr>
              <w:spacing w:line="440" w:lineRule="exact"/>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总分100分</w:t>
            </w:r>
            <w:r>
              <w:rPr>
                <w:rFonts w:hint="default" w:ascii="Times New Roman" w:hAnsi="Times New Roman" w:cs="Times New Roman"/>
                <w:color w:val="auto"/>
                <w:sz w:val="21"/>
                <w:szCs w:val="21"/>
                <w:highlight w:val="none"/>
                <w:lang w:eastAsia="zh-CN"/>
              </w:rPr>
              <w:t>）</w:t>
            </w:r>
          </w:p>
        </w:tc>
        <w:tc>
          <w:tcPr>
            <w:tcW w:w="4680" w:type="dxa"/>
            <w:tcBorders>
              <w:top w:val="single" w:color="auto" w:sz="4" w:space="0"/>
              <w:left w:val="single" w:color="auto" w:sz="4" w:space="0"/>
              <w:bottom w:val="single" w:color="auto" w:sz="4" w:space="0"/>
              <w:right w:val="single" w:color="auto" w:sz="4" w:space="0"/>
            </w:tcBorders>
            <w:vAlign w:val="center"/>
          </w:tcPr>
          <w:p>
            <w:pPr>
              <w:spacing w:line="240" w:lineRule="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第一个信封（商务及技术文件）评分分值构成：</w:t>
            </w:r>
          </w:p>
          <w:p>
            <w:pPr>
              <w:spacing w:line="240" w:lineRule="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商务部分：</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分</w:t>
            </w:r>
          </w:p>
          <w:p>
            <w:pPr>
              <w:spacing w:line="240" w:lineRule="auto"/>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技术部分：</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分</w:t>
            </w:r>
          </w:p>
          <w:p>
            <w:pPr>
              <w:spacing w:line="240" w:lineRule="auto"/>
              <w:ind w:firstLine="0"/>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其他评分因素：</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分（如有）</w:t>
            </w:r>
          </w:p>
          <w:p>
            <w:pPr>
              <w:spacing w:line="240" w:lineRule="auto"/>
              <w:ind w:firstLine="0" w:firstLineChars="0"/>
              <w:rPr>
                <w:rFonts w:hint="default"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p>
            <w:pPr>
              <w:spacing w:line="240" w:lineRule="auto"/>
              <w:ind w:firstLine="0"/>
              <w:rPr>
                <w:rFonts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第二个信封（报价文件）评分分值构成：</w:t>
            </w:r>
          </w:p>
          <w:p>
            <w:pPr>
              <w:spacing w:line="240" w:lineRule="auto"/>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评标价</w:t>
            </w:r>
            <w:r>
              <w:rPr>
                <w:rStyle w:val="37"/>
                <w:rFonts w:hint="default" w:ascii="Times New Roman" w:hAnsi="Times New Roman" w:cs="Times New Roman"/>
                <w:color w:val="auto"/>
                <w:sz w:val="21"/>
                <w:szCs w:val="21"/>
                <w:highlight w:val="none"/>
                <w:lang w:val="en-US" w:eastAsia="zh-CN"/>
              </w:rPr>
              <w:footnoteReference w:id="20"/>
            </w:r>
            <w:r>
              <w:rPr>
                <w:rFonts w:ascii="Times New Roman" w:hAnsi="Times New Roman" w:cs="Times New Roman"/>
                <w:color w:val="auto"/>
                <w:sz w:val="21"/>
                <w:szCs w:val="21"/>
                <w:highlight w:val="none"/>
              </w:rPr>
              <w:t>：</w:t>
            </w:r>
            <w:r>
              <w:rPr>
                <w:rFonts w:ascii="Times New Roman" w:hAnsi="Times New Roman" w:cs="Times New Roman"/>
                <w:color w:val="auto"/>
                <w:sz w:val="21"/>
                <w:szCs w:val="21"/>
                <w:highlight w:val="none"/>
                <w:u w:val="single"/>
              </w:rPr>
              <w:t xml:space="preserve">       </w:t>
            </w:r>
            <w:r>
              <w:rPr>
                <w:rFonts w:ascii="Times New Roman" w:hAnsi="Times New Roman" w:cs="Times New Roman"/>
                <w:color w:val="auto"/>
                <w:sz w:val="21"/>
                <w:szCs w:val="21"/>
                <w:highlight w:val="none"/>
              </w:rPr>
              <w:t>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24" w:type="dxa"/>
            <w:tcBorders>
              <w:top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2.2.2</w:t>
            </w:r>
          </w:p>
        </w:tc>
        <w:tc>
          <w:tcPr>
            <w:tcW w:w="2476"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评标基准价计算方法</w:t>
            </w:r>
          </w:p>
        </w:tc>
        <w:tc>
          <w:tcPr>
            <w:tcW w:w="4680"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2" w:hRule="atLeast"/>
        </w:trPr>
        <w:tc>
          <w:tcPr>
            <w:tcW w:w="2024" w:type="dxa"/>
            <w:tcBorders>
              <w:top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2.2.3</w:t>
            </w:r>
          </w:p>
        </w:tc>
        <w:tc>
          <w:tcPr>
            <w:tcW w:w="2476" w:type="dxa"/>
            <w:tcBorders>
              <w:top w:val="single" w:color="auto" w:sz="4" w:space="0"/>
              <w:left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投标报价的偏差率</w:t>
            </w:r>
          </w:p>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计算公式</w:t>
            </w:r>
          </w:p>
        </w:tc>
        <w:tc>
          <w:tcPr>
            <w:tcW w:w="4680" w:type="dxa"/>
            <w:tcBorders>
              <w:top w:val="single" w:color="auto" w:sz="4" w:space="0"/>
              <w:left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bl>
    <w:p>
      <w:pPr>
        <w:rPr>
          <w:rFonts w:ascii="Times New Roman" w:hAnsi="Times New Roman" w:cs="Times New Roman"/>
          <w:color w:val="auto"/>
          <w:highlight w:val="none"/>
        </w:rPr>
      </w:pPr>
    </w:p>
    <w:tbl>
      <w:tblPr>
        <w:tblStyle w:val="30"/>
        <w:tblW w:w="9181"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
        <w:gridCol w:w="1124"/>
        <w:gridCol w:w="1194"/>
        <w:gridCol w:w="3582"/>
        <w:gridCol w:w="937"/>
        <w:gridCol w:w="144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00" w:type="dxa"/>
            <w:tcBorders>
              <w:top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条款号</w:t>
            </w:r>
          </w:p>
        </w:tc>
        <w:tc>
          <w:tcPr>
            <w:tcW w:w="1124" w:type="dxa"/>
            <w:tcBorders>
              <w:top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评分因素</w:t>
            </w:r>
          </w:p>
        </w:tc>
        <w:tc>
          <w:tcPr>
            <w:tcW w:w="119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hint="default" w:ascii="Times New Roman" w:hAnsi="Times New Roman" w:eastAsia="宋体" w:cs="Times New Roman"/>
                <w:b/>
                <w:color w:val="auto"/>
                <w:sz w:val="21"/>
                <w:szCs w:val="21"/>
                <w:highlight w:val="none"/>
                <w:lang w:val="en-US" w:eastAsia="zh-CN"/>
              </w:rPr>
            </w:pPr>
            <w:r>
              <w:rPr>
                <w:rFonts w:ascii="Times New Roman" w:hAnsi="Times New Roman" w:cs="Times New Roman"/>
                <w:b/>
                <w:color w:val="auto"/>
                <w:sz w:val="21"/>
                <w:szCs w:val="21"/>
                <w:highlight w:val="none"/>
              </w:rPr>
              <w:t>评分因素</w:t>
            </w:r>
            <w:r>
              <w:rPr>
                <w:rFonts w:hint="default" w:ascii="Times New Roman" w:hAnsi="Times New Roman" w:cs="Times New Roman"/>
                <w:b/>
                <w:color w:val="auto"/>
                <w:sz w:val="21"/>
                <w:szCs w:val="21"/>
                <w:highlight w:val="none"/>
                <w:lang w:val="en-US" w:eastAsia="zh-CN"/>
              </w:rPr>
              <w:t>权重分值</w:t>
            </w:r>
          </w:p>
        </w:tc>
        <w:tc>
          <w:tcPr>
            <w:tcW w:w="3582"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评分因素</w:t>
            </w:r>
            <w:r>
              <w:rPr>
                <w:rFonts w:hint="default" w:ascii="Times New Roman" w:hAnsi="Times New Roman" w:cs="Times New Roman"/>
                <w:b/>
                <w:color w:val="auto"/>
                <w:sz w:val="21"/>
                <w:szCs w:val="21"/>
                <w:highlight w:val="none"/>
                <w:lang w:val="en-US" w:eastAsia="zh-CN"/>
              </w:rPr>
              <w:t>细分项</w:t>
            </w:r>
            <w:r>
              <w:rPr>
                <w:rFonts w:hint="default" w:ascii="Times New Roman" w:hAnsi="Times New Roman" w:cs="Times New Roman"/>
                <w:b/>
                <w:color w:val="auto"/>
                <w:sz w:val="21"/>
                <w:szCs w:val="21"/>
                <w:highlight w:val="none"/>
              </w:rPr>
              <w:t>（偏差率）</w:t>
            </w:r>
          </w:p>
        </w:tc>
        <w:tc>
          <w:tcPr>
            <w:tcW w:w="9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cs="Times New Roman"/>
                <w:b/>
                <w:color w:val="auto"/>
                <w:sz w:val="21"/>
                <w:szCs w:val="21"/>
                <w:highlight w:val="none"/>
                <w:lang w:val="en-US" w:eastAsia="zh-CN"/>
              </w:rPr>
              <w:t>分值</w:t>
            </w:r>
          </w:p>
        </w:tc>
        <w:tc>
          <w:tcPr>
            <w:tcW w:w="144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trPr>
        <w:tc>
          <w:tcPr>
            <w:tcW w:w="900" w:type="dxa"/>
            <w:vMerge w:val="restart"/>
            <w:tcBorders>
              <w:top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2.2.4（1）</w:t>
            </w:r>
          </w:p>
        </w:tc>
        <w:tc>
          <w:tcPr>
            <w:tcW w:w="1124" w:type="dxa"/>
            <w:vMerge w:val="restart"/>
            <w:tcBorders>
              <w:top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商务评分标准</w:t>
            </w:r>
          </w:p>
        </w:tc>
        <w:tc>
          <w:tcPr>
            <w:tcW w:w="1194" w:type="dxa"/>
            <w:vMerge w:val="restart"/>
            <w:tcBorders>
              <w:top w:val="single" w:color="auto" w:sz="4" w:space="0"/>
              <w:left w:val="single" w:color="auto" w:sz="4" w:space="0"/>
              <w:right w:val="single" w:color="auto" w:sz="4" w:space="0"/>
            </w:tcBorders>
            <w:vAlign w:val="center"/>
          </w:tcPr>
          <w:p>
            <w:pPr>
              <w:widowControl/>
              <w:ind w:firstLine="0" w:firstLineChars="0"/>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3582" w:type="dxa"/>
            <w:tcBorders>
              <w:top w:val="single" w:color="auto" w:sz="4" w:space="0"/>
              <w:left w:val="single" w:color="auto" w:sz="4" w:space="0"/>
              <w:bottom w:val="single" w:color="auto" w:sz="4" w:space="0"/>
              <w:right w:val="single" w:color="auto" w:sz="4" w:space="0"/>
            </w:tcBorders>
            <w:vAlign w:val="center"/>
          </w:tcPr>
          <w:p>
            <w:pPr>
              <w:widowControl/>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对投标人履约能力的评价</w:t>
            </w:r>
          </w:p>
        </w:tc>
        <w:tc>
          <w:tcPr>
            <w:tcW w:w="9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144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7" w:hRule="atLeast"/>
        </w:trPr>
        <w:tc>
          <w:tcPr>
            <w:tcW w:w="900" w:type="dxa"/>
            <w:vMerge w:val="continue"/>
            <w:tcBorders>
              <w:top w:val="single" w:color="auto" w:sz="4" w:space="0"/>
              <w:right w:val="single" w:color="auto" w:sz="4" w:space="0"/>
            </w:tcBorders>
          </w:tcPr>
          <w:p>
            <w:pPr>
              <w:jc w:val="center"/>
              <w:rPr>
                <w:rFonts w:ascii="Times New Roman" w:hAnsi="Times New Roman" w:cs="Times New Roman"/>
                <w:color w:val="auto"/>
                <w:sz w:val="21"/>
                <w:szCs w:val="21"/>
                <w:highlight w:val="none"/>
              </w:rPr>
            </w:pPr>
          </w:p>
        </w:tc>
        <w:tc>
          <w:tcPr>
            <w:tcW w:w="1124" w:type="dxa"/>
            <w:vMerge w:val="continue"/>
            <w:tcBorders>
              <w:top w:val="single" w:color="auto" w:sz="4" w:space="0"/>
              <w:right w:val="single" w:color="auto" w:sz="4" w:space="0"/>
            </w:tcBorders>
          </w:tcPr>
          <w:p>
            <w:pPr>
              <w:jc w:val="center"/>
              <w:rPr>
                <w:rFonts w:ascii="Times New Roman" w:hAnsi="Times New Roman" w:cs="Times New Roman"/>
                <w:color w:val="auto"/>
                <w:sz w:val="21"/>
                <w:szCs w:val="21"/>
                <w:highlight w:val="none"/>
              </w:rPr>
            </w:pPr>
          </w:p>
        </w:tc>
        <w:tc>
          <w:tcPr>
            <w:tcW w:w="1194" w:type="dxa"/>
            <w:vMerge w:val="continue"/>
            <w:tcBorders>
              <w:left w:val="single" w:color="auto" w:sz="4" w:space="0"/>
              <w:right w:val="single" w:color="auto" w:sz="4" w:space="0"/>
            </w:tcBorders>
            <w:vAlign w:val="center"/>
          </w:tcPr>
          <w:p>
            <w:pPr>
              <w:widowControl/>
              <w:jc w:val="center"/>
              <w:rPr>
                <w:rFonts w:ascii="Times New Roman" w:hAnsi="Times New Roman" w:cs="Times New Roman"/>
                <w:color w:val="auto"/>
                <w:sz w:val="21"/>
                <w:szCs w:val="21"/>
                <w:highlight w:val="none"/>
              </w:rPr>
            </w:pPr>
          </w:p>
        </w:tc>
        <w:tc>
          <w:tcPr>
            <w:tcW w:w="3582" w:type="dxa"/>
            <w:tcBorders>
              <w:top w:val="single" w:color="auto" w:sz="4" w:space="0"/>
              <w:left w:val="single" w:color="auto" w:sz="4" w:space="0"/>
              <w:bottom w:val="single" w:color="auto" w:sz="4" w:space="0"/>
              <w:right w:val="single" w:color="auto" w:sz="4" w:space="0"/>
            </w:tcBorders>
            <w:vAlign w:val="center"/>
          </w:tcPr>
          <w:p>
            <w:pPr>
              <w:widowControl/>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对招标文件商务条款的响应程度</w:t>
            </w:r>
          </w:p>
        </w:tc>
        <w:tc>
          <w:tcPr>
            <w:tcW w:w="9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144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15" w:hRule="atLeast"/>
        </w:trPr>
        <w:tc>
          <w:tcPr>
            <w:tcW w:w="900" w:type="dxa"/>
            <w:vMerge w:val="continue"/>
            <w:tcBorders>
              <w:right w:val="single" w:color="auto" w:sz="4" w:space="0"/>
            </w:tcBorders>
          </w:tcPr>
          <w:p>
            <w:pPr>
              <w:rPr>
                <w:rFonts w:ascii="Times New Roman" w:hAnsi="Times New Roman" w:cs="Times New Roman"/>
                <w:color w:val="auto"/>
                <w:sz w:val="21"/>
                <w:szCs w:val="21"/>
                <w:highlight w:val="none"/>
              </w:rPr>
            </w:pPr>
          </w:p>
        </w:tc>
        <w:tc>
          <w:tcPr>
            <w:tcW w:w="1124" w:type="dxa"/>
            <w:vMerge w:val="continue"/>
            <w:tcBorders>
              <w:right w:val="single" w:color="auto" w:sz="4" w:space="0"/>
            </w:tcBorders>
          </w:tcPr>
          <w:p>
            <w:pPr>
              <w:rPr>
                <w:rFonts w:ascii="Times New Roman" w:hAnsi="Times New Roman" w:cs="Times New Roman"/>
                <w:color w:val="auto"/>
                <w:sz w:val="21"/>
                <w:szCs w:val="21"/>
                <w:highlight w:val="none"/>
              </w:rPr>
            </w:pPr>
          </w:p>
        </w:tc>
        <w:tc>
          <w:tcPr>
            <w:tcW w:w="1194" w:type="dxa"/>
            <w:vMerge w:val="continue"/>
            <w:tcBorders>
              <w:left w:val="single" w:color="auto" w:sz="4" w:space="0"/>
              <w:right w:val="single" w:color="auto" w:sz="4" w:space="0"/>
            </w:tcBorders>
            <w:vAlign w:val="center"/>
          </w:tcPr>
          <w:p>
            <w:pPr>
              <w:widowControl/>
              <w:jc w:val="center"/>
              <w:rPr>
                <w:rFonts w:ascii="Times New Roman" w:hAnsi="Times New Roman" w:cs="Times New Roman"/>
                <w:color w:val="auto"/>
                <w:sz w:val="21"/>
                <w:szCs w:val="21"/>
                <w:highlight w:val="none"/>
              </w:rPr>
            </w:pPr>
          </w:p>
        </w:tc>
        <w:tc>
          <w:tcPr>
            <w:tcW w:w="3582" w:type="dxa"/>
            <w:tcBorders>
              <w:top w:val="single" w:color="auto" w:sz="4" w:space="0"/>
              <w:left w:val="single" w:color="auto" w:sz="4" w:space="0"/>
              <w:right w:val="single" w:color="auto" w:sz="4" w:space="0"/>
            </w:tcBorders>
            <w:vAlign w:val="center"/>
          </w:tcPr>
          <w:p>
            <w:pPr>
              <w:widowControl/>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投标设备</w:t>
            </w:r>
            <w:r>
              <w:rPr>
                <w:rFonts w:hint="default" w:ascii="Times New Roman" w:hAnsi="Times New Roman" w:cs="Times New Roman"/>
                <w:color w:val="auto"/>
                <w:sz w:val="21"/>
                <w:szCs w:val="21"/>
                <w:highlight w:val="none"/>
                <w:lang w:val="en-US" w:eastAsia="zh-CN"/>
              </w:rPr>
              <w:t>/材料</w:t>
            </w:r>
            <w:r>
              <w:rPr>
                <w:rFonts w:ascii="Times New Roman" w:hAnsi="Times New Roman" w:cs="Times New Roman"/>
                <w:color w:val="auto"/>
                <w:sz w:val="21"/>
                <w:szCs w:val="21"/>
                <w:highlight w:val="none"/>
              </w:rPr>
              <w:t>的业绩</w:t>
            </w:r>
          </w:p>
        </w:tc>
        <w:tc>
          <w:tcPr>
            <w:tcW w:w="937" w:type="dxa"/>
            <w:tcBorders>
              <w:top w:val="single" w:color="auto" w:sz="4" w:space="0"/>
              <w:left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1444" w:type="dxa"/>
            <w:tcBorders>
              <w:top w:val="single" w:color="auto" w:sz="4" w:space="0"/>
              <w:left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900" w:type="dxa"/>
            <w:vMerge w:val="continue"/>
            <w:tcBorders>
              <w:bottom w:val="single" w:color="auto" w:sz="4" w:space="0"/>
              <w:right w:val="single" w:color="auto" w:sz="4" w:space="0"/>
            </w:tcBorders>
          </w:tcPr>
          <w:p>
            <w:pPr>
              <w:rPr>
                <w:rFonts w:ascii="Times New Roman" w:hAnsi="Times New Roman" w:cs="Times New Roman"/>
                <w:color w:val="auto"/>
                <w:sz w:val="21"/>
                <w:szCs w:val="21"/>
                <w:highlight w:val="none"/>
              </w:rPr>
            </w:pPr>
          </w:p>
        </w:tc>
        <w:tc>
          <w:tcPr>
            <w:tcW w:w="1124" w:type="dxa"/>
            <w:vMerge w:val="continue"/>
            <w:tcBorders>
              <w:bottom w:val="single" w:color="auto" w:sz="4" w:space="0"/>
              <w:right w:val="single" w:color="auto" w:sz="4" w:space="0"/>
            </w:tcBorders>
          </w:tcPr>
          <w:p>
            <w:pPr>
              <w:rPr>
                <w:rFonts w:ascii="Times New Roman" w:hAnsi="Times New Roman" w:cs="Times New Roman"/>
                <w:color w:val="auto"/>
                <w:sz w:val="21"/>
                <w:szCs w:val="21"/>
                <w:highlight w:val="none"/>
              </w:rPr>
            </w:pPr>
          </w:p>
        </w:tc>
        <w:tc>
          <w:tcPr>
            <w:tcW w:w="1194" w:type="dxa"/>
            <w:vMerge w:val="continue"/>
            <w:tcBorders>
              <w:left w:val="single" w:color="auto" w:sz="4" w:space="0"/>
              <w:bottom w:val="single" w:color="auto" w:sz="4" w:space="0"/>
              <w:right w:val="single" w:color="auto" w:sz="4" w:space="0"/>
            </w:tcBorders>
          </w:tcPr>
          <w:p>
            <w:pPr>
              <w:spacing w:line="440" w:lineRule="exact"/>
              <w:jc w:val="center"/>
              <w:rPr>
                <w:rFonts w:ascii="Times New Roman" w:hAnsi="Times New Roman" w:cs="Times New Roman"/>
                <w:color w:val="auto"/>
                <w:sz w:val="21"/>
                <w:szCs w:val="21"/>
                <w:highlight w:val="none"/>
              </w:rPr>
            </w:pPr>
          </w:p>
        </w:tc>
        <w:tc>
          <w:tcPr>
            <w:tcW w:w="3582" w:type="dxa"/>
            <w:tcBorders>
              <w:top w:val="single" w:color="auto" w:sz="4" w:space="0"/>
              <w:left w:val="single" w:color="auto" w:sz="4" w:space="0"/>
              <w:bottom w:val="single" w:color="auto" w:sz="4" w:space="0"/>
              <w:right w:val="single" w:color="auto" w:sz="4" w:space="0"/>
            </w:tcBorders>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c>
          <w:tcPr>
            <w:tcW w:w="9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144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trPr>
        <w:tc>
          <w:tcPr>
            <w:tcW w:w="900" w:type="dxa"/>
            <w:vMerge w:val="restart"/>
            <w:tcBorders>
              <w:right w:val="single" w:color="auto" w:sz="4" w:space="0"/>
            </w:tcBorders>
            <w:vAlign w:val="center"/>
          </w:tcPr>
          <w:p>
            <w:pPr>
              <w:spacing w:line="440" w:lineRule="exact"/>
              <w:jc w:val="center"/>
              <w:rPr>
                <w:rFonts w:ascii="Times New Roman" w:hAnsi="Times New Roman" w:cs="Times New Roman"/>
                <w:color w:val="auto"/>
                <w:sz w:val="21"/>
                <w:szCs w:val="21"/>
                <w:highlight w:val="none"/>
              </w:rPr>
            </w:pPr>
          </w:p>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2.2.4（2）</w:t>
            </w:r>
          </w:p>
        </w:tc>
        <w:tc>
          <w:tcPr>
            <w:tcW w:w="1124" w:type="dxa"/>
            <w:vMerge w:val="restart"/>
            <w:tcBorders>
              <w:right w:val="single" w:color="auto" w:sz="4" w:space="0"/>
            </w:tcBorders>
            <w:vAlign w:val="center"/>
          </w:tcPr>
          <w:p>
            <w:pPr>
              <w:spacing w:line="440" w:lineRule="exact"/>
              <w:jc w:val="center"/>
              <w:rPr>
                <w:rFonts w:ascii="Times New Roman" w:hAnsi="Times New Roman" w:cs="Times New Roman"/>
                <w:color w:val="auto"/>
                <w:sz w:val="21"/>
                <w:szCs w:val="21"/>
                <w:highlight w:val="none"/>
              </w:rPr>
            </w:pPr>
          </w:p>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技术评分标准</w:t>
            </w:r>
          </w:p>
        </w:tc>
        <w:tc>
          <w:tcPr>
            <w:tcW w:w="1194" w:type="dxa"/>
            <w:vMerge w:val="restart"/>
            <w:tcBorders>
              <w:top w:val="single" w:color="auto" w:sz="4" w:space="0"/>
              <w:left w:val="single" w:color="auto" w:sz="4" w:space="0"/>
              <w:right w:val="single" w:color="auto" w:sz="4" w:space="0"/>
            </w:tcBorders>
            <w:vAlign w:val="center"/>
          </w:tcPr>
          <w:p>
            <w:pPr>
              <w:spacing w:line="440" w:lineRule="exact"/>
              <w:jc w:val="center"/>
              <w:rPr>
                <w:rFonts w:hint="default" w:ascii="Times New Roman" w:hAnsi="Times New Roman" w:cs="Times New Roman"/>
                <w:color w:val="auto"/>
                <w:sz w:val="21"/>
                <w:szCs w:val="21"/>
                <w:highlight w:val="none"/>
                <w:u w:val="single"/>
                <w:lang w:val="en-US" w:eastAsia="zh-CN"/>
              </w:rPr>
            </w:pPr>
          </w:p>
          <w:p>
            <w:pPr>
              <w:spacing w:line="440" w:lineRule="exact"/>
              <w:ind w:firstLine="0" w:firstLineChars="0"/>
              <w:jc w:val="center"/>
              <w:rPr>
                <w:rFonts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3582" w:type="dxa"/>
            <w:tcBorders>
              <w:top w:val="single" w:color="auto" w:sz="4" w:space="0"/>
              <w:left w:val="single" w:color="auto" w:sz="4" w:space="0"/>
              <w:bottom w:val="single" w:color="auto" w:sz="4" w:space="0"/>
              <w:right w:val="single" w:color="auto" w:sz="4" w:space="0"/>
            </w:tcBorders>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对</w:t>
            </w:r>
            <w:r>
              <w:rPr>
                <w:rFonts w:ascii="Times New Roman" w:hAnsi="Times New Roman" w:cs="Times New Roman"/>
                <w:color w:val="auto"/>
                <w:sz w:val="21"/>
                <w:szCs w:val="21"/>
                <w:highlight w:val="none"/>
              </w:rPr>
              <w:t>投标设备</w:t>
            </w:r>
            <w:r>
              <w:rPr>
                <w:rFonts w:hint="default" w:ascii="Times New Roman" w:hAnsi="Times New Roman" w:cs="Times New Roman"/>
                <w:color w:val="auto"/>
                <w:sz w:val="21"/>
                <w:szCs w:val="21"/>
                <w:highlight w:val="none"/>
                <w:lang w:val="en-US" w:eastAsia="zh-CN"/>
              </w:rPr>
              <w:t>/材料</w:t>
            </w:r>
            <w:r>
              <w:rPr>
                <w:rFonts w:ascii="Times New Roman" w:hAnsi="Times New Roman" w:cs="Times New Roman"/>
                <w:color w:val="auto"/>
                <w:sz w:val="21"/>
                <w:szCs w:val="21"/>
                <w:highlight w:val="none"/>
              </w:rPr>
              <w:t>整体</w:t>
            </w:r>
            <w:r>
              <w:rPr>
                <w:rFonts w:ascii="Times New Roman" w:hAnsi="Times New Roman" w:cs="Times New Roman"/>
                <w:color w:val="auto"/>
                <w:kern w:val="0"/>
                <w:sz w:val="21"/>
                <w:szCs w:val="21"/>
                <w:highlight w:val="none"/>
              </w:rPr>
              <w:t>评价</w:t>
            </w:r>
          </w:p>
        </w:tc>
        <w:tc>
          <w:tcPr>
            <w:tcW w:w="9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144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6" w:hRule="atLeast"/>
        </w:trPr>
        <w:tc>
          <w:tcPr>
            <w:tcW w:w="900" w:type="dxa"/>
            <w:vMerge w:val="continue"/>
            <w:tcBorders>
              <w:right w:val="single" w:color="auto" w:sz="4" w:space="0"/>
            </w:tcBorders>
            <w:vAlign w:val="center"/>
          </w:tcPr>
          <w:p>
            <w:pPr>
              <w:jc w:val="center"/>
              <w:rPr>
                <w:rFonts w:ascii="Times New Roman" w:hAnsi="Times New Roman" w:cs="Times New Roman"/>
                <w:color w:val="auto"/>
                <w:sz w:val="21"/>
                <w:szCs w:val="21"/>
                <w:highlight w:val="none"/>
              </w:rPr>
            </w:pPr>
          </w:p>
        </w:tc>
        <w:tc>
          <w:tcPr>
            <w:tcW w:w="1124" w:type="dxa"/>
            <w:vMerge w:val="continue"/>
            <w:tcBorders>
              <w:right w:val="single" w:color="auto" w:sz="4" w:space="0"/>
            </w:tcBorders>
          </w:tcPr>
          <w:p>
            <w:pPr>
              <w:jc w:val="center"/>
              <w:rPr>
                <w:rFonts w:ascii="Times New Roman" w:hAnsi="Times New Roman" w:cs="Times New Roman"/>
                <w:color w:val="auto"/>
                <w:sz w:val="21"/>
                <w:szCs w:val="21"/>
                <w:highlight w:val="none"/>
              </w:rPr>
            </w:pPr>
          </w:p>
        </w:tc>
        <w:tc>
          <w:tcPr>
            <w:tcW w:w="1194" w:type="dxa"/>
            <w:vMerge w:val="continue"/>
            <w:tcBorders>
              <w:left w:val="single" w:color="auto" w:sz="4" w:space="0"/>
              <w:right w:val="single" w:color="auto" w:sz="4" w:space="0"/>
            </w:tcBorders>
          </w:tcPr>
          <w:p>
            <w:pPr>
              <w:spacing w:line="440" w:lineRule="exact"/>
              <w:jc w:val="center"/>
              <w:rPr>
                <w:rFonts w:ascii="Times New Roman" w:hAnsi="Times New Roman" w:cs="Times New Roman"/>
                <w:color w:val="auto"/>
                <w:kern w:val="0"/>
                <w:sz w:val="21"/>
                <w:szCs w:val="21"/>
                <w:highlight w:val="none"/>
              </w:rPr>
            </w:pPr>
          </w:p>
        </w:tc>
        <w:tc>
          <w:tcPr>
            <w:tcW w:w="3582" w:type="dxa"/>
            <w:tcBorders>
              <w:top w:val="single" w:color="auto" w:sz="4" w:space="0"/>
              <w:left w:val="single" w:color="auto" w:sz="4" w:space="0"/>
              <w:bottom w:val="single" w:color="auto" w:sz="4" w:space="0"/>
              <w:right w:val="single" w:color="auto" w:sz="4" w:space="0"/>
            </w:tcBorders>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kern w:val="0"/>
                <w:sz w:val="21"/>
                <w:szCs w:val="21"/>
                <w:highlight w:val="none"/>
              </w:rPr>
              <w:t>投标设备技术性能指标的响应程度</w:t>
            </w:r>
            <w:r>
              <w:rPr>
                <w:rFonts w:hint="default" w:ascii="Times New Roman" w:hAnsi="Times New Roman" w:cs="Times New Roman"/>
                <w:color w:val="auto"/>
                <w:kern w:val="0"/>
                <w:sz w:val="21"/>
                <w:szCs w:val="21"/>
                <w:highlight w:val="none"/>
                <w:lang w:val="en-US" w:eastAsia="zh-CN"/>
              </w:rPr>
              <w:t>/</w:t>
            </w:r>
            <w:r>
              <w:rPr>
                <w:rFonts w:ascii="Times New Roman" w:hAnsi="Times New Roman" w:cs="Times New Roman"/>
                <w:color w:val="auto"/>
                <w:kern w:val="0"/>
                <w:sz w:val="21"/>
                <w:szCs w:val="21"/>
                <w:highlight w:val="none"/>
              </w:rPr>
              <w:t>投标材料质量标准的响应程度</w:t>
            </w:r>
          </w:p>
        </w:tc>
        <w:tc>
          <w:tcPr>
            <w:tcW w:w="9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144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8" w:hRule="atLeast"/>
        </w:trPr>
        <w:tc>
          <w:tcPr>
            <w:tcW w:w="900" w:type="dxa"/>
            <w:vMerge w:val="continue"/>
            <w:tcBorders>
              <w:right w:val="single" w:color="auto" w:sz="4" w:space="0"/>
            </w:tcBorders>
          </w:tcPr>
          <w:p>
            <w:pPr>
              <w:jc w:val="center"/>
              <w:rPr>
                <w:rFonts w:ascii="Times New Roman" w:hAnsi="Times New Roman" w:cs="Times New Roman"/>
                <w:color w:val="auto"/>
                <w:sz w:val="21"/>
                <w:szCs w:val="21"/>
                <w:highlight w:val="none"/>
              </w:rPr>
            </w:pPr>
          </w:p>
        </w:tc>
        <w:tc>
          <w:tcPr>
            <w:tcW w:w="1124" w:type="dxa"/>
            <w:vMerge w:val="continue"/>
            <w:tcBorders>
              <w:right w:val="single" w:color="auto" w:sz="4" w:space="0"/>
            </w:tcBorders>
          </w:tcPr>
          <w:p>
            <w:pPr>
              <w:jc w:val="center"/>
              <w:rPr>
                <w:rFonts w:ascii="Times New Roman" w:hAnsi="Times New Roman" w:cs="Times New Roman"/>
                <w:color w:val="auto"/>
                <w:sz w:val="21"/>
                <w:szCs w:val="21"/>
                <w:highlight w:val="none"/>
              </w:rPr>
            </w:pPr>
          </w:p>
        </w:tc>
        <w:tc>
          <w:tcPr>
            <w:tcW w:w="1194" w:type="dxa"/>
            <w:vMerge w:val="continue"/>
            <w:tcBorders>
              <w:left w:val="single" w:color="auto" w:sz="4" w:space="0"/>
              <w:right w:val="single" w:color="auto" w:sz="4" w:space="0"/>
            </w:tcBorders>
            <w:tcMar>
              <w:left w:w="57" w:type="dxa"/>
              <w:right w:w="57" w:type="dxa"/>
            </w:tcMar>
            <w:vAlign w:val="center"/>
          </w:tcPr>
          <w:p>
            <w:pPr>
              <w:spacing w:line="440" w:lineRule="exact"/>
              <w:jc w:val="center"/>
              <w:rPr>
                <w:rFonts w:ascii="Times New Roman" w:hAnsi="Times New Roman" w:cs="Times New Roman"/>
                <w:color w:val="auto"/>
                <w:kern w:val="0"/>
                <w:sz w:val="21"/>
                <w:szCs w:val="21"/>
                <w:highlight w:val="none"/>
              </w:rPr>
            </w:pPr>
          </w:p>
        </w:tc>
        <w:tc>
          <w:tcPr>
            <w:tcW w:w="3582"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spacing w:line="4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cs="Times New Roman"/>
                <w:color w:val="auto"/>
                <w:kern w:val="0"/>
                <w:sz w:val="21"/>
                <w:szCs w:val="21"/>
                <w:highlight w:val="none"/>
              </w:rPr>
              <w:t>对投标人技术服务和质保期服务能力的评价</w:t>
            </w:r>
            <w:r>
              <w:rPr>
                <w:rFonts w:hint="default" w:ascii="Times New Roman" w:hAnsi="Times New Roman" w:cs="Times New Roman"/>
                <w:color w:val="auto"/>
                <w:kern w:val="0"/>
                <w:sz w:val="21"/>
                <w:szCs w:val="21"/>
                <w:highlight w:val="none"/>
                <w:lang w:val="en-US" w:eastAsia="zh-CN"/>
              </w:rPr>
              <w:t>/</w:t>
            </w:r>
            <w:r>
              <w:rPr>
                <w:rFonts w:ascii="Times New Roman" w:hAnsi="Times New Roman" w:cs="Times New Roman"/>
                <w:color w:val="auto"/>
                <w:kern w:val="0"/>
                <w:sz w:val="21"/>
                <w:szCs w:val="21"/>
                <w:highlight w:val="none"/>
              </w:rPr>
              <w:t>对投标人相关服务能力的评价</w:t>
            </w:r>
          </w:p>
        </w:tc>
        <w:tc>
          <w:tcPr>
            <w:tcW w:w="937"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spacing w:line="440" w:lineRule="exact"/>
              <w:ind w:firstLine="0" w:firstLineChars="0"/>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1444" w:type="dxa"/>
            <w:tcBorders>
              <w:top w:val="single" w:color="auto" w:sz="4" w:space="0"/>
              <w:left w:val="single" w:color="auto" w:sz="4" w:space="0"/>
              <w:bottom w:val="single" w:color="auto" w:sz="4" w:space="0"/>
              <w:right w:val="single" w:color="auto" w:sz="4" w:space="0"/>
            </w:tcBorders>
            <w:tcMar>
              <w:left w:w="57" w:type="dxa"/>
              <w:right w:w="57" w:type="dxa"/>
            </w:tcMar>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16" w:hRule="atLeast"/>
        </w:trPr>
        <w:tc>
          <w:tcPr>
            <w:tcW w:w="900" w:type="dxa"/>
            <w:vMerge w:val="continue"/>
            <w:tcBorders>
              <w:right w:val="single" w:color="auto" w:sz="4" w:space="0"/>
            </w:tcBorders>
          </w:tcPr>
          <w:p>
            <w:pPr>
              <w:jc w:val="center"/>
              <w:rPr>
                <w:rFonts w:ascii="Times New Roman" w:hAnsi="Times New Roman" w:cs="Times New Roman"/>
                <w:color w:val="auto"/>
                <w:sz w:val="21"/>
                <w:szCs w:val="21"/>
                <w:highlight w:val="none"/>
              </w:rPr>
            </w:pPr>
          </w:p>
        </w:tc>
        <w:tc>
          <w:tcPr>
            <w:tcW w:w="1124" w:type="dxa"/>
            <w:vMerge w:val="continue"/>
            <w:tcBorders>
              <w:right w:val="single" w:color="auto" w:sz="4" w:space="0"/>
            </w:tcBorders>
          </w:tcPr>
          <w:p>
            <w:pPr>
              <w:jc w:val="center"/>
              <w:rPr>
                <w:rFonts w:ascii="Times New Roman" w:hAnsi="Times New Roman" w:cs="Times New Roman"/>
                <w:color w:val="auto"/>
                <w:sz w:val="21"/>
                <w:szCs w:val="21"/>
                <w:highlight w:val="none"/>
              </w:rPr>
            </w:pPr>
          </w:p>
        </w:tc>
        <w:tc>
          <w:tcPr>
            <w:tcW w:w="1194" w:type="dxa"/>
            <w:vMerge w:val="continue"/>
            <w:tcBorders>
              <w:left w:val="single" w:color="auto" w:sz="4" w:space="0"/>
              <w:right w:val="single" w:color="auto" w:sz="4" w:space="0"/>
            </w:tcBorders>
            <w:tcMar>
              <w:left w:w="57" w:type="dxa"/>
              <w:right w:w="57" w:type="dxa"/>
            </w:tcMar>
            <w:vAlign w:val="center"/>
          </w:tcPr>
          <w:p>
            <w:pPr>
              <w:spacing w:line="440" w:lineRule="exact"/>
              <w:jc w:val="center"/>
              <w:rPr>
                <w:rFonts w:ascii="Times New Roman" w:hAnsi="Times New Roman" w:cs="Times New Roman"/>
                <w:color w:val="auto"/>
                <w:sz w:val="21"/>
                <w:szCs w:val="21"/>
                <w:highlight w:val="none"/>
              </w:rPr>
            </w:pPr>
          </w:p>
        </w:tc>
        <w:tc>
          <w:tcPr>
            <w:tcW w:w="3582" w:type="dxa"/>
            <w:tcBorders>
              <w:top w:val="single" w:color="auto" w:sz="4" w:space="0"/>
              <w:left w:val="single" w:color="auto" w:sz="4" w:space="0"/>
              <w:right w:val="single" w:color="auto" w:sz="4" w:space="0"/>
            </w:tcBorders>
            <w:tcMar>
              <w:left w:w="57" w:type="dxa"/>
              <w:right w:w="57" w:type="dxa"/>
            </w:tcMar>
            <w:vAlign w:val="center"/>
          </w:tcPr>
          <w:p>
            <w:pPr>
              <w:spacing w:line="440" w:lineRule="exact"/>
              <w:ind w:firstLine="0" w:firstLineChars="0"/>
              <w:jc w:val="center"/>
              <w:rPr>
                <w:rFonts w:ascii="Times New Roman" w:hAnsi="Times New Roman" w:cs="Times New Roman"/>
                <w:color w:val="auto"/>
                <w:kern w:val="0"/>
                <w:sz w:val="21"/>
                <w:szCs w:val="21"/>
                <w:highlight w:val="none"/>
              </w:rPr>
            </w:pPr>
            <w:r>
              <w:rPr>
                <w:rFonts w:ascii="Times New Roman" w:hAnsi="Times New Roman" w:cs="Times New Roman"/>
                <w:color w:val="auto"/>
                <w:sz w:val="21"/>
                <w:szCs w:val="21"/>
                <w:highlight w:val="none"/>
              </w:rPr>
              <w:t>……</w:t>
            </w:r>
          </w:p>
        </w:tc>
        <w:tc>
          <w:tcPr>
            <w:tcW w:w="937" w:type="dxa"/>
            <w:tcBorders>
              <w:top w:val="single" w:color="auto" w:sz="4" w:space="0"/>
              <w:left w:val="single" w:color="auto" w:sz="4" w:space="0"/>
              <w:right w:val="single" w:color="auto" w:sz="4" w:space="0"/>
            </w:tcBorders>
            <w:tcMar>
              <w:left w:w="57" w:type="dxa"/>
              <w:right w:w="57" w:type="dxa"/>
            </w:tcMar>
            <w:vAlign w:val="center"/>
          </w:tcPr>
          <w:p>
            <w:pPr>
              <w:spacing w:line="440" w:lineRule="exact"/>
              <w:jc w:val="center"/>
              <w:rPr>
                <w:rFonts w:ascii="Times New Roman" w:hAnsi="Times New Roman" w:cs="Times New Roman"/>
                <w:color w:val="auto"/>
                <w:sz w:val="21"/>
                <w:szCs w:val="21"/>
                <w:highlight w:val="none"/>
              </w:rPr>
            </w:pPr>
          </w:p>
        </w:tc>
        <w:tc>
          <w:tcPr>
            <w:tcW w:w="1444" w:type="dxa"/>
            <w:tcBorders>
              <w:top w:val="single" w:color="auto" w:sz="4" w:space="0"/>
              <w:left w:val="single" w:color="auto" w:sz="4" w:space="0"/>
              <w:right w:val="single" w:color="auto" w:sz="4" w:space="0"/>
            </w:tcBorders>
            <w:tcMar>
              <w:left w:w="57" w:type="dxa"/>
              <w:right w:w="57" w:type="dxa"/>
            </w:tcMar>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80"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2.2.4（3）</w:t>
            </w:r>
          </w:p>
        </w:tc>
        <w:tc>
          <w:tcPr>
            <w:tcW w:w="112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评标价</w:t>
            </w:r>
          </w:p>
        </w:tc>
        <w:tc>
          <w:tcPr>
            <w:tcW w:w="1194" w:type="dxa"/>
            <w:tcBorders>
              <w:top w:val="single" w:color="auto" w:sz="4" w:space="0"/>
              <w:left w:val="single" w:color="auto" w:sz="4" w:space="0"/>
              <w:right w:val="single" w:color="auto" w:sz="4" w:space="0"/>
            </w:tcBorders>
            <w:vAlign w:val="center"/>
          </w:tcPr>
          <w:p>
            <w:pPr>
              <w:spacing w:line="440" w:lineRule="exact"/>
              <w:ind w:firstLine="0" w:firstLineChars="0"/>
              <w:jc w:val="center"/>
              <w:rPr>
                <w:rFonts w:ascii="Times New Roman" w:hAnsi="Times New Roman" w:eastAsia="宋体"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5963" w:type="dxa"/>
            <w:gridSpan w:val="3"/>
            <w:tcBorders>
              <w:top w:val="single" w:color="auto" w:sz="4" w:space="0"/>
              <w:left w:val="single" w:color="auto" w:sz="4" w:space="0"/>
              <w:right w:val="single" w:color="auto" w:sz="4" w:space="0"/>
            </w:tcBorders>
            <w:vAlign w:val="center"/>
          </w:tcPr>
          <w:p>
            <w:pPr>
              <w:spacing w:line="380" w:lineRule="atLeast"/>
              <w:ind w:firstLine="0" w:firstLineChars="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评标价得分计算公式示例：</w:t>
            </w:r>
          </w:p>
          <w:p>
            <w:pPr>
              <w:spacing w:line="380" w:lineRule="atLeast"/>
              <w:ind w:firstLine="0" w:firstLineChars="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（1）如果投标人的评标价&gt;评标基准价，则评标价得分＝</w:t>
            </w:r>
            <w:r>
              <w:rPr>
                <w:rFonts w:hint="default" w:ascii="Times New Roman" w:hAnsi="Times New Roman" w:eastAsia="宋体" w:cs="Times New Roman"/>
                <w:color w:val="auto"/>
                <w:sz w:val="21"/>
                <w:szCs w:val="21"/>
                <w:highlight w:val="none"/>
              </w:rPr>
              <w:t>评标价满分</w:t>
            </w:r>
            <w:r>
              <w:rPr>
                <w:rFonts w:ascii="Times New Roman" w:hAnsi="Times New Roman" w:eastAsia="宋体" w:cs="Times New Roman"/>
                <w:color w:val="auto"/>
                <w:sz w:val="21"/>
                <w:szCs w:val="21"/>
                <w:highlight w:val="none"/>
              </w:rPr>
              <w:t xml:space="preserve">－偏差率×100× </w:t>
            </w:r>
            <w:r>
              <w:rPr>
                <w:rFonts w:hint="default" w:ascii="Times New Roman" w:hAnsi="Times New Roman" w:cs="Times New Roman"/>
                <w:color w:val="auto"/>
                <w:sz w:val="21"/>
                <w:szCs w:val="21"/>
                <w:highlight w:val="none"/>
              </w:rPr>
              <w:t>E</w:t>
            </w:r>
            <w:r>
              <w:rPr>
                <w:rFonts w:hint="default" w:ascii="Times New Roman" w:hAnsi="Times New Roman" w:cs="Times New Roman"/>
                <w:color w:val="auto"/>
                <w:sz w:val="21"/>
                <w:szCs w:val="21"/>
                <w:highlight w:val="none"/>
                <w:vertAlign w:val="subscript"/>
              </w:rPr>
              <w:t>1</w:t>
            </w:r>
            <w:r>
              <w:rPr>
                <w:rFonts w:ascii="Times New Roman" w:hAnsi="Times New Roman" w:eastAsia="宋体" w:cs="Times New Roman"/>
                <w:color w:val="auto"/>
                <w:sz w:val="21"/>
                <w:szCs w:val="21"/>
                <w:highlight w:val="none"/>
              </w:rPr>
              <w:t>；</w:t>
            </w:r>
          </w:p>
          <w:p>
            <w:pPr>
              <w:pageBreakBefore w:val="0"/>
              <w:kinsoku/>
              <w:wordWrap w:val="0"/>
              <w:overflowPunct/>
              <w:bidi w:val="0"/>
              <w:spacing w:line="380" w:lineRule="atLeast"/>
              <w:ind w:firstLine="0" w:firstLineChars="0"/>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（2）如果投标人的评标价≤评标基准价，则评标价得分＝</w:t>
            </w:r>
            <w:r>
              <w:rPr>
                <w:rFonts w:hint="default" w:ascii="Times New Roman" w:hAnsi="Times New Roman" w:eastAsia="宋体" w:cs="Times New Roman"/>
                <w:color w:val="auto"/>
                <w:sz w:val="21"/>
                <w:szCs w:val="21"/>
                <w:highlight w:val="none"/>
              </w:rPr>
              <w:t>评标价满分</w:t>
            </w:r>
            <w:r>
              <w:rPr>
                <w:rFonts w:ascii="Times New Roman" w:hAnsi="Times New Roman" w:eastAsia="宋体" w:cs="Times New Roman"/>
                <w:color w:val="auto"/>
                <w:sz w:val="21"/>
                <w:szCs w:val="21"/>
                <w:highlight w:val="none"/>
              </w:rPr>
              <w:t xml:space="preserve">＋偏差率× 100× </w:t>
            </w:r>
            <w:r>
              <w:rPr>
                <w:rFonts w:hint="default" w:ascii="Times New Roman" w:hAnsi="Times New Roman" w:cs="Times New Roman"/>
                <w:color w:val="auto"/>
                <w:sz w:val="21"/>
                <w:szCs w:val="21"/>
                <w:highlight w:val="none"/>
              </w:rPr>
              <w:t>E</w:t>
            </w:r>
            <w:r>
              <w:rPr>
                <w:rFonts w:hint="default" w:ascii="Times New Roman" w:hAnsi="Times New Roman" w:cs="Times New Roman"/>
                <w:color w:val="auto"/>
                <w:sz w:val="21"/>
                <w:szCs w:val="21"/>
                <w:highlight w:val="none"/>
                <w:vertAlign w:val="subscript"/>
              </w:rPr>
              <w:t>2</w:t>
            </w:r>
            <w:r>
              <w:rPr>
                <w:rFonts w:ascii="Times New Roman" w:hAnsi="Times New Roman" w:eastAsia="宋体" w:cs="Times New Roman"/>
                <w:color w:val="auto"/>
                <w:sz w:val="21"/>
                <w:szCs w:val="21"/>
                <w:highlight w:val="none"/>
              </w:rPr>
              <w:t>。</w:t>
            </w:r>
          </w:p>
          <w:p>
            <w:pPr>
              <w:spacing w:line="440" w:lineRule="exact"/>
              <w:jc w:val="left"/>
              <w:rPr>
                <w:rFonts w:ascii="Times New Roman" w:hAnsi="Times New Roman" w:cs="Times New Roman"/>
                <w:color w:val="auto"/>
                <w:sz w:val="21"/>
                <w:szCs w:val="21"/>
                <w:highlight w:val="none"/>
              </w:rPr>
            </w:pPr>
            <w:r>
              <w:rPr>
                <w:rFonts w:hint="default" w:ascii="Times New Roman" w:hAnsi="Times New Roman" w:eastAsia="宋体" w:cs="Times New Roman"/>
                <w:color w:val="auto"/>
                <w:sz w:val="21"/>
                <w:szCs w:val="21"/>
                <w:highlight w:val="none"/>
              </w:rPr>
              <w:t>其中：E</w:t>
            </w:r>
            <w:r>
              <w:rPr>
                <w:rFonts w:hint="default" w:ascii="Times New Roman" w:hAnsi="Times New Roman" w:eastAsia="宋体" w:cs="Times New Roman"/>
                <w:color w:val="auto"/>
                <w:sz w:val="21"/>
                <w:szCs w:val="21"/>
                <w:highlight w:val="none"/>
                <w:vertAlign w:val="subscript"/>
              </w:rPr>
              <w:t>1</w:t>
            </w:r>
            <w:r>
              <w:rPr>
                <w:rFonts w:hint="default" w:ascii="Times New Roman" w:hAnsi="Times New Roman" w:eastAsia="宋体" w:cs="Times New Roman"/>
                <w:color w:val="auto"/>
                <w:sz w:val="21"/>
                <w:szCs w:val="21"/>
                <w:highlight w:val="none"/>
              </w:rPr>
              <w:t>是评标价每高于评标基准价一个百分点的扣分值，E</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是评标价每低于评标基准价一个百分点的扣分值；招标人可依据招标项目具体特点和实际需要设置E</w:t>
            </w:r>
            <w:r>
              <w:rPr>
                <w:rFonts w:hint="default" w:ascii="Times New Roman" w:hAnsi="Times New Roman" w:eastAsia="宋体" w:cs="Times New Roman"/>
                <w:color w:val="auto"/>
                <w:sz w:val="21"/>
                <w:szCs w:val="21"/>
                <w:highlight w:val="none"/>
                <w:vertAlign w:val="subscript"/>
              </w:rPr>
              <w:t>1</w:t>
            </w:r>
            <w:r>
              <w:rPr>
                <w:rFonts w:hint="default" w:ascii="Times New Roman" w:hAnsi="Times New Roman" w:eastAsia="宋体" w:cs="Times New Roman"/>
                <w:color w:val="auto"/>
                <w:sz w:val="21"/>
                <w:szCs w:val="21"/>
                <w:highlight w:val="none"/>
              </w:rPr>
              <w:t>、E</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rPr>
              <w:t>，但E</w:t>
            </w:r>
            <w:r>
              <w:rPr>
                <w:rFonts w:hint="default" w:ascii="Times New Roman" w:hAnsi="Times New Roman" w:eastAsia="宋体" w:cs="Times New Roman"/>
                <w:color w:val="auto"/>
                <w:sz w:val="21"/>
                <w:szCs w:val="21"/>
                <w:highlight w:val="none"/>
                <w:vertAlign w:val="subscript"/>
              </w:rPr>
              <w:t>1</w:t>
            </w:r>
            <w:r>
              <w:rPr>
                <w:rFonts w:hint="default" w:ascii="Times New Roman" w:hAnsi="Times New Roman" w:eastAsia="宋体" w:cs="Times New Roman"/>
                <w:color w:val="auto"/>
                <w:sz w:val="21"/>
                <w:szCs w:val="21"/>
                <w:highlight w:val="none"/>
              </w:rPr>
              <w:t>应大于E</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cs="Times New Roman"/>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900"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2.2.4（4）</w:t>
            </w:r>
          </w:p>
        </w:tc>
        <w:tc>
          <w:tcPr>
            <w:tcW w:w="1124" w:type="dxa"/>
            <w:tcBorders>
              <w:top w:val="single" w:color="auto" w:sz="4" w:space="0"/>
              <w:left w:val="single" w:color="auto" w:sz="4" w:space="0"/>
              <w:bottom w:val="single" w:color="auto" w:sz="4" w:space="0"/>
              <w:right w:val="single" w:color="auto" w:sz="4" w:space="0"/>
            </w:tcBorders>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其他因素评分标准</w:t>
            </w:r>
          </w:p>
        </w:tc>
        <w:tc>
          <w:tcPr>
            <w:tcW w:w="119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3582"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c>
          <w:tcPr>
            <w:tcW w:w="937"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u w:val="single"/>
                <w:lang w:val="en-US" w:eastAsia="zh-CN"/>
              </w:rPr>
              <w:t xml:space="preserve">   </w:t>
            </w:r>
            <w:r>
              <w:rPr>
                <w:rFonts w:hint="default" w:ascii="Times New Roman" w:hAnsi="Times New Roman" w:cs="Times New Roman"/>
                <w:color w:val="auto"/>
                <w:sz w:val="21"/>
                <w:szCs w:val="21"/>
                <w:highlight w:val="none"/>
                <w:lang w:val="en-US" w:eastAsia="zh-CN"/>
              </w:rPr>
              <w:t>分</w:t>
            </w:r>
          </w:p>
        </w:tc>
        <w:tc>
          <w:tcPr>
            <w:tcW w:w="1444" w:type="dxa"/>
            <w:tcBorders>
              <w:top w:val="single" w:color="auto" w:sz="4" w:space="0"/>
              <w:left w:val="single" w:color="auto" w:sz="4" w:space="0"/>
              <w:bottom w:val="single" w:color="auto" w:sz="4" w:space="0"/>
              <w:right w:val="single" w:color="auto" w:sz="4" w:space="0"/>
            </w:tcBorders>
            <w:vAlign w:val="center"/>
          </w:tcPr>
          <w:p>
            <w:pPr>
              <w:spacing w:line="440" w:lineRule="exact"/>
              <w:ind w:firstLine="0" w:firstLineChars="0"/>
              <w:jc w:val="center"/>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9181" w:type="dxa"/>
            <w:gridSpan w:val="6"/>
            <w:tcBorders>
              <w:top w:val="single" w:color="auto" w:sz="4" w:space="0"/>
              <w:left w:val="single" w:color="auto" w:sz="4" w:space="0"/>
              <w:bottom w:val="single" w:color="auto" w:sz="4" w:space="0"/>
              <w:right w:val="single" w:color="auto" w:sz="4" w:space="0"/>
            </w:tcBorders>
            <w:vAlign w:val="top"/>
          </w:tcPr>
          <w:p>
            <w:pPr>
              <w:spacing w:line="360" w:lineRule="atLeast"/>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需要补充的其他内容：</w:t>
            </w:r>
          </w:p>
          <w:p>
            <w:pPr>
              <w:spacing w:line="440" w:lineRule="exact"/>
              <w:jc w:val="both"/>
              <w:rPr>
                <w:rFonts w:ascii="Times New Roman" w:hAnsi="Times New Roman" w:cs="Times New Roman"/>
                <w:color w:val="auto"/>
                <w:sz w:val="21"/>
                <w:szCs w:val="21"/>
                <w:highlight w:val="none"/>
              </w:rPr>
            </w:pPr>
            <w:r>
              <w:rPr>
                <w:rFonts w:ascii="Times New Roman" w:hAnsi="Times New Roman" w:eastAsia="宋体" w:cs="Times New Roman"/>
                <w:color w:val="auto"/>
                <w:sz w:val="21"/>
                <w:szCs w:val="21"/>
                <w:highlight w:val="none"/>
              </w:rPr>
              <w:t>……</w:t>
            </w:r>
          </w:p>
        </w:tc>
      </w:tr>
    </w:tbl>
    <w:p>
      <w:pPr>
        <w:spacing w:line="400" w:lineRule="exact"/>
        <w:rPr>
          <w:rFonts w:ascii="Times New Roman" w:hAnsi="Times New Roman" w:cs="Times New Roman"/>
          <w:color w:val="auto"/>
          <w:highlight w:val="none"/>
        </w:rPr>
      </w:pPr>
      <w:r>
        <w:rPr>
          <w:rFonts w:ascii="Times New Roman" w:hAnsi="Times New Roman" w:cs="Times New Roman"/>
          <w:color w:val="auto"/>
          <w:highlight w:val="none"/>
        </w:rPr>
        <w:br w:type="page"/>
      </w:r>
    </w:p>
    <w:p>
      <w:pPr>
        <w:pStyle w:val="3"/>
        <w:rPr>
          <w:rFonts w:ascii="Times New Roman" w:hAnsi="Times New Roman"/>
          <w:color w:val="auto"/>
          <w:highlight w:val="none"/>
        </w:rPr>
      </w:pPr>
      <w:bookmarkStart w:id="292" w:name="_Toc12632"/>
      <w:r>
        <w:rPr>
          <w:rFonts w:ascii="Times New Roman" w:hAnsi="Times New Roman"/>
          <w:color w:val="auto"/>
          <w:highlight w:val="none"/>
        </w:rPr>
        <w:t>1. 评标方法</w:t>
      </w:r>
      <w:bookmarkEnd w:id="291"/>
      <w:bookmarkEnd w:id="292"/>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本次评标采用</w:t>
      </w:r>
      <w:r>
        <w:rPr>
          <w:rFonts w:hint="eastAsia" w:ascii="Times New Roman" w:hAnsi="Times New Roman"/>
          <w:color w:val="auto"/>
          <w:highlight w:val="none"/>
          <w:lang w:eastAsia="zh-CN"/>
        </w:rPr>
        <w:t>综合评分法</w:t>
      </w:r>
      <w:r>
        <w:rPr>
          <w:rFonts w:ascii="Times New Roman" w:hAnsi="Times New Roman"/>
          <w:color w:val="auto"/>
          <w:highlight w:val="none"/>
        </w:rPr>
        <w:t>。评标委员会对满足招标文件实质性要求的投标文件，按照本章第2.2款规定的评分标准进行打分，并按得分由高到低顺序推荐中标候选人，或根据招标人授权直接确定中标人，但投标报价低于其成本的除外。综合评分相等时，</w:t>
      </w:r>
      <w:r>
        <w:rPr>
          <w:rFonts w:hint="default" w:ascii="Times New Roman" w:hAnsi="Times New Roman"/>
          <w:color w:val="auto"/>
          <w:highlight w:val="none"/>
        </w:rPr>
        <w:t>评标委员会应按照评标办法前附表规定的优先次序推荐中标候选人或确定中标人</w:t>
      </w:r>
      <w:r>
        <w:rPr>
          <w:rFonts w:ascii="Times New Roman" w:hAnsi="Times New Roman"/>
          <w:color w:val="auto"/>
          <w:highlight w:val="none"/>
        </w:rPr>
        <w:t>。</w:t>
      </w:r>
    </w:p>
    <w:p>
      <w:pPr>
        <w:pStyle w:val="3"/>
        <w:rPr>
          <w:rFonts w:ascii="Times New Roman" w:hAnsi="Times New Roman"/>
          <w:color w:val="auto"/>
          <w:highlight w:val="none"/>
        </w:rPr>
      </w:pPr>
      <w:bookmarkStart w:id="293" w:name="_Toc29466"/>
      <w:bookmarkStart w:id="294" w:name="_Toc491883159"/>
      <w:r>
        <w:rPr>
          <w:rFonts w:ascii="Times New Roman" w:hAnsi="Times New Roman"/>
          <w:color w:val="auto"/>
          <w:highlight w:val="none"/>
        </w:rPr>
        <w:t>2. 评审标准</w:t>
      </w:r>
      <w:bookmarkEnd w:id="293"/>
      <w:bookmarkEnd w:id="294"/>
    </w:p>
    <w:p>
      <w:pPr>
        <w:spacing w:line="240" w:lineRule="auto"/>
        <w:ind w:firstLine="137"/>
        <w:outlineLvl w:val="9"/>
        <w:rPr>
          <w:rFonts w:ascii="Times New Roman" w:hAnsi="Times New Roman"/>
          <w:color w:val="auto"/>
          <w:highlight w:val="none"/>
        </w:rPr>
      </w:pPr>
      <w:bookmarkStart w:id="295" w:name="_Toc491883160"/>
      <w:r>
        <w:rPr>
          <w:rFonts w:ascii="Times New Roman" w:hAnsi="Times New Roman"/>
          <w:color w:val="auto"/>
          <w:highlight w:val="none"/>
        </w:rPr>
        <w:t>2.1 初步评审标准</w:t>
      </w:r>
      <w:bookmarkEnd w:id="295"/>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2.1.1 形式评审标准：见评标办法前附表。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2.1.2 资格评审标准：见评标办法前附表。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2.1.3 响应性评审标准：见评标办法前附表。</w:t>
      </w:r>
    </w:p>
    <w:p>
      <w:pPr>
        <w:spacing w:line="240" w:lineRule="auto"/>
        <w:ind w:firstLine="137"/>
        <w:outlineLvl w:val="9"/>
        <w:rPr>
          <w:rFonts w:ascii="Times New Roman" w:hAnsi="Times New Roman"/>
          <w:color w:val="auto"/>
          <w:highlight w:val="none"/>
        </w:rPr>
      </w:pPr>
      <w:bookmarkStart w:id="296" w:name="_Toc491883161"/>
      <w:r>
        <w:rPr>
          <w:rFonts w:ascii="Times New Roman" w:hAnsi="Times New Roman"/>
          <w:color w:val="auto"/>
          <w:highlight w:val="none"/>
        </w:rPr>
        <w:t>2.2 分值构成与评分标准</w:t>
      </w:r>
      <w:bookmarkEnd w:id="296"/>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2.2.1 分值构成</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（1）商务部分：见评标办法前附表；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（2）技术部分：见评标办法前附表；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default" w:ascii="Times New Roman" w:hAnsi="Times New Roman"/>
          <w:color w:val="auto"/>
          <w:highlight w:val="none"/>
          <w:lang w:val="en-US" w:eastAsia="zh-CN"/>
        </w:rPr>
        <w:t>评标价</w:t>
      </w:r>
      <w:r>
        <w:rPr>
          <w:rFonts w:ascii="Times New Roman" w:hAnsi="Times New Roman"/>
          <w:color w:val="auto"/>
          <w:highlight w:val="none"/>
        </w:rPr>
        <w:t>：见评标办法前附表；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（4）其他评分因素：见评标办法前附表。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2.2.2 评标基准价计算</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评标基准价计算方法：见评标办法前附表。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 xml:space="preserve">2.2.3 </w:t>
      </w:r>
      <w:r>
        <w:rPr>
          <w:rFonts w:hint="default" w:ascii="Times New Roman" w:hAnsi="Times New Roman"/>
          <w:color w:val="auto"/>
          <w:highlight w:val="none"/>
          <w:lang w:val="en-US" w:eastAsia="zh-CN"/>
        </w:rPr>
        <w:t>评标价</w:t>
      </w:r>
      <w:r>
        <w:rPr>
          <w:rFonts w:ascii="Times New Roman" w:hAnsi="Times New Roman"/>
          <w:color w:val="auto"/>
          <w:highlight w:val="none"/>
        </w:rPr>
        <w:t>的偏差率计算</w:t>
      </w:r>
    </w:p>
    <w:p>
      <w:pPr>
        <w:spacing w:line="400" w:lineRule="exact"/>
        <w:ind w:firstLine="480" w:firstLineChars="200"/>
        <w:rPr>
          <w:rFonts w:ascii="Times New Roman" w:hAnsi="Times New Roman"/>
          <w:color w:val="auto"/>
          <w:highlight w:val="none"/>
        </w:rPr>
      </w:pPr>
      <w:r>
        <w:rPr>
          <w:rFonts w:hint="default" w:ascii="Times New Roman" w:hAnsi="Times New Roman"/>
          <w:color w:val="auto"/>
          <w:highlight w:val="none"/>
          <w:lang w:val="en-US" w:eastAsia="zh-CN"/>
        </w:rPr>
        <w:t>评标价</w:t>
      </w:r>
      <w:r>
        <w:rPr>
          <w:rFonts w:ascii="Times New Roman" w:hAnsi="Times New Roman"/>
          <w:color w:val="auto"/>
          <w:highlight w:val="none"/>
        </w:rPr>
        <w:t>的偏差率计算公式：见评标办法前附表。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2.2.4 评分标准</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（1）商务评分标准：见评标办法前附表；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（2）技术评分标准：见评标办法前附表；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（3）投标报价评分标准：见评标办法前附表；</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（4）其他因素评分标准：见评标办法前附表。</w:t>
      </w:r>
    </w:p>
    <w:p>
      <w:pPr>
        <w:pStyle w:val="3"/>
        <w:rPr>
          <w:rFonts w:ascii="Times New Roman" w:hAnsi="Times New Roman"/>
          <w:color w:val="auto"/>
          <w:highlight w:val="none"/>
        </w:rPr>
      </w:pPr>
      <w:bookmarkStart w:id="297" w:name="_Toc491883162"/>
      <w:bookmarkStart w:id="298" w:name="_Toc26382"/>
      <w:r>
        <w:rPr>
          <w:rFonts w:ascii="Times New Roman" w:hAnsi="Times New Roman"/>
          <w:color w:val="auto"/>
          <w:highlight w:val="none"/>
        </w:rPr>
        <w:t>3. 评标程序</w:t>
      </w:r>
      <w:bookmarkEnd w:id="297"/>
      <w:bookmarkEnd w:id="298"/>
    </w:p>
    <w:p>
      <w:pPr>
        <w:spacing w:before="240" w:after="240" w:line="240" w:lineRule="atLeast"/>
        <w:ind w:firstLine="0" w:firstLineChars="0"/>
        <w:outlineLvl w:val="2"/>
        <w:rPr>
          <w:rFonts w:hint="default" w:ascii="Times New Roman" w:hAnsi="Times New Roman" w:eastAsia="黑体"/>
          <w:color w:val="auto"/>
          <w:highlight w:val="none"/>
        </w:rPr>
      </w:pPr>
      <w:bookmarkStart w:id="299" w:name="_Toc491883163"/>
      <w:bookmarkStart w:id="300" w:name="_Toc28340"/>
      <w:r>
        <w:rPr>
          <w:rFonts w:hint="default" w:ascii="Times New Roman" w:hAnsi="Times New Roman" w:eastAsia="黑体"/>
          <w:color w:val="auto"/>
          <w:highlight w:val="none"/>
        </w:rPr>
        <w:t>3.1 第一个信封初步评审</w:t>
      </w:r>
      <w:bookmarkEnd w:id="299"/>
      <w:bookmarkEnd w:id="300"/>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3.1.1 评标委员会依据本章第2.1款规定的标准对投标文件</w:t>
      </w:r>
      <w:r>
        <w:rPr>
          <w:rFonts w:hint="default" w:ascii="Times New Roman" w:hAnsi="Times New Roman"/>
          <w:color w:val="auto"/>
          <w:highlight w:val="none"/>
        </w:rPr>
        <w:t>第一个信封（商务及技术文件）</w:t>
      </w:r>
      <w:r>
        <w:rPr>
          <w:rFonts w:ascii="Times New Roman" w:hAnsi="Times New Roman"/>
          <w:color w:val="auto"/>
          <w:highlight w:val="none"/>
        </w:rPr>
        <w:t>进行初步评审。有一项不符合评审标准的，评标委员会应当否决其投标。</w:t>
      </w:r>
    </w:p>
    <w:p>
      <w:pPr>
        <w:spacing w:line="400" w:lineRule="exact"/>
        <w:ind w:firstLine="480" w:firstLineChars="200"/>
        <w:rPr>
          <w:rFonts w:hint="default" w:ascii="Times New Roman" w:hAnsi="Times New Roman"/>
          <w:color w:val="auto"/>
          <w:highlight w:val="none"/>
        </w:rPr>
      </w:pPr>
      <w:r>
        <w:rPr>
          <w:rFonts w:hint="default" w:ascii="Times New Roman" w:hAnsi="Times New Roman"/>
          <w:color w:val="auto"/>
          <w:highlight w:val="none"/>
        </w:rPr>
        <w:t>3.1.2 投标文件的标的、技术性能指标/质量标准、交货期、交货地点等实质性要求和条件不得出现（存在）不利于招标人的偏差，否则，评标委员会应否决其投标。</w:t>
      </w:r>
    </w:p>
    <w:p>
      <w:pPr>
        <w:spacing w:line="400" w:lineRule="exact"/>
        <w:ind w:firstLine="480" w:firstLineChars="200"/>
        <w:rPr>
          <w:rFonts w:hint="default" w:ascii="Times New Roman" w:hAnsi="Times New Roman"/>
          <w:color w:val="auto"/>
          <w:highlight w:val="none"/>
          <w:lang w:val="en-US" w:eastAsia="zh-CN"/>
        </w:rPr>
      </w:pPr>
      <w:r>
        <w:rPr>
          <w:rFonts w:hint="default" w:ascii="Times New Roman" w:hAnsi="Times New Roman"/>
          <w:color w:val="auto"/>
          <w:highlight w:val="none"/>
        </w:rPr>
        <w:t>3.1.3 如果通过第一信封评审的有效投标不足3个，评标委员会应当对有效投标是否仍具有竞争性进行评审。评标委员会一致认为有效投标仍具有竞争性的，应当按规定的程序进行第二信封报价文件的评审，并在报告中予以说明。评标委员会对有效投标是否仍具备竞争性无法达成一致意见的，应当否决全部投标。</w:t>
      </w:r>
    </w:p>
    <w:p>
      <w:pPr>
        <w:spacing w:before="240" w:after="240" w:line="240" w:lineRule="atLeast"/>
        <w:ind w:firstLine="0" w:firstLineChars="0"/>
        <w:outlineLvl w:val="2"/>
        <w:rPr>
          <w:rFonts w:hint="default" w:ascii="Times New Roman" w:hAnsi="Times New Roman" w:eastAsia="黑体"/>
          <w:color w:val="auto"/>
          <w:highlight w:val="none"/>
        </w:rPr>
      </w:pPr>
      <w:bookmarkStart w:id="301" w:name="_Toc491883164"/>
      <w:bookmarkStart w:id="302" w:name="_Toc16300"/>
      <w:r>
        <w:rPr>
          <w:rFonts w:hint="default" w:ascii="Times New Roman" w:hAnsi="Times New Roman" w:eastAsia="黑体"/>
          <w:color w:val="auto"/>
          <w:highlight w:val="none"/>
        </w:rPr>
        <w:t>3.2  第一个信封详细评审</w:t>
      </w:r>
      <w:bookmarkEnd w:id="301"/>
      <w:bookmarkEnd w:id="302"/>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3.2.1 评标委员会按本章第2.2款规定的量化因素和分值进行打分，并计算出综合评估得分。</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（1）按本章第2.2.4（1）目规定的评审因素和分值对商务部分计算出得分A；</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（2）按本章第2.2.4（2）目规定的评审因素和分值对技术部分计算出得分B；</w:t>
      </w:r>
      <w:bookmarkStart w:id="303" w:name="_Toc361508653"/>
      <w:bookmarkStart w:id="304" w:name="_Toc144974572"/>
      <w:bookmarkStart w:id="305" w:name="_Toc18141"/>
      <w:bookmarkStart w:id="306" w:name="_Toc152045605"/>
      <w:bookmarkStart w:id="307" w:name="_Toc384308279"/>
      <w:bookmarkStart w:id="308" w:name="_Toc152042382"/>
      <w:bookmarkStart w:id="309" w:name="_Toc352691540"/>
      <w:bookmarkStart w:id="310" w:name="_Toc369531584"/>
      <w:bookmarkStart w:id="311" w:name="_Toc247514029"/>
      <w:bookmarkStart w:id="312" w:name="_Toc247527630"/>
      <w:bookmarkStart w:id="313" w:name="_Toc300835015"/>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w:t>
      </w:r>
      <w:bookmarkEnd w:id="303"/>
      <w:bookmarkEnd w:id="304"/>
      <w:bookmarkEnd w:id="305"/>
      <w:bookmarkEnd w:id="306"/>
      <w:bookmarkEnd w:id="307"/>
      <w:bookmarkEnd w:id="308"/>
      <w:bookmarkEnd w:id="309"/>
      <w:bookmarkEnd w:id="310"/>
      <w:bookmarkEnd w:id="311"/>
      <w:bookmarkEnd w:id="312"/>
      <w:bookmarkEnd w:id="313"/>
      <w:r>
        <w:rPr>
          <w:rFonts w:hint="default" w:ascii="Times New Roman" w:hAnsi="Times New Roman"/>
          <w:color w:val="auto"/>
          <w:highlight w:val="none"/>
          <w:lang w:val="en-US" w:eastAsia="zh-CN"/>
        </w:rPr>
        <w:t>3</w:t>
      </w:r>
      <w:r>
        <w:rPr>
          <w:rFonts w:ascii="Times New Roman" w:hAnsi="Times New Roman"/>
          <w:color w:val="auto"/>
          <w:highlight w:val="none"/>
        </w:rPr>
        <w:t>）按本章第2.2.4（4）目规定的评审因素和分值对其他部分计算出得分D。</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 xml:space="preserve">3.2.2 </w:t>
      </w:r>
      <w:r>
        <w:rPr>
          <w:rFonts w:hint="default" w:ascii="Times New Roman" w:hAnsi="Times New Roman"/>
          <w:color w:val="auto"/>
          <w:highlight w:val="none"/>
        </w:rPr>
        <w:t>投标人的商务</w:t>
      </w:r>
      <w:r>
        <w:rPr>
          <w:rFonts w:hint="default" w:ascii="Times New Roman" w:hAnsi="Times New Roman"/>
          <w:color w:val="auto"/>
          <w:highlight w:val="none"/>
          <w:lang w:eastAsia="zh-CN"/>
        </w:rPr>
        <w:t>、</w:t>
      </w:r>
      <w:r>
        <w:rPr>
          <w:rFonts w:hint="default" w:ascii="Times New Roman" w:hAnsi="Times New Roman"/>
          <w:color w:val="auto"/>
          <w:highlight w:val="none"/>
        </w:rPr>
        <w:t>技术</w:t>
      </w:r>
      <w:r>
        <w:rPr>
          <w:rFonts w:hint="default" w:ascii="Times New Roman" w:hAnsi="Times New Roman"/>
          <w:color w:val="auto"/>
          <w:highlight w:val="none"/>
          <w:lang w:val="en-US" w:eastAsia="zh-CN"/>
        </w:rPr>
        <w:t>和其他部分</w:t>
      </w:r>
      <w:r>
        <w:rPr>
          <w:rFonts w:hint="default" w:ascii="Times New Roman" w:hAnsi="Times New Roman"/>
          <w:color w:val="auto"/>
          <w:highlight w:val="none"/>
        </w:rPr>
        <w:t>分值计算保留小数点后两位，小数点后第三位</w:t>
      </w:r>
      <w:r>
        <w:rPr>
          <w:rFonts w:hint="eastAsia" w:ascii="宋体" w:hAnsi="宋体" w:eastAsia="宋体" w:cs="宋体"/>
          <w:color w:val="auto"/>
          <w:highlight w:val="none"/>
        </w:rPr>
        <w:t>“</w:t>
      </w:r>
      <w:r>
        <w:rPr>
          <w:rFonts w:hint="default" w:ascii="Times New Roman" w:hAnsi="Times New Roman"/>
          <w:color w:val="auto"/>
          <w:highlight w:val="none"/>
        </w:rPr>
        <w:t>四舍五入</w:t>
      </w:r>
      <w:r>
        <w:rPr>
          <w:rFonts w:hint="eastAsia" w:ascii="宋体" w:hAnsi="宋体" w:eastAsia="宋体" w:cs="宋体"/>
          <w:color w:val="auto"/>
          <w:highlight w:val="none"/>
        </w:rPr>
        <w:t>”</w:t>
      </w:r>
      <w:r>
        <w:rPr>
          <w:rFonts w:ascii="Times New Roman" w:hAnsi="Times New Roman"/>
          <w:color w:val="auto"/>
          <w:highlight w:val="none"/>
        </w:rPr>
        <w:t>。</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3.2.3 投标人</w:t>
      </w:r>
      <w:r>
        <w:rPr>
          <w:rFonts w:hint="default" w:ascii="Times New Roman" w:hAnsi="Times New Roman"/>
          <w:color w:val="auto"/>
          <w:highlight w:val="none"/>
        </w:rPr>
        <w:t>的商务</w:t>
      </w:r>
      <w:r>
        <w:rPr>
          <w:rFonts w:hint="default" w:ascii="Times New Roman" w:hAnsi="Times New Roman"/>
          <w:color w:val="auto"/>
          <w:highlight w:val="none"/>
          <w:lang w:eastAsia="zh-CN"/>
        </w:rPr>
        <w:t>、</w:t>
      </w:r>
      <w:r>
        <w:rPr>
          <w:rFonts w:hint="default" w:ascii="Times New Roman" w:hAnsi="Times New Roman"/>
          <w:color w:val="auto"/>
          <w:highlight w:val="none"/>
        </w:rPr>
        <w:t>技术</w:t>
      </w:r>
      <w:r>
        <w:rPr>
          <w:rFonts w:hint="default" w:ascii="Times New Roman" w:hAnsi="Times New Roman"/>
          <w:color w:val="auto"/>
          <w:highlight w:val="none"/>
          <w:lang w:val="en-US" w:eastAsia="zh-CN"/>
        </w:rPr>
        <w:t>和其他部分</w:t>
      </w:r>
      <w:r>
        <w:rPr>
          <w:rFonts w:ascii="Times New Roman" w:hAnsi="Times New Roman"/>
          <w:color w:val="auto"/>
          <w:highlight w:val="none"/>
        </w:rPr>
        <w:t>得分=A+B+D。</w:t>
      </w:r>
    </w:p>
    <w:p>
      <w:pPr>
        <w:spacing w:before="240" w:after="240" w:line="240" w:lineRule="atLeast"/>
        <w:ind w:firstLine="0" w:firstLineChars="0"/>
        <w:outlineLvl w:val="2"/>
        <w:rPr>
          <w:rFonts w:hint="default" w:ascii="Times New Roman" w:hAnsi="Times New Roman" w:eastAsia="黑体"/>
          <w:color w:val="auto"/>
          <w:highlight w:val="none"/>
        </w:rPr>
      </w:pPr>
      <w:bookmarkStart w:id="314" w:name="_Toc7606"/>
      <w:bookmarkStart w:id="315" w:name="_Toc491883165"/>
      <w:r>
        <w:rPr>
          <w:rFonts w:hint="default" w:ascii="Times New Roman" w:hAnsi="Times New Roman" w:eastAsia="黑体"/>
          <w:color w:val="auto"/>
          <w:highlight w:val="none"/>
        </w:rPr>
        <w:t>3.3 第二个信封开标</w:t>
      </w:r>
      <w:bookmarkEnd w:id="314"/>
    </w:p>
    <w:p>
      <w:pPr>
        <w:spacing w:line="400" w:lineRule="exact"/>
        <w:ind w:firstLine="480"/>
        <w:outlineLvl w:val="9"/>
        <w:rPr>
          <w:rFonts w:ascii="Times New Roman" w:hAnsi="Times New Roman"/>
          <w:color w:val="auto"/>
          <w:highlight w:val="none"/>
        </w:rPr>
      </w:pPr>
      <w:r>
        <w:rPr>
          <w:rFonts w:hint="default" w:ascii="Times New Roman" w:hAnsi="Times New Roman"/>
          <w:color w:val="auto"/>
          <w:highlight w:val="none"/>
        </w:rPr>
        <w:t>第一个信封（商务及技术文件）评审结束后，招标人将按照第二章</w:t>
      </w:r>
      <w:r>
        <w:rPr>
          <w:rFonts w:hint="eastAsia" w:ascii="宋体" w:hAnsi="宋体" w:eastAsia="宋体" w:cs="宋体"/>
          <w:color w:val="auto"/>
          <w:highlight w:val="none"/>
        </w:rPr>
        <w:t>“</w:t>
      </w:r>
      <w:r>
        <w:rPr>
          <w:rFonts w:hint="default" w:ascii="Times New Roman" w:hAnsi="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olor w:val="auto"/>
          <w:highlight w:val="none"/>
        </w:rPr>
        <w:t>第5.1款规定的时间和地点对通过投标文件第一个信封（商务及技术文件）评审的投标文件第二个信封（报价文件）进行开标。</w:t>
      </w:r>
    </w:p>
    <w:p>
      <w:pPr>
        <w:spacing w:before="240" w:after="240" w:line="240" w:lineRule="atLeast"/>
        <w:ind w:firstLine="0" w:firstLineChars="0"/>
        <w:outlineLvl w:val="2"/>
        <w:rPr>
          <w:rFonts w:hint="default" w:ascii="Times New Roman" w:hAnsi="Times New Roman" w:eastAsia="黑体"/>
          <w:color w:val="auto"/>
          <w:highlight w:val="none"/>
        </w:rPr>
      </w:pPr>
      <w:bookmarkStart w:id="316" w:name="_Toc14007"/>
      <w:r>
        <w:rPr>
          <w:rFonts w:hint="default" w:ascii="Times New Roman" w:hAnsi="Times New Roman" w:eastAsia="黑体"/>
          <w:color w:val="auto"/>
          <w:highlight w:val="none"/>
        </w:rPr>
        <w:t>3.</w:t>
      </w:r>
      <w:r>
        <w:rPr>
          <w:rFonts w:hint="default" w:ascii="Times New Roman" w:hAnsi="Times New Roman" w:eastAsia="黑体"/>
          <w:color w:val="auto"/>
          <w:highlight w:val="none"/>
          <w:lang w:val="en-US" w:eastAsia="zh-CN"/>
        </w:rPr>
        <w:t>4</w:t>
      </w:r>
      <w:r>
        <w:rPr>
          <w:rFonts w:hint="default" w:ascii="Times New Roman" w:hAnsi="Times New Roman" w:eastAsia="黑体"/>
          <w:color w:val="auto"/>
          <w:highlight w:val="none"/>
        </w:rPr>
        <w:t>第二个信封初步评审</w:t>
      </w:r>
      <w:bookmarkEnd w:id="316"/>
    </w:p>
    <w:p>
      <w:pPr>
        <w:spacing w:line="400" w:lineRule="exact"/>
        <w:ind w:firstLine="480"/>
        <w:outlineLvl w:val="9"/>
        <w:rPr>
          <w:rFonts w:hint="default" w:ascii="Times New Roman" w:hAnsi="Times New Roman"/>
          <w:color w:val="auto"/>
          <w:highlight w:val="none"/>
        </w:rPr>
      </w:pPr>
      <w:r>
        <w:rPr>
          <w:rFonts w:hint="default" w:ascii="Times New Roman" w:hAnsi="Times New Roman"/>
          <w:color w:val="auto"/>
          <w:highlight w:val="none"/>
        </w:rPr>
        <w:t>3.</w:t>
      </w:r>
      <w:r>
        <w:rPr>
          <w:rFonts w:hint="default" w:ascii="Times New Roman" w:hAnsi="Times New Roman"/>
          <w:color w:val="auto"/>
          <w:highlight w:val="none"/>
          <w:lang w:val="en-US" w:eastAsia="zh-CN"/>
        </w:rPr>
        <w:t>4</w:t>
      </w:r>
      <w:r>
        <w:rPr>
          <w:rFonts w:hint="default" w:ascii="Times New Roman" w:hAnsi="Times New Roman"/>
          <w:color w:val="auto"/>
          <w:highlight w:val="none"/>
        </w:rPr>
        <w:t>.1 评标委员会依据本章第2.1.1项、第2.1.3项规定的评审标准对投标文件第二个信封（报价文件）进行初步评审。有一项不符合评审标准的，评标委员会应否决其投标。</w:t>
      </w:r>
    </w:p>
    <w:p>
      <w:pPr>
        <w:spacing w:line="400" w:lineRule="exact"/>
        <w:ind w:firstLine="480"/>
        <w:outlineLvl w:val="9"/>
        <w:rPr>
          <w:rFonts w:hint="default" w:ascii="Times New Roman" w:hAnsi="Times New Roman"/>
          <w:color w:val="auto"/>
          <w:highlight w:val="none"/>
        </w:rPr>
      </w:pPr>
      <w:r>
        <w:rPr>
          <w:rFonts w:hint="default" w:ascii="Times New Roman" w:hAnsi="Times New Roman"/>
          <w:color w:val="auto"/>
          <w:highlight w:val="none"/>
        </w:rPr>
        <w:t>3.</w:t>
      </w:r>
      <w:r>
        <w:rPr>
          <w:rFonts w:hint="default" w:ascii="Times New Roman" w:hAnsi="Times New Roman"/>
          <w:color w:val="auto"/>
          <w:highlight w:val="none"/>
          <w:lang w:val="en-US" w:eastAsia="zh-CN"/>
        </w:rPr>
        <w:t>4</w:t>
      </w:r>
      <w:r>
        <w:rPr>
          <w:rFonts w:hint="default" w:ascii="Times New Roman" w:hAnsi="Times New Roman"/>
          <w:color w:val="auto"/>
          <w:highlight w:val="none"/>
        </w:rPr>
        <w:t>.2 投标报价有算术错误及其他错误的，评标委员会按以下原则要求投标人对投标报价进行修正，并要求投标人书面澄清确认。投标人拒不澄清确认的，评标委员会应当否决其投标：</w:t>
      </w:r>
    </w:p>
    <w:p>
      <w:pPr>
        <w:spacing w:line="400" w:lineRule="exact"/>
        <w:ind w:firstLine="480"/>
        <w:outlineLvl w:val="9"/>
        <w:rPr>
          <w:rFonts w:hint="default" w:ascii="Times New Roman" w:hAnsi="Times New Roman"/>
          <w:color w:val="auto"/>
          <w:highlight w:val="none"/>
        </w:rPr>
      </w:pPr>
      <w:r>
        <w:rPr>
          <w:rFonts w:hint="default" w:ascii="Times New Roman" w:hAnsi="Times New Roman"/>
          <w:color w:val="auto"/>
          <w:highlight w:val="none"/>
        </w:rPr>
        <w:t>（1）投标文件中的大写金额与小写金额不一致的，以大写金额为准；</w:t>
      </w:r>
    </w:p>
    <w:p>
      <w:pPr>
        <w:spacing w:line="400" w:lineRule="exact"/>
        <w:ind w:firstLine="480"/>
        <w:outlineLvl w:val="9"/>
        <w:rPr>
          <w:rFonts w:hint="default" w:ascii="Times New Roman" w:hAnsi="Times New Roman"/>
          <w:color w:val="auto"/>
          <w:highlight w:val="none"/>
        </w:rPr>
      </w:pPr>
      <w:r>
        <w:rPr>
          <w:rFonts w:hint="default" w:ascii="Times New Roman" w:hAnsi="Times New Roman"/>
          <w:color w:val="auto"/>
          <w:highlight w:val="none"/>
        </w:rPr>
        <w:t>（2）总价金额与单价金额不一致的，以单价金额为准，但单价金额小数点有明显错误的除外；</w:t>
      </w:r>
    </w:p>
    <w:p>
      <w:pPr>
        <w:spacing w:line="400" w:lineRule="exact"/>
        <w:ind w:firstLine="480"/>
        <w:outlineLvl w:val="9"/>
        <w:rPr>
          <w:rFonts w:hint="default" w:ascii="Times New Roman" w:hAnsi="Times New Roman"/>
          <w:color w:val="auto"/>
          <w:highlight w:val="none"/>
        </w:rPr>
      </w:pPr>
      <w:r>
        <w:rPr>
          <w:rFonts w:hint="default" w:ascii="Times New Roman" w:hAnsi="Times New Roman"/>
          <w:color w:val="auto"/>
          <w:highlight w:val="none"/>
        </w:rPr>
        <w:t>（3）投标报价为各分项报价金额之和，投标报价与分项报价的合价不一致的，应以各分项合价累计数为准，修正投标报价；</w:t>
      </w:r>
    </w:p>
    <w:p>
      <w:pPr>
        <w:spacing w:line="400" w:lineRule="exact"/>
        <w:ind w:firstLine="480"/>
        <w:outlineLvl w:val="9"/>
        <w:rPr>
          <w:rFonts w:hint="default" w:ascii="Times New Roman" w:hAnsi="Times New Roman"/>
          <w:color w:val="auto"/>
          <w:highlight w:val="none"/>
        </w:rPr>
      </w:pPr>
      <w:r>
        <w:rPr>
          <w:rFonts w:hint="default" w:ascii="Times New Roman" w:hAnsi="Times New Roman"/>
          <w:color w:val="auto"/>
          <w:highlight w:val="none"/>
        </w:rPr>
        <w:t>（4）如果分项报价中存在缺漏项，则视为缺漏项价格已包含在其他分项报价之中。</w:t>
      </w:r>
    </w:p>
    <w:p>
      <w:pPr>
        <w:spacing w:line="400" w:lineRule="exact"/>
        <w:ind w:firstLine="480"/>
        <w:outlineLvl w:val="9"/>
        <w:rPr>
          <w:rFonts w:hint="default" w:ascii="Times New Roman" w:hAnsi="Times New Roman"/>
          <w:color w:val="auto"/>
          <w:highlight w:val="none"/>
        </w:rPr>
      </w:pPr>
      <w:r>
        <w:rPr>
          <w:rFonts w:hint="default" w:ascii="Times New Roman" w:hAnsi="Times New Roman"/>
          <w:color w:val="auto"/>
          <w:highlight w:val="none"/>
        </w:rPr>
        <w:t>3.</w:t>
      </w:r>
      <w:r>
        <w:rPr>
          <w:rFonts w:hint="default" w:ascii="Times New Roman" w:hAnsi="Times New Roman"/>
          <w:color w:val="auto"/>
          <w:highlight w:val="none"/>
          <w:lang w:val="en-US" w:eastAsia="zh-CN"/>
        </w:rPr>
        <w:t>4</w:t>
      </w:r>
      <w:r>
        <w:rPr>
          <w:rFonts w:hint="default" w:ascii="Times New Roman" w:hAnsi="Times New Roman"/>
          <w:color w:val="auto"/>
          <w:highlight w:val="none"/>
        </w:rPr>
        <w:t>.3 修正后的最终投标报价若超过最高投标限价（如有），评标委员会应否决其投标。</w:t>
      </w:r>
    </w:p>
    <w:p>
      <w:pPr>
        <w:spacing w:line="400" w:lineRule="exact"/>
        <w:ind w:firstLine="480"/>
        <w:outlineLvl w:val="9"/>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3.4.4 修正后的最终投标报价仅作为签订合同的一个依据，不参与评标价得分的计算。</w:t>
      </w:r>
    </w:p>
    <w:p>
      <w:pPr>
        <w:spacing w:before="240" w:after="240" w:line="240" w:lineRule="atLeast"/>
        <w:ind w:firstLine="0" w:firstLineChars="0"/>
        <w:outlineLvl w:val="2"/>
        <w:rPr>
          <w:rFonts w:hint="default" w:ascii="Times New Roman" w:hAnsi="Times New Roman" w:eastAsia="黑体"/>
          <w:color w:val="auto"/>
          <w:highlight w:val="none"/>
          <w:lang w:val="en-US" w:eastAsia="zh-CN"/>
        </w:rPr>
      </w:pPr>
      <w:bookmarkStart w:id="317" w:name="_Toc8331"/>
      <w:r>
        <w:rPr>
          <w:rFonts w:hint="default" w:ascii="Times New Roman" w:hAnsi="Times New Roman" w:eastAsia="黑体"/>
          <w:color w:val="auto"/>
          <w:highlight w:val="none"/>
          <w:lang w:val="en-US" w:eastAsia="zh-CN"/>
        </w:rPr>
        <w:t>3.5 第二个信封详细评审</w:t>
      </w:r>
      <w:bookmarkEnd w:id="317"/>
    </w:p>
    <w:p>
      <w:pPr>
        <w:spacing w:line="400" w:lineRule="exact"/>
        <w:ind w:firstLine="480"/>
        <w:outlineLvl w:val="9"/>
        <w:rPr>
          <w:rFonts w:hint="default" w:ascii="Times New Roman" w:hAnsi="Times New Roman"/>
          <w:color w:val="auto"/>
          <w:highlight w:val="none"/>
        </w:rPr>
      </w:pPr>
      <w:r>
        <w:rPr>
          <w:rFonts w:hint="default" w:ascii="Times New Roman" w:hAnsi="Times New Roman"/>
          <w:color w:val="auto"/>
          <w:highlight w:val="none"/>
        </w:rPr>
        <w:t>3.5.1 评标委员会按本章第2.2.4（3）目规定的评审因素和分值对评标价计算出得分C。评标价得分分值计算保留小数点后两位，小数点后第三位</w:t>
      </w:r>
      <w:r>
        <w:rPr>
          <w:rFonts w:hint="eastAsia" w:ascii="宋体" w:hAnsi="宋体" w:eastAsia="宋体" w:cs="宋体"/>
          <w:color w:val="auto"/>
          <w:highlight w:val="none"/>
        </w:rPr>
        <w:t>“</w:t>
      </w:r>
      <w:r>
        <w:rPr>
          <w:rFonts w:hint="default" w:ascii="Times New Roman" w:hAnsi="Times New Roman"/>
          <w:color w:val="auto"/>
          <w:highlight w:val="none"/>
        </w:rPr>
        <w:t>四舍五入</w:t>
      </w:r>
      <w:r>
        <w:rPr>
          <w:rFonts w:hint="eastAsia" w:ascii="宋体" w:hAnsi="宋体" w:eastAsia="宋体" w:cs="宋体"/>
          <w:color w:val="auto"/>
          <w:highlight w:val="none"/>
        </w:rPr>
        <w:t>”</w:t>
      </w:r>
      <w:r>
        <w:rPr>
          <w:rFonts w:hint="default" w:ascii="Times New Roman" w:hAnsi="Times New Roman"/>
          <w:color w:val="auto"/>
          <w:highlight w:val="none"/>
        </w:rPr>
        <w:t>。</w:t>
      </w:r>
    </w:p>
    <w:p>
      <w:pPr>
        <w:spacing w:line="400" w:lineRule="exact"/>
        <w:ind w:firstLine="480"/>
        <w:outlineLvl w:val="9"/>
        <w:rPr>
          <w:rFonts w:hint="default" w:ascii="Times New Roman" w:hAnsi="Times New Roman"/>
          <w:color w:val="auto"/>
          <w:highlight w:val="none"/>
        </w:rPr>
      </w:pPr>
      <w:r>
        <w:rPr>
          <w:rFonts w:hint="default" w:ascii="Times New Roman" w:hAnsi="Times New Roman"/>
          <w:color w:val="auto"/>
          <w:highlight w:val="none"/>
        </w:rPr>
        <w:t>3.5.2 投标人综合得分=投标人的商务和技术得分+C。</w:t>
      </w:r>
    </w:p>
    <w:p>
      <w:pPr>
        <w:spacing w:line="400" w:lineRule="exact"/>
        <w:ind w:firstLine="480"/>
        <w:outlineLvl w:val="9"/>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 xml:space="preserve">3.5.3 </w:t>
      </w:r>
      <w:r>
        <w:rPr>
          <w:rFonts w:hint="default" w:ascii="Times New Roman" w:hAnsi="Times New Roman" w:cs="Times New Roman"/>
          <w:color w:val="auto"/>
          <w:highlight w:val="none"/>
          <w:lang w:val="en-US" w:eastAsia="zh-CN"/>
        </w:rPr>
        <w:t>评标委员会发现投标人的报价明显低于其他投标报价，是有可能影响履约的异常低价，应按本章3.</w:t>
      </w:r>
      <w:r>
        <w:rPr>
          <w:rFonts w:hint="eastAsia" w:ascii="Times New Roman" w:hAnsi="Times New Roman" w:cs="Times New Roman"/>
          <w:color w:val="auto"/>
          <w:highlight w:val="none"/>
          <w:lang w:val="en-US" w:eastAsia="zh-CN"/>
        </w:rPr>
        <w:t>7</w:t>
      </w:r>
      <w:r>
        <w:rPr>
          <w:rFonts w:hint="default" w:ascii="Times New Roman" w:hAnsi="Times New Roman" w:cs="Times New Roman"/>
          <w:color w:val="auto"/>
          <w:highlight w:val="none"/>
          <w:lang w:val="en-US" w:eastAsia="zh-CN"/>
        </w:rPr>
        <w:t>款的规定向投标人发出澄清，要求该投标人作出书面说明该报价的合理性并提供相应证明材料。当投标人不能合理说明并证明其报价的合理性的，评标委员会应以少数服从多数的原则否决其投标。</w:t>
      </w:r>
    </w:p>
    <w:p>
      <w:pPr>
        <w:keepNext/>
        <w:keepLines/>
        <w:widowControl w:val="0"/>
        <w:spacing w:before="240" w:after="240" w:line="240" w:lineRule="atLeast"/>
        <w:ind w:firstLine="0" w:firstLineChars="0"/>
        <w:jc w:val="both"/>
        <w:outlineLvl w:val="2"/>
        <w:rPr>
          <w:rFonts w:hint="default" w:ascii="Times New Roman" w:hAnsi="Times New Roman" w:eastAsia="黑体" w:cs="Times New Roman"/>
          <w:b w:val="0"/>
          <w:bCs/>
          <w:color w:val="auto"/>
          <w:kern w:val="44"/>
          <w:sz w:val="24"/>
          <w:szCs w:val="24"/>
          <w:highlight w:val="none"/>
          <w:lang w:val="en-US" w:eastAsia="zh-CN" w:bidi="ar-SA"/>
        </w:rPr>
      </w:pPr>
      <w:bookmarkStart w:id="318" w:name="_Toc6650"/>
      <w:r>
        <w:rPr>
          <w:rFonts w:hint="default" w:ascii="Times New Roman" w:hAnsi="Times New Roman" w:eastAsia="黑体" w:cs="Times New Roman"/>
          <w:b w:val="0"/>
          <w:bCs/>
          <w:color w:val="auto"/>
          <w:kern w:val="44"/>
          <w:sz w:val="24"/>
          <w:szCs w:val="24"/>
          <w:highlight w:val="none"/>
          <w:lang w:val="en-US" w:eastAsia="zh-CN" w:bidi="ar-SA"/>
        </w:rPr>
        <w:t>3.</w:t>
      </w:r>
      <w:r>
        <w:rPr>
          <w:rFonts w:hint="eastAsia" w:ascii="Times New Roman" w:hAnsi="Times New Roman" w:eastAsia="黑体" w:cs="Times New Roman"/>
          <w:b w:val="0"/>
          <w:bCs/>
          <w:color w:val="auto"/>
          <w:kern w:val="44"/>
          <w:sz w:val="24"/>
          <w:szCs w:val="24"/>
          <w:highlight w:val="none"/>
          <w:lang w:val="en-US" w:eastAsia="zh-CN" w:bidi="ar-SA"/>
        </w:rPr>
        <w:t>6</w:t>
      </w:r>
      <w:r>
        <w:rPr>
          <w:rFonts w:hint="default" w:ascii="Times New Roman" w:hAnsi="Times New Roman" w:eastAsia="黑体" w:cs="Times New Roman"/>
          <w:b w:val="0"/>
          <w:bCs/>
          <w:color w:val="auto"/>
          <w:kern w:val="44"/>
          <w:sz w:val="24"/>
          <w:szCs w:val="24"/>
          <w:highlight w:val="none"/>
          <w:lang w:val="en-US" w:eastAsia="zh-CN" w:bidi="ar-SA"/>
        </w:rPr>
        <w:t xml:space="preserve"> 投标文件相关信息的核查</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rPr>
        <w:t>.1 评标委员会应对在评标过程中发现的投标人与投标人之间、投标人与招标人之间存在的串通投标的情形进行评审和认定。投标人存在串通投标、弄虚作假、行贿等违法行为的，评标委员会应否决其投标。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（1）有下列情形之一的，属于投标人相互串通投标：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a.投标人之间协商投标报价等投标文件的实质性内容；</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b.投标人之间约定中标人；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c.投标人之间约定部分投标人放弃投标或中标；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d.属于同一集团、协会、商会等组织成员的投标人按照该组织要求协同投标；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e.投标人之间为谋取中标或排斥特定投标人而采取的其他联合行动。</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（2）有下列情形之一的，视为投标人相互串通投标：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a.不同投标人的投标文件由同一单位或个人编制；</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b.不同投标人委托同一单位或个人办理投标事宜；</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c.不同投标人的投标文件载明的项目管理成员为同一人；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d.不同投标人的投标文件异常一致或投标报价呈规律性差异；</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e.不同投标人的投标文件相互混装；</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f.不同投标人的投标保证金从同一单位或个人的账户转出。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（3）有下列情形之一的，属于招标人与投标人串通投标：</w:t>
      </w:r>
    </w:p>
    <w:p>
      <w:pPr>
        <w:spacing w:line="400" w:lineRule="atLeast"/>
        <w:ind w:firstLine="480" w:firstLineChars="200"/>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a.招标人在开标前开启投标文件并将有关信息泄露给其他投标人</w:t>
      </w:r>
      <w:r>
        <w:rPr>
          <w:rFonts w:hint="eastAsia" w:ascii="Times New Roman" w:hAnsi="Times New Roman" w:cs="Times New Roman"/>
          <w:color w:val="auto"/>
          <w:sz w:val="24"/>
          <w:szCs w:val="24"/>
          <w:highlight w:val="none"/>
          <w:lang w:eastAsia="zh-CN"/>
        </w:rPr>
        <w:t>；</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b.招标人直接或间接向投标人泄露标底、评标委员会成员等信息；</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c.招标人明示或暗示投标人压低或抬高投标报价；</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d.招标人授意投标人撤换、修改投标文件；</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e.招标人明示或暗示投标人为特定投标人中标提供方便；</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f.招标人与投标人为谋求特定投标人中标而采取的其他串通行为。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（4）投标人有下列情形之一的，属于弄虚作假的行为：</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a.使用通过受让或租借等方式获取的资格、资质证书投标；</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b.使用伪造、变造的许可证件；</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c.提供虚假的财务状况或业绩；</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d.提供虚假的项目负责人或主要技术人员简历、劳动关系证明；</w:t>
      </w:r>
    </w:p>
    <w:p>
      <w:pPr>
        <w:spacing w:line="400" w:lineRule="atLeast"/>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e.提供虚假的信用状况；</w:t>
      </w:r>
    </w:p>
    <w:p>
      <w:pPr>
        <w:spacing w:before="0" w:after="0" w:line="400" w:lineRule="atLeast"/>
        <w:ind w:firstLine="480" w:firstLineChars="200"/>
        <w:outlineLvl w:val="9"/>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 w:val="24"/>
          <w:szCs w:val="24"/>
          <w:highlight w:val="none"/>
        </w:rPr>
        <w:t>f.其他弄虚作假的行为。</w:t>
      </w:r>
    </w:p>
    <w:p>
      <w:pPr>
        <w:spacing w:before="240" w:after="240" w:line="240" w:lineRule="atLeast"/>
        <w:ind w:firstLine="0" w:firstLineChars="0"/>
        <w:outlineLvl w:val="2"/>
        <w:rPr>
          <w:rFonts w:hint="default" w:ascii="Times New Roman" w:hAnsi="Times New Roman" w:eastAsia="黑体"/>
          <w:color w:val="auto"/>
          <w:highlight w:val="none"/>
        </w:rPr>
      </w:pPr>
      <w:r>
        <w:rPr>
          <w:rFonts w:hint="default" w:ascii="Times New Roman" w:hAnsi="Times New Roman" w:eastAsia="黑体"/>
          <w:color w:val="auto"/>
          <w:highlight w:val="none"/>
          <w:lang w:val="en-US" w:eastAsia="zh-CN"/>
        </w:rPr>
        <w:t>3.</w:t>
      </w:r>
      <w:r>
        <w:rPr>
          <w:rFonts w:hint="eastAsia" w:ascii="Times New Roman" w:hAnsi="Times New Roman" w:eastAsia="黑体"/>
          <w:color w:val="auto"/>
          <w:highlight w:val="none"/>
          <w:lang w:val="en-US" w:eastAsia="zh-CN"/>
        </w:rPr>
        <w:t>7</w:t>
      </w:r>
      <w:r>
        <w:rPr>
          <w:rFonts w:hint="default" w:ascii="Times New Roman" w:hAnsi="Times New Roman" w:eastAsia="黑体"/>
          <w:color w:val="auto"/>
          <w:highlight w:val="none"/>
        </w:rPr>
        <w:t>投标文件的澄清</w:t>
      </w:r>
      <w:bookmarkEnd w:id="315"/>
      <w:bookmarkEnd w:id="318"/>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lang w:val="en-US" w:eastAsia="zh-CN"/>
        </w:rPr>
        <w:t>7</w:t>
      </w:r>
      <w:r>
        <w:rPr>
          <w:rFonts w:ascii="Times New Roman" w:hAnsi="Times New Roman"/>
          <w:color w:val="auto"/>
          <w:highlight w:val="none"/>
        </w:rPr>
        <w:t>.1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lang w:val="en-US" w:eastAsia="zh-CN"/>
        </w:rPr>
        <w:t>7</w:t>
      </w:r>
      <w:r>
        <w:rPr>
          <w:rFonts w:ascii="Times New Roman" w:hAnsi="Times New Roman"/>
          <w:color w:val="auto"/>
          <w:highlight w:val="none"/>
        </w:rPr>
        <w:t>.2 澄清、说明或补正不得超出投标文件的范围且不得改变投标文件的实质性内容，并构成投标文件的组成部分。</w:t>
      </w:r>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lang w:val="en-US" w:eastAsia="zh-CN"/>
        </w:rPr>
        <w:t>7</w:t>
      </w:r>
      <w:r>
        <w:rPr>
          <w:rFonts w:ascii="Times New Roman" w:hAnsi="Times New Roman"/>
          <w:color w:val="auto"/>
          <w:highlight w:val="none"/>
        </w:rPr>
        <w:t>.3 评标委员会对投标人提交的澄清、说明或补正有疑问的，可以要求投标人进一步澄清、说明或补正，直至满足评标委员会的要求。</w:t>
      </w:r>
    </w:p>
    <w:p>
      <w:pPr>
        <w:spacing w:before="240" w:after="240" w:line="240" w:lineRule="atLeast"/>
        <w:ind w:firstLine="0" w:firstLineChars="0"/>
        <w:outlineLvl w:val="2"/>
        <w:rPr>
          <w:rFonts w:hint="default" w:ascii="Times New Roman" w:hAnsi="Times New Roman" w:eastAsia="黑体"/>
          <w:color w:val="auto"/>
          <w:highlight w:val="none"/>
        </w:rPr>
      </w:pPr>
      <w:bookmarkStart w:id="319" w:name="_Toc18586"/>
      <w:bookmarkStart w:id="320" w:name="_Toc491883166"/>
      <w:r>
        <w:rPr>
          <w:rFonts w:hint="default" w:ascii="Times New Roman" w:hAnsi="Times New Roman" w:eastAsia="黑体"/>
          <w:color w:val="auto"/>
          <w:highlight w:val="none"/>
        </w:rPr>
        <w:t>3.</w:t>
      </w:r>
      <w:r>
        <w:rPr>
          <w:rFonts w:hint="eastAsia" w:ascii="Times New Roman" w:hAnsi="Times New Roman" w:eastAsia="黑体"/>
          <w:color w:val="auto"/>
          <w:highlight w:val="none"/>
          <w:lang w:val="en-US" w:eastAsia="zh-CN"/>
        </w:rPr>
        <w:t>8</w:t>
      </w:r>
      <w:r>
        <w:rPr>
          <w:rFonts w:hint="default" w:ascii="Times New Roman" w:hAnsi="Times New Roman" w:eastAsia="黑体"/>
          <w:color w:val="auto"/>
          <w:highlight w:val="none"/>
        </w:rPr>
        <w:t xml:space="preserve"> 评标结果</w:t>
      </w:r>
      <w:bookmarkEnd w:id="319"/>
      <w:bookmarkEnd w:id="320"/>
    </w:p>
    <w:p>
      <w:pPr>
        <w:spacing w:line="400" w:lineRule="exact"/>
        <w:ind w:firstLine="480" w:firstLineChars="200"/>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lang w:val="en-US" w:eastAsia="zh-CN"/>
        </w:rPr>
        <w:t>8</w:t>
      </w:r>
      <w:r>
        <w:rPr>
          <w:rFonts w:ascii="Times New Roman" w:hAnsi="Times New Roman"/>
          <w:color w:val="auto"/>
          <w:highlight w:val="none"/>
        </w:rPr>
        <w:t>.1 除第二章</w:t>
      </w:r>
      <w:r>
        <w:rPr>
          <w:rFonts w:hint="eastAsia" w:ascii="宋体" w:hAnsi="宋体" w:eastAsia="宋体" w:cs="宋体"/>
          <w:color w:val="auto"/>
          <w:highlight w:val="none"/>
        </w:rPr>
        <w:t>“</w:t>
      </w:r>
      <w:r>
        <w:rPr>
          <w:rFonts w:ascii="Times New Roman" w:hAnsi="Times New Roman"/>
          <w:color w:val="auto"/>
          <w:highlight w:val="none"/>
        </w:rPr>
        <w:t>投标人须知</w:t>
      </w:r>
      <w:r>
        <w:rPr>
          <w:rFonts w:hint="eastAsia" w:ascii="宋体" w:hAnsi="宋体" w:eastAsia="宋体" w:cs="宋体"/>
          <w:color w:val="auto"/>
          <w:highlight w:val="none"/>
        </w:rPr>
        <w:t>”</w:t>
      </w:r>
      <w:r>
        <w:rPr>
          <w:rFonts w:ascii="Times New Roman" w:hAnsi="Times New Roman"/>
          <w:color w:val="auto"/>
          <w:highlight w:val="none"/>
        </w:rPr>
        <w:t>前附表授权直接确定中标人外，评标委员会按照得分由高到低的顺序推荐中标候选人，并标明排序。</w:t>
      </w:r>
    </w:p>
    <w:p>
      <w:pPr>
        <w:pageBreakBefore w:val="0"/>
        <w:kinsoku/>
        <w:wordWrap w:val="0"/>
        <w:bidi w:val="0"/>
        <w:spacing w:line="400" w:lineRule="exact"/>
        <w:ind w:firstLine="480" w:firstLineChars="200"/>
        <w:jc w:val="both"/>
        <w:rPr>
          <w:rFonts w:hint="default" w:ascii="Times New Roman" w:hAnsi="Times New Roman" w:cs="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lang w:val="en-US" w:eastAsia="zh-CN"/>
        </w:rPr>
        <w:t>8</w:t>
      </w:r>
      <w:r>
        <w:rPr>
          <w:rFonts w:ascii="Times New Roman" w:hAnsi="Times New Roman"/>
          <w:color w:val="auto"/>
          <w:highlight w:val="none"/>
        </w:rPr>
        <w:t>.2 评标委员会完成评标后，应当向招标人提交评标报告。</w:t>
      </w:r>
    </w:p>
    <w:p>
      <w:pPr>
        <w:pageBreakBefore w:val="0"/>
        <w:kinsoku/>
        <w:wordWrap w:val="0"/>
        <w:bidi w:val="0"/>
        <w:jc w:val="center"/>
        <w:outlineLvl w:val="9"/>
        <w:rPr>
          <w:rFonts w:hint="default" w:ascii="Times New Roman" w:hAnsi="Times New Roman" w:cs="Times New Roman"/>
          <w:color w:val="auto"/>
          <w:highlight w:val="none"/>
        </w:rPr>
        <w:sectPr>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r>
        <w:rPr>
          <w:rFonts w:hint="default" w:ascii="Times New Roman" w:hAnsi="Times New Roman" w:cs="Times New Roman"/>
          <w:color w:val="auto"/>
          <w:highlight w:val="none"/>
        </w:rPr>
        <w:br w:type="page"/>
      </w:r>
    </w:p>
    <w:p>
      <w:pPr>
        <w:pageBreakBefore w:val="0"/>
        <w:kinsoku/>
        <w:wordWrap w:val="0"/>
        <w:bidi w:val="0"/>
        <w:spacing w:before="0" w:after="120" w:afterLines="50" w:line="240" w:lineRule="atLeast"/>
        <w:jc w:val="both"/>
        <w:outlineLvl w:val="9"/>
        <w:rPr>
          <w:rFonts w:hint="default" w:ascii="Times New Roman" w:hAnsi="Times New Roman" w:eastAsia="黑体" w:cs="Times New Roman"/>
          <w:b w:val="0"/>
          <w:color w:val="auto"/>
          <w:sz w:val="42"/>
          <w:szCs w:val="42"/>
          <w:highlight w:val="none"/>
        </w:rPr>
      </w:pPr>
      <w:bookmarkStart w:id="321" w:name="_Toc234832931"/>
      <w:bookmarkStart w:id="322" w:name="_Toc501257125"/>
    </w:p>
    <w:bookmarkEnd w:id="321"/>
    <w:bookmarkEnd w:id="322"/>
    <w:p>
      <w:pPr>
        <w:topLinePunct/>
        <w:spacing w:line="440" w:lineRule="exact"/>
        <w:ind w:right="36" w:rightChars="15"/>
        <w:jc w:val="both"/>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topLinePunct/>
        <w:spacing w:line="240" w:lineRule="atLeast"/>
        <w:ind w:right="36" w:rightChars="15" w:firstLine="0" w:firstLineChars="0"/>
        <w:jc w:val="center"/>
        <w:outlineLvl w:val="0"/>
        <w:rPr>
          <w:rFonts w:hint="default" w:ascii="Times New Roman" w:hAnsi="Times New Roman" w:eastAsia="黑体" w:cs="Times New Roman"/>
          <w:color w:val="auto"/>
          <w:sz w:val="56"/>
          <w:szCs w:val="56"/>
          <w:highlight w:val="none"/>
        </w:rPr>
      </w:pPr>
      <w:bookmarkStart w:id="323" w:name="_Toc27879"/>
      <w:r>
        <w:rPr>
          <w:rFonts w:hint="default" w:ascii="Times New Roman" w:hAnsi="Times New Roman" w:eastAsia="黑体" w:cs="Times New Roman"/>
          <w:color w:val="auto"/>
          <w:sz w:val="56"/>
          <w:szCs w:val="56"/>
          <w:highlight w:val="none"/>
        </w:rPr>
        <w:t>第</w:t>
      </w:r>
      <w:r>
        <w:rPr>
          <w:rFonts w:hint="default" w:ascii="Times New Roman" w:hAnsi="Times New Roman" w:eastAsia="黑体" w:cs="Times New Roman"/>
          <w:color w:val="auto"/>
          <w:sz w:val="56"/>
          <w:szCs w:val="56"/>
          <w:highlight w:val="none"/>
          <w:lang w:val="en-US" w:eastAsia="zh-CN"/>
        </w:rPr>
        <w:t>四</w:t>
      </w:r>
      <w:r>
        <w:rPr>
          <w:rFonts w:hint="default" w:ascii="Times New Roman" w:hAnsi="Times New Roman" w:eastAsia="黑体" w:cs="Times New Roman"/>
          <w:color w:val="auto"/>
          <w:sz w:val="56"/>
          <w:szCs w:val="56"/>
          <w:highlight w:val="none"/>
        </w:rPr>
        <w:t>章  合同条款及格式</w:t>
      </w:r>
      <w:bookmarkStart w:id="324" w:name="_Ref5272"/>
      <w:r>
        <w:rPr>
          <w:rStyle w:val="37"/>
          <w:rFonts w:hint="default" w:ascii="Times New Roman" w:hAnsi="Times New Roman" w:eastAsia="黑体" w:cs="Times New Roman"/>
          <w:color w:val="auto"/>
          <w:sz w:val="56"/>
          <w:szCs w:val="56"/>
          <w:highlight w:val="none"/>
        </w:rPr>
        <w:footnoteReference w:id="21"/>
      </w:r>
      <w:bookmarkEnd w:id="323"/>
      <w:bookmarkEnd w:id="324"/>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spacing w:line="440" w:lineRule="exact"/>
        <w:jc w:val="center"/>
        <w:rPr>
          <w:rStyle w:val="47"/>
          <w:rFonts w:hint="default" w:ascii="Times New Roman" w:hAnsi="Times New Roman" w:eastAsia="黑体" w:cs="Times New Roman"/>
          <w:color w:val="auto"/>
          <w:sz w:val="44"/>
          <w:szCs w:val="44"/>
          <w:highlight w:val="none"/>
        </w:rPr>
        <w:sectPr>
          <w:footerReference r:id="rId10" w:type="default"/>
          <w:footnotePr>
            <w:numFmt w:val="decimalEnclosedCircleChinese"/>
            <w:numRestart w:val="eachPage"/>
          </w:footnotePr>
          <w:type w:val="continuous"/>
          <w:pgSz w:w="11907" w:h="16840"/>
          <w:pgMar w:top="1588" w:right="1531" w:bottom="1644" w:left="1588" w:header="851" w:footer="851" w:gutter="0"/>
          <w:pgNumType w:fmt="decimal"/>
          <w:cols w:space="425" w:num="1"/>
          <w:docGrid w:linePitch="312" w:charSpace="0"/>
        </w:sectPr>
      </w:pPr>
    </w:p>
    <w:p>
      <w:pPr>
        <w:pStyle w:val="3"/>
        <w:jc w:val="center"/>
        <w:rPr>
          <w:rFonts w:ascii="Times New Roman" w:hAnsi="Times New Roman"/>
          <w:color w:val="auto"/>
          <w:highlight w:val="none"/>
        </w:rPr>
      </w:pPr>
      <w:bookmarkStart w:id="325" w:name="_Toc11431"/>
      <w:bookmarkStart w:id="326" w:name="_Toc491883179"/>
      <w:r>
        <w:rPr>
          <w:rFonts w:ascii="Times New Roman" w:hAnsi="Times New Roman"/>
          <w:color w:val="auto"/>
          <w:highlight w:val="none"/>
        </w:rPr>
        <w:t>第一节</w:t>
      </w:r>
      <w:r>
        <w:rPr>
          <w:rFonts w:hint="eastAsia" w:ascii="Times New Roman" w:hAnsi="Times New Roman"/>
          <w:color w:val="auto"/>
          <w:highlight w:val="none"/>
          <w:lang w:val="en-US" w:eastAsia="zh-CN"/>
        </w:rPr>
        <w:t xml:space="preserve"> </w:t>
      </w:r>
      <w:r>
        <w:rPr>
          <w:rFonts w:ascii="Times New Roman" w:hAnsi="Times New Roman"/>
          <w:color w:val="auto"/>
          <w:highlight w:val="none"/>
        </w:rPr>
        <w:t>通用合同条款</w:t>
      </w:r>
      <w:bookmarkEnd w:id="325"/>
      <w:bookmarkEnd w:id="326"/>
    </w:p>
    <w:p>
      <w:pPr>
        <w:pStyle w:val="3"/>
        <w:ind w:firstLine="105"/>
        <w:rPr>
          <w:rFonts w:ascii="Times New Roman" w:hAnsi="Times New Roman"/>
          <w:bCs/>
          <w:color w:val="auto"/>
          <w:szCs w:val="32"/>
          <w:highlight w:val="none"/>
        </w:rPr>
      </w:pPr>
      <w:bookmarkStart w:id="327" w:name="_Toc491883180"/>
      <w:bookmarkStart w:id="328" w:name="_Toc28639"/>
      <w:r>
        <w:rPr>
          <w:rFonts w:ascii="Times New Roman" w:hAnsi="Times New Roman"/>
          <w:bCs/>
          <w:color w:val="auto"/>
          <w:szCs w:val="32"/>
          <w:highlight w:val="none"/>
        </w:rPr>
        <w:t>1. 一般约定</w:t>
      </w:r>
      <w:bookmarkEnd w:id="327"/>
      <w:bookmarkEnd w:id="328"/>
    </w:p>
    <w:p>
      <w:pPr>
        <w:spacing w:before="157" w:beforeLines="50" w:after="157" w:afterLines="50" w:line="240" w:lineRule="auto"/>
        <w:ind w:firstLine="137"/>
        <w:outlineLvl w:val="2"/>
        <w:rPr>
          <w:rFonts w:ascii="Times New Roman" w:hAnsi="Times New Roman"/>
          <w:color w:val="auto"/>
          <w:highlight w:val="none"/>
        </w:rPr>
      </w:pPr>
      <w:bookmarkStart w:id="329" w:name="_Toc491883181"/>
      <w:bookmarkStart w:id="330" w:name="_Toc17785"/>
      <w:r>
        <w:rPr>
          <w:rFonts w:ascii="Times New Roman" w:hAnsi="Times New Roman"/>
          <w:color w:val="auto"/>
          <w:highlight w:val="none"/>
        </w:rPr>
        <w:t xml:space="preserve">1.1 </w:t>
      </w:r>
      <w:r>
        <w:rPr>
          <w:rFonts w:hint="default" w:ascii="Times New Roman" w:hAnsi="Times New Roman"/>
          <w:color w:val="auto"/>
          <w:highlight w:val="none"/>
        </w:rPr>
        <w:t>词语定义</w:t>
      </w:r>
      <w:bookmarkEnd w:id="329"/>
      <w:bookmarkEnd w:id="330"/>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除专用合同条款另有约定外，合同中的下列词语应具有本款所赋予的含义。</w:t>
      </w:r>
    </w:p>
    <w:p>
      <w:pPr>
        <w:spacing w:line="360" w:lineRule="auto"/>
        <w:ind w:firstLine="481" w:firstLineChars="200"/>
        <w:rPr>
          <w:rFonts w:ascii="Times New Roman" w:hAnsi="Times New Roman"/>
          <w:b/>
          <w:color w:val="auto"/>
          <w:szCs w:val="21"/>
          <w:highlight w:val="none"/>
        </w:rPr>
      </w:pPr>
      <w:r>
        <w:rPr>
          <w:rFonts w:ascii="Times New Roman" w:hAnsi="Times New Roman"/>
          <w:b/>
          <w:color w:val="auto"/>
          <w:szCs w:val="21"/>
          <w:highlight w:val="none"/>
        </w:rPr>
        <w:t xml:space="preserve">1.1.1 </w:t>
      </w:r>
      <w:r>
        <w:rPr>
          <w:rFonts w:hint="default" w:ascii="Times New Roman" w:hAnsi="Times New Roman"/>
          <w:b/>
          <w:color w:val="auto"/>
          <w:szCs w:val="21"/>
          <w:highlight w:val="none"/>
        </w:rPr>
        <w:t>合同</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1.1.1.1 </w:t>
      </w:r>
      <w:r>
        <w:rPr>
          <w:rFonts w:hint="default" w:ascii="Times New Roman" w:hAnsi="Times New Roman"/>
          <w:color w:val="auto"/>
          <w:szCs w:val="21"/>
          <w:highlight w:val="none"/>
        </w:rPr>
        <w:t>合同文件（或称合同）：指合同协议书、中标通知书、投标函、</w:t>
      </w:r>
      <w:r>
        <w:rPr>
          <w:rFonts w:ascii="Times New Roman" w:hAnsi="Times New Roman"/>
          <w:color w:val="auto"/>
          <w:szCs w:val="21"/>
          <w:highlight w:val="none"/>
        </w:rPr>
        <w:t>商务和技术偏差表</w:t>
      </w:r>
      <w:r>
        <w:rPr>
          <w:rFonts w:hint="default" w:ascii="Times New Roman" w:hAnsi="Times New Roman"/>
          <w:color w:val="auto"/>
          <w:szCs w:val="21"/>
          <w:highlight w:val="none"/>
        </w:rPr>
        <w:t>、专用合同条款、通用合同条款、供货要求、分项报价表、中标设备技术性能指标</w:t>
      </w:r>
      <w:r>
        <w:rPr>
          <w:rFonts w:hint="default" w:ascii="Times New Roman" w:hAnsi="Times New Roman" w:cs="Times New Roman"/>
          <w:color w:val="auto"/>
          <w:szCs w:val="21"/>
          <w:highlight w:val="none"/>
          <w:lang w:val="en-US" w:eastAsia="zh-CN"/>
        </w:rPr>
        <w:t>/</w:t>
      </w:r>
      <w:r>
        <w:rPr>
          <w:rFonts w:ascii="Times New Roman" w:hAnsi="Times New Roman" w:cs="Times New Roman"/>
          <w:color w:val="auto"/>
          <w:highlight w:val="none"/>
        </w:rPr>
        <w:t>中标材料质量标准</w:t>
      </w:r>
      <w:r>
        <w:rPr>
          <w:rFonts w:hint="default" w:ascii="Times New Roman" w:hAnsi="Times New Roman"/>
          <w:color w:val="auto"/>
          <w:szCs w:val="21"/>
          <w:highlight w:val="none"/>
        </w:rPr>
        <w:t>的详细描述、技术服务和质保期服务计划</w:t>
      </w:r>
      <w:r>
        <w:rPr>
          <w:rFonts w:hint="default" w:ascii="Times New Roman" w:hAnsi="Times New Roman" w:cs="Times New Roman"/>
          <w:color w:val="auto"/>
          <w:szCs w:val="21"/>
          <w:highlight w:val="none"/>
          <w:lang w:val="en-US" w:eastAsia="zh-CN"/>
        </w:rPr>
        <w:t>/</w:t>
      </w:r>
      <w:r>
        <w:rPr>
          <w:rFonts w:ascii="Times New Roman" w:hAnsi="Times New Roman" w:cs="Times New Roman"/>
          <w:color w:val="auto"/>
          <w:highlight w:val="none"/>
        </w:rPr>
        <w:t>相关服务计划</w:t>
      </w:r>
      <w:r>
        <w:rPr>
          <w:rFonts w:hint="default" w:ascii="Times New Roman" w:hAnsi="Times New Roman"/>
          <w:color w:val="auto"/>
          <w:szCs w:val="21"/>
          <w:highlight w:val="none"/>
        </w:rPr>
        <w:t>，以及其他构成合同组成部分的文件。</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1.1.1.2 合同协议书：指买方和卖方共同签署的合同协议书。</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1.1.1.3 中标通知书：指买方通知卖方中标的函件。</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1.1.1.4 投标函：指由卖方填写并签署</w:t>
      </w:r>
      <w:r>
        <w:rPr>
          <w:rFonts w:hint="default" w:ascii="Times New Roman" w:hAnsi="Times New Roman"/>
          <w:color w:val="auto"/>
          <w:szCs w:val="21"/>
          <w:highlight w:val="none"/>
        </w:rPr>
        <w:t>的，名为</w:t>
      </w:r>
      <w:r>
        <w:rPr>
          <w:rFonts w:hint="eastAsia" w:ascii="宋体" w:hAnsi="宋体" w:eastAsia="宋体" w:cs="宋体"/>
          <w:color w:val="auto"/>
          <w:szCs w:val="21"/>
          <w:highlight w:val="none"/>
        </w:rPr>
        <w:t>“</w:t>
      </w:r>
      <w:r>
        <w:rPr>
          <w:rFonts w:ascii="Times New Roman" w:hAnsi="Times New Roman"/>
          <w:color w:val="auto"/>
          <w:szCs w:val="21"/>
          <w:highlight w:val="none"/>
        </w:rPr>
        <w:t>投标函</w:t>
      </w:r>
      <w:r>
        <w:rPr>
          <w:rFonts w:hint="eastAsia" w:ascii="宋体" w:hAnsi="宋体" w:eastAsia="宋体" w:cs="宋体"/>
          <w:color w:val="auto"/>
          <w:szCs w:val="21"/>
          <w:highlight w:val="none"/>
        </w:rPr>
        <w:t>”</w:t>
      </w:r>
      <w:r>
        <w:rPr>
          <w:rFonts w:hint="default" w:ascii="Times New Roman" w:hAnsi="Times New Roman"/>
          <w:color w:val="auto"/>
          <w:szCs w:val="21"/>
          <w:highlight w:val="none"/>
        </w:rPr>
        <w:t>的函件</w:t>
      </w:r>
      <w:r>
        <w:rPr>
          <w:rFonts w:ascii="Times New Roman" w:hAnsi="Times New Roman"/>
          <w:color w:val="auto"/>
          <w:szCs w:val="21"/>
          <w:highlight w:val="none"/>
        </w:rPr>
        <w:t>。</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1.1.1.5 商务和技术偏差表：</w:t>
      </w:r>
      <w:r>
        <w:rPr>
          <w:rFonts w:hint="default" w:ascii="Times New Roman" w:hAnsi="Times New Roman"/>
          <w:color w:val="auto"/>
          <w:szCs w:val="21"/>
          <w:highlight w:val="none"/>
        </w:rPr>
        <w:t>指卖方投标文件中的商务和技术偏差表。</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1.1.1.6 </w:t>
      </w:r>
      <w:r>
        <w:rPr>
          <w:rFonts w:hint="default" w:ascii="Times New Roman" w:hAnsi="Times New Roman"/>
          <w:color w:val="auto"/>
          <w:szCs w:val="21"/>
          <w:highlight w:val="none"/>
        </w:rPr>
        <w:t>供货要求：指合同文件中名为</w:t>
      </w:r>
      <w:r>
        <w:rPr>
          <w:rFonts w:hint="eastAsia" w:ascii="宋体" w:hAnsi="宋体" w:eastAsia="宋体" w:cs="宋体"/>
          <w:color w:val="auto"/>
          <w:szCs w:val="21"/>
          <w:highlight w:val="none"/>
        </w:rPr>
        <w:t>“</w:t>
      </w:r>
      <w:r>
        <w:rPr>
          <w:rFonts w:hint="default" w:ascii="Times New Roman" w:hAnsi="Times New Roman"/>
          <w:color w:val="auto"/>
          <w:szCs w:val="21"/>
          <w:highlight w:val="none"/>
        </w:rPr>
        <w:t>供货要求</w:t>
      </w:r>
      <w:r>
        <w:rPr>
          <w:rFonts w:hint="eastAsia" w:ascii="宋体" w:hAnsi="宋体" w:eastAsia="宋体" w:cs="宋体"/>
          <w:color w:val="auto"/>
          <w:szCs w:val="21"/>
          <w:highlight w:val="none"/>
        </w:rPr>
        <w:t>”</w:t>
      </w:r>
      <w:r>
        <w:rPr>
          <w:rFonts w:hint="default" w:ascii="Times New Roman" w:hAnsi="Times New Roman"/>
          <w:color w:val="auto"/>
          <w:szCs w:val="21"/>
          <w:highlight w:val="none"/>
        </w:rPr>
        <w:t>的文件。</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1.1.1.7 </w:t>
      </w:r>
      <w:r>
        <w:rPr>
          <w:rFonts w:hint="default" w:ascii="Times New Roman" w:hAnsi="Times New Roman"/>
          <w:color w:val="auto"/>
          <w:szCs w:val="21"/>
          <w:highlight w:val="none"/>
        </w:rPr>
        <w:t>中标设备技术性能指标的详细描述：指卖方投标文件中的投标设备技术性能指标的详细描述。</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1.1.1.8 </w:t>
      </w:r>
      <w:r>
        <w:rPr>
          <w:rFonts w:hint="default" w:ascii="Times New Roman" w:hAnsi="Times New Roman"/>
          <w:color w:val="auto"/>
          <w:szCs w:val="21"/>
          <w:highlight w:val="none"/>
        </w:rPr>
        <w:t>技术服务和质保期服务计划：指卖方投标文件中的技术服务和质保期服务计划。</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1.1.1.9 </w:t>
      </w:r>
      <w:r>
        <w:rPr>
          <w:rFonts w:hint="default" w:ascii="Times New Roman" w:hAnsi="Times New Roman"/>
          <w:color w:val="auto"/>
          <w:szCs w:val="21"/>
          <w:highlight w:val="none"/>
        </w:rPr>
        <w:t>分项报价表：指卖方投标文件中的分项报价表。</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1.1.1.10 其他合同文件：指经合同双方当事人确认构成合同文件的其他文件。</w:t>
      </w:r>
    </w:p>
    <w:p>
      <w:pPr>
        <w:spacing w:line="360" w:lineRule="auto"/>
        <w:ind w:firstLine="481" w:firstLineChars="200"/>
        <w:rPr>
          <w:rFonts w:ascii="Times New Roman" w:hAnsi="Times New Roman"/>
          <w:b/>
          <w:color w:val="auto"/>
          <w:szCs w:val="21"/>
          <w:highlight w:val="none"/>
        </w:rPr>
      </w:pPr>
      <w:r>
        <w:rPr>
          <w:rFonts w:ascii="Times New Roman" w:hAnsi="Times New Roman"/>
          <w:b/>
          <w:color w:val="auto"/>
          <w:szCs w:val="21"/>
          <w:highlight w:val="none"/>
        </w:rPr>
        <w:t xml:space="preserve">1.1.2 </w:t>
      </w:r>
      <w:r>
        <w:rPr>
          <w:rFonts w:hint="default" w:ascii="Times New Roman" w:hAnsi="Times New Roman"/>
          <w:b/>
          <w:color w:val="auto"/>
          <w:szCs w:val="21"/>
          <w:highlight w:val="none"/>
        </w:rPr>
        <w:t>合同当事人</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1.1.2.1 合同当事人：指买方和（或）卖方。</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1.1.2.2 买方：指与卖方签订合同协议书，购买合同设备和</w:t>
      </w:r>
      <w:r>
        <w:rPr>
          <w:rFonts w:hint="default" w:ascii="Times New Roman" w:hAnsi="Times New Roman"/>
          <w:color w:val="auto"/>
          <w:szCs w:val="21"/>
          <w:highlight w:val="none"/>
        </w:rPr>
        <w:t>技术服务和质保期服务</w:t>
      </w:r>
      <w:r>
        <w:rPr>
          <w:rFonts w:ascii="Times New Roman" w:hAnsi="Times New Roman"/>
          <w:color w:val="auto"/>
          <w:szCs w:val="21"/>
          <w:highlight w:val="none"/>
        </w:rPr>
        <w:t>的当事人，及其</w:t>
      </w:r>
      <w:r>
        <w:rPr>
          <w:rFonts w:hint="default" w:ascii="Times New Roman" w:hAnsi="Times New Roman"/>
          <w:color w:val="auto"/>
          <w:szCs w:val="21"/>
          <w:highlight w:val="none"/>
        </w:rPr>
        <w:t>合法继承人</w:t>
      </w:r>
      <w:r>
        <w:rPr>
          <w:rFonts w:ascii="Times New Roman" w:hAnsi="Times New Roman"/>
          <w:color w:val="auto"/>
          <w:szCs w:val="21"/>
          <w:highlight w:val="none"/>
        </w:rPr>
        <w:t>。</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1.1.2.3 卖方：指与买方签订合同协议书，</w:t>
      </w:r>
      <w:r>
        <w:rPr>
          <w:rFonts w:hint="default" w:ascii="Times New Roman" w:hAnsi="Times New Roman"/>
          <w:color w:val="auto"/>
          <w:szCs w:val="21"/>
          <w:highlight w:val="none"/>
        </w:rPr>
        <w:t>提供合同设备</w:t>
      </w:r>
      <w:r>
        <w:rPr>
          <w:rFonts w:ascii="Times New Roman" w:hAnsi="Times New Roman"/>
          <w:color w:val="auto"/>
          <w:szCs w:val="21"/>
          <w:highlight w:val="none"/>
        </w:rPr>
        <w:t>和</w:t>
      </w:r>
      <w:r>
        <w:rPr>
          <w:rFonts w:hint="default" w:ascii="Times New Roman" w:hAnsi="Times New Roman"/>
          <w:color w:val="auto"/>
          <w:szCs w:val="21"/>
          <w:highlight w:val="none"/>
        </w:rPr>
        <w:t>技术服务和质保期服务的</w:t>
      </w:r>
      <w:r>
        <w:rPr>
          <w:rFonts w:ascii="Times New Roman" w:hAnsi="Times New Roman"/>
          <w:color w:val="auto"/>
          <w:szCs w:val="21"/>
          <w:highlight w:val="none"/>
        </w:rPr>
        <w:t>当事人，及其</w:t>
      </w:r>
      <w:r>
        <w:rPr>
          <w:rFonts w:hint="default" w:ascii="Times New Roman" w:hAnsi="Times New Roman"/>
          <w:color w:val="auto"/>
          <w:szCs w:val="21"/>
          <w:highlight w:val="none"/>
        </w:rPr>
        <w:t>合法继承人</w:t>
      </w:r>
      <w:r>
        <w:rPr>
          <w:rFonts w:ascii="Times New Roman" w:hAnsi="Times New Roman"/>
          <w:color w:val="auto"/>
          <w:szCs w:val="21"/>
          <w:highlight w:val="none"/>
        </w:rPr>
        <w:t>。</w:t>
      </w:r>
    </w:p>
    <w:p>
      <w:pPr>
        <w:spacing w:line="360" w:lineRule="auto"/>
        <w:ind w:firstLine="481" w:firstLineChars="200"/>
        <w:rPr>
          <w:rFonts w:ascii="Times New Roman" w:hAnsi="Times New Roman"/>
          <w:b/>
          <w:color w:val="auto"/>
          <w:szCs w:val="21"/>
          <w:highlight w:val="none"/>
        </w:rPr>
      </w:pPr>
      <w:r>
        <w:rPr>
          <w:rFonts w:ascii="Times New Roman" w:hAnsi="Times New Roman"/>
          <w:b/>
          <w:color w:val="auto"/>
          <w:szCs w:val="21"/>
          <w:highlight w:val="none"/>
        </w:rPr>
        <w:t xml:space="preserve">1.1.3 </w:t>
      </w:r>
      <w:r>
        <w:rPr>
          <w:rFonts w:hint="default" w:ascii="Times New Roman" w:hAnsi="Times New Roman"/>
          <w:b/>
          <w:color w:val="auto"/>
          <w:szCs w:val="21"/>
          <w:highlight w:val="none"/>
        </w:rPr>
        <w:t>合同价格</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1.1.3.1 </w:t>
      </w:r>
      <w:r>
        <w:rPr>
          <w:rFonts w:hint="default" w:ascii="Times New Roman" w:hAnsi="Times New Roman"/>
          <w:color w:val="auto"/>
          <w:szCs w:val="21"/>
          <w:highlight w:val="none"/>
        </w:rPr>
        <w:t>签约合同价：是签订合同时合同协议书中写明的合同总金额。</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1.1.3.2 </w:t>
      </w:r>
      <w:r>
        <w:rPr>
          <w:rFonts w:hint="default" w:ascii="Times New Roman" w:hAnsi="Times New Roman"/>
          <w:color w:val="auto"/>
          <w:szCs w:val="21"/>
          <w:highlight w:val="none"/>
        </w:rPr>
        <w:t>合同价格：指卖方按合同约定履行了全部合同义务后，买方应付给卖方的金额。</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1.1.4 </w:t>
      </w:r>
      <w:r>
        <w:rPr>
          <w:rFonts w:hint="default" w:ascii="Times New Roman" w:hAnsi="Times New Roman"/>
          <w:color w:val="auto"/>
          <w:szCs w:val="21"/>
          <w:highlight w:val="none"/>
        </w:rPr>
        <w:t>合同设备：指卖方按合同约定应向买方提供的设备、装置、备品、备件、易损易耗件、配套使用的软件或其他辅助电子应用程序及技术资料，或其中任何一部分。</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1.1.5 </w:t>
      </w:r>
      <w:r>
        <w:rPr>
          <w:rFonts w:hint="default" w:ascii="Times New Roman" w:hAnsi="Times New Roman"/>
          <w:color w:val="auto"/>
          <w:szCs w:val="21"/>
          <w:highlight w:val="none"/>
        </w:rPr>
        <w:t>技术资料：指各种纸质及电子载体的与合同设备的设计、检验、安装、调试、考核、操作、维修以及保养等有关的技术指标、规格、图纸和说明文件。</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1.1.6 </w:t>
      </w:r>
      <w:r>
        <w:rPr>
          <w:rFonts w:hint="default" w:ascii="Times New Roman" w:hAnsi="Times New Roman"/>
          <w:color w:val="auto"/>
          <w:szCs w:val="21"/>
          <w:highlight w:val="none"/>
        </w:rPr>
        <w:t>安装：指对合同设备进行的组装、连接以</w:t>
      </w:r>
      <w:bookmarkStart w:id="331" w:name="_Toc15914"/>
      <w:r>
        <w:rPr>
          <w:rFonts w:hint="default" w:ascii="Times New Roman" w:hAnsi="Times New Roman"/>
          <w:color w:val="auto"/>
          <w:szCs w:val="21"/>
          <w:highlight w:val="none"/>
        </w:rPr>
        <w:t>及根据需要将合同设备固定在施</w:t>
      </w:r>
      <w:bookmarkEnd w:id="331"/>
      <w:r>
        <w:rPr>
          <w:rFonts w:hint="default" w:ascii="Times New Roman" w:hAnsi="Times New Roman"/>
          <w:color w:val="auto"/>
          <w:szCs w:val="21"/>
          <w:highlight w:val="none"/>
        </w:rPr>
        <w:t>工场地内一定的位置上，使其就位并与相关设备、工程实现连接。</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1.1.7 </w:t>
      </w:r>
      <w:r>
        <w:rPr>
          <w:rFonts w:hint="default" w:ascii="Times New Roman" w:hAnsi="Times New Roman"/>
          <w:color w:val="auto"/>
          <w:szCs w:val="21"/>
          <w:highlight w:val="none"/>
        </w:rPr>
        <w:t>调试：指在合同设备安装完成后，对合同设备所进行的调校和测试。</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1.1.8</w:t>
      </w:r>
      <w:r>
        <w:rPr>
          <w:rFonts w:hint="default" w:ascii="Times New Roman" w:hAnsi="Times New Roman"/>
          <w:color w:val="auto"/>
          <w:szCs w:val="21"/>
          <w:highlight w:val="none"/>
        </w:rPr>
        <w:t xml:space="preserve"> 考核：指在合同设备调试完成后，对合同设备进行的用于确定其是否达到合同约定的技术性能考核指标的考核。</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1.1.9 </w:t>
      </w:r>
      <w:r>
        <w:rPr>
          <w:rFonts w:hint="default" w:ascii="Times New Roman" w:hAnsi="Times New Roman"/>
          <w:color w:val="auto"/>
          <w:szCs w:val="21"/>
          <w:highlight w:val="none"/>
        </w:rPr>
        <w:t>验收：指合同设备通过考核达到合同约定的技术性能考核指标后，买方作出接受合同设备的确认。</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1.1.10 </w:t>
      </w:r>
      <w:r>
        <w:rPr>
          <w:rFonts w:hint="default" w:ascii="Times New Roman" w:hAnsi="Times New Roman"/>
          <w:color w:val="auto"/>
          <w:szCs w:val="21"/>
          <w:highlight w:val="none"/>
        </w:rPr>
        <w:t>技术服务：指卖方按合同约定，在合同设备验收前，向买方提供的安装、调试服务，或者在由买方负责的安装、调试、考核中对买方进行的技术指导、协助、监督和培训等。</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1.1.11</w:t>
      </w:r>
      <w:bookmarkStart w:id="332" w:name="_Toc17041"/>
      <w:r>
        <w:rPr>
          <w:rFonts w:ascii="Times New Roman" w:hAnsi="Times New Roman"/>
          <w:color w:val="auto"/>
          <w:szCs w:val="21"/>
          <w:highlight w:val="none"/>
        </w:rPr>
        <w:t xml:space="preserve"> </w:t>
      </w:r>
      <w:r>
        <w:rPr>
          <w:rFonts w:hint="default" w:ascii="Times New Roman" w:hAnsi="Times New Roman"/>
          <w:color w:val="auto"/>
          <w:szCs w:val="21"/>
          <w:highlight w:val="none"/>
        </w:rPr>
        <w:t>质量保证期：指合</w:t>
      </w:r>
      <w:bookmarkEnd w:id="332"/>
      <w:r>
        <w:rPr>
          <w:rFonts w:hint="default" w:ascii="Times New Roman" w:hAnsi="Times New Roman"/>
          <w:color w:val="auto"/>
          <w:szCs w:val="21"/>
          <w:highlight w:val="none"/>
        </w:rPr>
        <w:t>同设备验收后，卖方按合同约定保证合同设备适当、稳定运行，并负责消除合同设备故障的期限。</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1.1.12 </w:t>
      </w:r>
      <w:r>
        <w:rPr>
          <w:rFonts w:hint="default" w:ascii="Times New Roman" w:hAnsi="Times New Roman"/>
          <w:color w:val="auto"/>
          <w:szCs w:val="21"/>
          <w:highlight w:val="none"/>
        </w:rPr>
        <w:t>质保期服务：指在质量保证期内，卖方向买方提供的合同设备维护服务、咨询服务、技术指导、协助以及对出现故障的合同设备进行修理或更换的服务。</w:t>
      </w:r>
    </w:p>
    <w:p>
      <w:pPr>
        <w:spacing w:line="360" w:lineRule="auto"/>
        <w:ind w:firstLine="481" w:firstLineChars="200"/>
        <w:rPr>
          <w:rFonts w:ascii="Times New Roman" w:hAnsi="Times New Roman"/>
          <w:b/>
          <w:color w:val="auto"/>
          <w:szCs w:val="21"/>
          <w:highlight w:val="none"/>
        </w:rPr>
      </w:pPr>
      <w:r>
        <w:rPr>
          <w:rFonts w:ascii="Times New Roman" w:hAnsi="Times New Roman"/>
          <w:b/>
          <w:color w:val="auto"/>
          <w:szCs w:val="21"/>
          <w:highlight w:val="none"/>
        </w:rPr>
        <w:t xml:space="preserve">1.1.13 </w:t>
      </w:r>
      <w:r>
        <w:rPr>
          <w:rFonts w:hint="default" w:ascii="Times New Roman" w:hAnsi="Times New Roman"/>
          <w:b/>
          <w:color w:val="auto"/>
          <w:szCs w:val="21"/>
          <w:highlight w:val="none"/>
        </w:rPr>
        <w:t>工程</w:t>
      </w:r>
    </w:p>
    <w:p>
      <w:pPr>
        <w:spacing w:line="360" w:lineRule="auto"/>
        <w:ind w:firstLine="480" w:firstLineChars="200"/>
        <w:rPr>
          <w:rFonts w:ascii="Times New Roman" w:hAnsi="Times New Roman"/>
          <w:color w:val="auto"/>
          <w:szCs w:val="21"/>
          <w:highlight w:val="none"/>
        </w:rPr>
      </w:pPr>
      <w:bookmarkStart w:id="333" w:name="_Toc361508657"/>
      <w:bookmarkStart w:id="334" w:name="_Toc369531599"/>
      <w:bookmarkStart w:id="335" w:name="_Toc300835030"/>
      <w:bookmarkStart w:id="336" w:name="_Toc384308283"/>
      <w:bookmarkStart w:id="337" w:name="_Toc152045609"/>
      <w:bookmarkStart w:id="338" w:name="_Toc152042387"/>
      <w:bookmarkStart w:id="339" w:name="_Toc30842"/>
      <w:bookmarkStart w:id="340" w:name="_Toc247527634"/>
      <w:bookmarkStart w:id="341" w:name="_Toc144974577"/>
      <w:bookmarkStart w:id="342" w:name="_Toc247514033"/>
      <w:bookmarkStart w:id="343" w:name="_Toc246996254"/>
      <w:bookmarkStart w:id="344" w:name="_Toc296602499"/>
      <w:bookmarkStart w:id="345" w:name="_Toc247085769"/>
      <w:bookmarkStart w:id="346" w:name="_Toc184635098"/>
      <w:bookmarkStart w:id="347" w:name="_Toc246996997"/>
      <w:r>
        <w:rPr>
          <w:rFonts w:ascii="Times New Roman" w:hAnsi="Times New Roman"/>
          <w:color w:val="auto"/>
          <w:szCs w:val="21"/>
          <w:highlight w:val="none"/>
        </w:rPr>
        <w:t>1.1.13.1</w:t>
      </w:r>
      <w:r>
        <w:rPr>
          <w:rFonts w:hint="default" w:ascii="Times New Roman" w:hAnsi="Times New Roman"/>
          <w:color w:val="auto"/>
          <w:szCs w:val="21"/>
          <w:highlight w:val="none"/>
        </w:rPr>
        <w:t xml:space="preserve"> 工程：</w:t>
      </w:r>
      <w:bookmarkEnd w:id="333"/>
      <w:bookmarkEnd w:id="334"/>
      <w:bookmarkEnd w:id="335"/>
      <w:bookmarkEnd w:id="336"/>
      <w:bookmarkEnd w:id="337"/>
      <w:bookmarkEnd w:id="338"/>
      <w:bookmarkEnd w:id="339"/>
      <w:bookmarkEnd w:id="340"/>
      <w:bookmarkEnd w:id="341"/>
      <w:bookmarkEnd w:id="342"/>
      <w:r>
        <w:rPr>
          <w:rFonts w:hint="default" w:ascii="Times New Roman" w:hAnsi="Times New Roman"/>
          <w:color w:val="auto"/>
          <w:szCs w:val="21"/>
          <w:highlight w:val="none"/>
        </w:rPr>
        <w:t>指在专用合同条款中指明的，安装运行</w:t>
      </w:r>
      <w:bookmarkEnd w:id="343"/>
      <w:bookmarkEnd w:id="344"/>
      <w:bookmarkEnd w:id="345"/>
      <w:bookmarkEnd w:id="346"/>
      <w:bookmarkEnd w:id="347"/>
      <w:bookmarkStart w:id="348" w:name="_Toc9002"/>
      <w:r>
        <w:rPr>
          <w:rFonts w:hint="default" w:ascii="Times New Roman" w:hAnsi="Times New Roman"/>
          <w:color w:val="auto"/>
          <w:szCs w:val="21"/>
          <w:highlight w:val="none"/>
        </w:rPr>
        <w:t>合同设备</w:t>
      </w:r>
      <w:bookmarkEnd w:id="348"/>
      <w:bookmarkStart w:id="349" w:name="_Toc6626"/>
      <w:r>
        <w:rPr>
          <w:rFonts w:hint="default" w:ascii="Times New Roman" w:hAnsi="Times New Roman"/>
          <w:color w:val="auto"/>
          <w:szCs w:val="21"/>
          <w:highlight w:val="none"/>
        </w:rPr>
        <w:t>的工程。</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w:t>
      </w:r>
      <w:bookmarkEnd w:id="349"/>
      <w:r>
        <w:rPr>
          <w:rFonts w:ascii="Times New Roman" w:hAnsi="Times New Roman"/>
          <w:color w:val="auto"/>
          <w:szCs w:val="21"/>
          <w:highlight w:val="none"/>
        </w:rPr>
        <w:t xml:space="preserve">.13.2 </w:t>
      </w:r>
      <w:r>
        <w:rPr>
          <w:rFonts w:hint="default" w:ascii="Times New Roman" w:hAnsi="Times New Roman"/>
          <w:color w:val="auto"/>
          <w:szCs w:val="21"/>
          <w:highlight w:val="none"/>
        </w:rPr>
        <w:t>施工场地（或称工地、施工现场）：指专用合同条款中指明的工程所在场所。</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1.1.14 </w:t>
      </w:r>
      <w:r>
        <w:rPr>
          <w:rFonts w:hint="default" w:ascii="Times New Roman" w:hAnsi="Times New Roman"/>
          <w:color w:val="auto"/>
          <w:szCs w:val="21"/>
          <w:highlight w:val="none"/>
        </w:rPr>
        <w:t>天（或称日）：除特别指明外，指日历天。合同中按天计算时间的，开始当天不计入，从次日开始计算。合同约定的期间的最后一天是星期日或者其他法定休假日的，以休假日的次日为期间的最后一天。</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1.1.15 </w:t>
      </w:r>
      <w:r>
        <w:rPr>
          <w:rFonts w:hint="default" w:ascii="Times New Roman" w:hAnsi="Times New Roman"/>
          <w:color w:val="auto"/>
          <w:szCs w:val="21"/>
          <w:highlight w:val="none"/>
        </w:rPr>
        <w:t>月：按照公历月计算。合同中按月计算时间的，开始当天不计入，从次日开始计算。合同约定的期间的最后一天是星期日或者其他法定休假日的，以休假日的次日为期间的最后一天。</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1.1.16 </w:t>
      </w:r>
      <w:r>
        <w:rPr>
          <w:rFonts w:hint="default" w:ascii="Times New Roman" w:hAnsi="Times New Roman"/>
          <w:color w:val="auto"/>
          <w:szCs w:val="21"/>
          <w:highlight w:val="none"/>
        </w:rPr>
        <w:t>书面形式：指合同文件、信件和数据电文（包括电报、电传、传真、电子数据交换和电子邮件）等可以有形地表现所载内容的形式。</w:t>
      </w:r>
    </w:p>
    <w:p>
      <w:pPr>
        <w:spacing w:before="157" w:beforeLines="50" w:after="157" w:afterLines="50" w:line="240" w:lineRule="auto"/>
        <w:ind w:firstLine="137"/>
        <w:outlineLvl w:val="2"/>
        <w:rPr>
          <w:rFonts w:ascii="Times New Roman" w:hAnsi="Times New Roman"/>
          <w:color w:val="auto"/>
          <w:highlight w:val="none"/>
        </w:rPr>
      </w:pPr>
      <w:bookmarkStart w:id="350" w:name="_Toc13013"/>
      <w:bookmarkStart w:id="351" w:name="_Toc491883182"/>
      <w:bookmarkStart w:id="352" w:name="_Toc482188728"/>
      <w:r>
        <w:rPr>
          <w:rFonts w:ascii="Times New Roman" w:hAnsi="Times New Roman"/>
          <w:color w:val="auto"/>
          <w:highlight w:val="none"/>
        </w:rPr>
        <w:t xml:space="preserve">1.2 </w:t>
      </w:r>
      <w:r>
        <w:rPr>
          <w:rFonts w:hint="default" w:ascii="Times New Roman" w:hAnsi="Times New Roman"/>
          <w:color w:val="auto"/>
          <w:highlight w:val="none"/>
        </w:rPr>
        <w:t>语言文字</w:t>
      </w:r>
      <w:bookmarkEnd w:id="350"/>
      <w:bookmarkEnd w:id="351"/>
      <w:bookmarkEnd w:id="352"/>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合同使用的语言文字为中文。专用术语使用外文的，应附有中文注释。</w:t>
      </w:r>
    </w:p>
    <w:p>
      <w:pPr>
        <w:spacing w:before="157" w:beforeLines="50" w:after="157" w:afterLines="50" w:line="240" w:lineRule="auto"/>
        <w:ind w:firstLine="137"/>
        <w:outlineLvl w:val="2"/>
        <w:rPr>
          <w:rFonts w:ascii="Times New Roman" w:hAnsi="Times New Roman"/>
          <w:color w:val="auto"/>
          <w:highlight w:val="none"/>
        </w:rPr>
      </w:pPr>
      <w:bookmarkStart w:id="353" w:name="_Toc491883183"/>
      <w:bookmarkStart w:id="354" w:name="_Toc482188729"/>
      <w:bookmarkStart w:id="355" w:name="_Toc31863"/>
      <w:r>
        <w:rPr>
          <w:rFonts w:ascii="Times New Roman" w:hAnsi="Times New Roman"/>
          <w:color w:val="auto"/>
          <w:highlight w:val="none"/>
        </w:rPr>
        <w:t>1.3</w:t>
      </w:r>
      <w:r>
        <w:rPr>
          <w:rFonts w:hint="default" w:ascii="Times New Roman" w:hAnsi="Times New Roman"/>
          <w:color w:val="auto"/>
          <w:highlight w:val="none"/>
        </w:rPr>
        <w:t>合同文件的优先顺序</w:t>
      </w:r>
      <w:bookmarkEnd w:id="353"/>
      <w:bookmarkEnd w:id="354"/>
      <w:bookmarkEnd w:id="355"/>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组成合同的各项文件应互相解释，互为说明。除专用合同条款另有约定外，解释合同文件的优先顺序如下：</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（1）合同协议书；</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（2）中标通知书；</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（3）投标函；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（4）商务和技术偏差表；</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（5）专用合同条款；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（6）通用合同条款；</w:t>
      </w:r>
    </w:p>
    <w:p>
      <w:pPr>
        <w:spacing w:line="360" w:lineRule="auto"/>
        <w:ind w:firstLine="480" w:firstLineChars="200"/>
        <w:rPr>
          <w:rFonts w:ascii="Times New Roman" w:hAnsi="Times New Roman"/>
          <w:color w:val="auto"/>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7</w:t>
      </w:r>
      <w:r>
        <w:rPr>
          <w:rFonts w:ascii="Times New Roman" w:hAnsi="Times New Roman"/>
          <w:color w:val="auto"/>
          <w:szCs w:val="21"/>
          <w:highlight w:val="none"/>
        </w:rPr>
        <w:t>）</w:t>
      </w:r>
      <w:r>
        <w:rPr>
          <w:rFonts w:ascii="Times New Roman" w:hAnsi="Times New Roman"/>
          <w:color w:val="auto"/>
          <w:highlight w:val="none"/>
        </w:rPr>
        <w:t>供货要求；</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rPr>
        <w:t>8</w:t>
      </w:r>
      <w:r>
        <w:rPr>
          <w:rFonts w:ascii="Times New Roman" w:hAnsi="Times New Roman"/>
          <w:color w:val="auto"/>
          <w:highlight w:val="none"/>
        </w:rPr>
        <w:t>）分项报价表；</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rPr>
        <w:t>9</w:t>
      </w:r>
      <w:r>
        <w:rPr>
          <w:rFonts w:ascii="Times New Roman" w:hAnsi="Times New Roman"/>
          <w:color w:val="auto"/>
          <w:highlight w:val="none"/>
        </w:rPr>
        <w:t>）中标设备技术性能指标的详细描述；</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w:t>
      </w:r>
      <w:r>
        <w:rPr>
          <w:rFonts w:hint="default" w:ascii="Times New Roman" w:hAnsi="Times New Roman"/>
          <w:color w:val="auto"/>
          <w:highlight w:val="none"/>
        </w:rPr>
        <w:t>10</w:t>
      </w:r>
      <w:r>
        <w:rPr>
          <w:rFonts w:ascii="Times New Roman" w:hAnsi="Times New Roman"/>
          <w:color w:val="auto"/>
          <w:highlight w:val="none"/>
        </w:rPr>
        <w:t>）技术服务和质保期服务计划；</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w:t>
      </w:r>
      <w:r>
        <w:rPr>
          <w:rFonts w:ascii="Times New Roman" w:hAnsi="Times New Roman"/>
          <w:color w:val="auto"/>
          <w:highlight w:val="none"/>
        </w:rPr>
        <w:t>其他合同文件。</w:t>
      </w:r>
    </w:p>
    <w:p>
      <w:pPr>
        <w:spacing w:before="157" w:beforeLines="50" w:after="157" w:afterLines="50" w:line="240" w:lineRule="auto"/>
        <w:ind w:firstLine="137"/>
        <w:outlineLvl w:val="2"/>
        <w:rPr>
          <w:rFonts w:ascii="Times New Roman" w:hAnsi="Times New Roman"/>
          <w:color w:val="auto"/>
          <w:highlight w:val="none"/>
        </w:rPr>
      </w:pPr>
      <w:bookmarkStart w:id="356" w:name="_Toc491883184"/>
      <w:bookmarkStart w:id="357" w:name="_Toc482188730"/>
      <w:bookmarkStart w:id="358" w:name="_Toc5604"/>
      <w:r>
        <w:rPr>
          <w:rFonts w:ascii="Times New Roman" w:hAnsi="Times New Roman"/>
          <w:color w:val="auto"/>
          <w:highlight w:val="none"/>
        </w:rPr>
        <w:t xml:space="preserve">1.4 </w:t>
      </w:r>
      <w:r>
        <w:rPr>
          <w:rFonts w:hint="default" w:ascii="Times New Roman" w:hAnsi="Times New Roman"/>
          <w:color w:val="auto"/>
          <w:highlight w:val="none"/>
        </w:rPr>
        <w:t>合同的生效及变更</w:t>
      </w:r>
      <w:bookmarkEnd w:id="356"/>
      <w:bookmarkEnd w:id="357"/>
      <w:bookmarkEnd w:id="358"/>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1.4.1 除专用合同条款另有约定外，买方和卖方的法定代表人（单位负责人）或其授权代表在合同协议书上签字并加</w:t>
      </w:r>
      <w:r>
        <w:rPr>
          <w:rFonts w:hint="default" w:ascii="Times New Roman" w:hAnsi="Times New Roman"/>
          <w:color w:val="auto"/>
          <w:szCs w:val="21"/>
          <w:highlight w:val="none"/>
        </w:rPr>
        <w:t>盖单位章</w:t>
      </w:r>
      <w:r>
        <w:rPr>
          <w:rFonts w:ascii="Times New Roman" w:hAnsi="Times New Roman"/>
          <w:color w:val="auto"/>
          <w:szCs w:val="21"/>
          <w:highlight w:val="none"/>
        </w:rPr>
        <w:t>后，合同生效。</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 xml:space="preserve">1.4.2 </w:t>
      </w:r>
      <w:r>
        <w:rPr>
          <w:rFonts w:ascii="Times New Roman" w:hAnsi="Times New Roman"/>
          <w:color w:val="auto"/>
          <w:szCs w:val="21"/>
          <w:highlight w:val="none"/>
        </w:rPr>
        <w:t>除专用合同条款另有约定外，</w:t>
      </w:r>
      <w:r>
        <w:rPr>
          <w:rFonts w:ascii="Times New Roman" w:hAnsi="Times New Roman"/>
          <w:color w:val="auto"/>
          <w:highlight w:val="none"/>
        </w:rPr>
        <w:t>在合同履行过程中，如需对合同进行变更，双方应签订书面协议，并经双方</w:t>
      </w:r>
      <w:r>
        <w:rPr>
          <w:rFonts w:ascii="Times New Roman" w:hAnsi="Times New Roman"/>
          <w:color w:val="auto"/>
          <w:szCs w:val="21"/>
          <w:highlight w:val="none"/>
        </w:rPr>
        <w:t>法定代表人（单位负责人）或其授权代表签字并加</w:t>
      </w:r>
      <w:r>
        <w:rPr>
          <w:rFonts w:ascii="Times New Roman" w:hAnsi="Times New Roman"/>
          <w:color w:val="auto"/>
          <w:highlight w:val="none"/>
        </w:rPr>
        <w:t>盖单位章</w:t>
      </w:r>
      <w:r>
        <w:rPr>
          <w:rFonts w:ascii="Times New Roman" w:hAnsi="Times New Roman"/>
          <w:color w:val="auto"/>
          <w:szCs w:val="21"/>
          <w:highlight w:val="none"/>
        </w:rPr>
        <w:t>后生效。</w:t>
      </w:r>
    </w:p>
    <w:p>
      <w:pPr>
        <w:spacing w:before="157" w:beforeLines="50" w:after="157" w:afterLines="50" w:line="240" w:lineRule="auto"/>
        <w:ind w:firstLine="137"/>
        <w:outlineLvl w:val="2"/>
        <w:rPr>
          <w:rFonts w:ascii="Times New Roman" w:hAnsi="Times New Roman"/>
          <w:color w:val="auto"/>
          <w:highlight w:val="none"/>
        </w:rPr>
      </w:pPr>
      <w:bookmarkStart w:id="359" w:name="_Toc491883185"/>
      <w:bookmarkStart w:id="360" w:name="_Toc9298"/>
      <w:bookmarkStart w:id="361" w:name="_Toc482188731"/>
      <w:r>
        <w:rPr>
          <w:rFonts w:ascii="Times New Roman" w:hAnsi="Times New Roman"/>
          <w:color w:val="auto"/>
          <w:highlight w:val="none"/>
        </w:rPr>
        <w:t>1.5</w:t>
      </w:r>
      <w:r>
        <w:rPr>
          <w:rFonts w:hint="default" w:ascii="Times New Roman" w:hAnsi="Times New Roman"/>
          <w:color w:val="auto"/>
          <w:highlight w:val="none"/>
        </w:rPr>
        <w:t>联络</w:t>
      </w:r>
      <w:bookmarkEnd w:id="359"/>
      <w:bookmarkEnd w:id="360"/>
      <w:bookmarkEnd w:id="361"/>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1.5.1 买卖双方应就合同履行中有关的事项及时进行联络，重要事项应通过书面形式进行联络或确认。合同履行过程中的任何联络及相关文件的签署，均应通过</w:t>
      </w:r>
      <w:r>
        <w:rPr>
          <w:rFonts w:ascii="Times New Roman" w:hAnsi="Times New Roman"/>
          <w:color w:val="auto"/>
          <w:szCs w:val="21"/>
          <w:highlight w:val="none"/>
        </w:rPr>
        <w:t>专用合同条款指定的</w:t>
      </w:r>
      <w:r>
        <w:rPr>
          <w:rFonts w:ascii="Times New Roman" w:hAnsi="Times New Roman"/>
          <w:color w:val="auto"/>
          <w:highlight w:val="none"/>
        </w:rPr>
        <w:t>联系人和联系方式进行。合同履行过程中，双方可以书面形式增加或变更指定联系人。</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1.5.2 合同履行中或与合同有关的任何联络，送达到第1.5.1项指定的联系人即视为送达。</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1.5.3 买方可以安排监理等相关人员作为买方人员，与卖方进行联络或参加合同设备的监造（如有）、交货前检验（如有）、开箱检验、安装、调试、考核、验收等，但应按照第1.5.1项的约定事先书面通知卖方。</w:t>
      </w:r>
    </w:p>
    <w:p>
      <w:pPr>
        <w:spacing w:before="157" w:beforeLines="50" w:after="157" w:afterLines="50" w:line="240" w:lineRule="auto"/>
        <w:ind w:firstLine="137"/>
        <w:outlineLvl w:val="2"/>
        <w:rPr>
          <w:rFonts w:ascii="Times New Roman" w:hAnsi="Times New Roman"/>
          <w:color w:val="auto"/>
          <w:highlight w:val="none"/>
        </w:rPr>
      </w:pPr>
      <w:bookmarkStart w:id="362" w:name="_Toc28632"/>
      <w:bookmarkStart w:id="363" w:name="_Toc482188732"/>
      <w:bookmarkStart w:id="364" w:name="_Toc491883186"/>
      <w:r>
        <w:rPr>
          <w:rFonts w:ascii="Times New Roman" w:hAnsi="Times New Roman"/>
          <w:color w:val="auto"/>
          <w:highlight w:val="none"/>
        </w:rPr>
        <w:t xml:space="preserve">1.6 </w:t>
      </w:r>
      <w:r>
        <w:rPr>
          <w:rFonts w:hint="default" w:ascii="Times New Roman" w:hAnsi="Times New Roman"/>
          <w:color w:val="auto"/>
          <w:highlight w:val="none"/>
        </w:rPr>
        <w:t>联合体</w:t>
      </w:r>
      <w:bookmarkEnd w:id="362"/>
      <w:bookmarkEnd w:id="363"/>
      <w:bookmarkEnd w:id="364"/>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1.6.1 卖方为联合体的，</w:t>
      </w:r>
      <w:r>
        <w:rPr>
          <w:rFonts w:ascii="Times New Roman" w:hAnsi="Times New Roman"/>
          <w:color w:val="auto"/>
          <w:szCs w:val="21"/>
          <w:highlight w:val="none"/>
        </w:rPr>
        <w:t>联合体各方应当共同与买方签订合同，并向买方为履行合同承担连带责任。</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1.6.2</w:t>
      </w:r>
      <w:r>
        <w:rPr>
          <w:rFonts w:ascii="Times New Roman" w:hAnsi="Times New Roman"/>
          <w:color w:val="auto"/>
          <w:szCs w:val="21"/>
          <w:highlight w:val="none"/>
        </w:rPr>
        <w:t xml:space="preserve"> 在合同履行过程中，未经买方同意，不得修改联合体协议。</w:t>
      </w:r>
      <w:r>
        <w:rPr>
          <w:rFonts w:ascii="Times New Roman" w:hAnsi="Times New Roman"/>
          <w:color w:val="auto"/>
          <w:highlight w:val="none"/>
        </w:rPr>
        <w:t>联合体协议中关于联合体成员间权利义务的划分，并不影响或减损联合体各方应就履行合同向买方承担的连带责任。</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 xml:space="preserve">1.6.3 </w:t>
      </w:r>
      <w:r>
        <w:rPr>
          <w:rFonts w:ascii="Times New Roman" w:hAnsi="Times New Roman"/>
          <w:color w:val="auto"/>
          <w:szCs w:val="21"/>
          <w:highlight w:val="none"/>
        </w:rPr>
        <w:t>联合体牵头人代表联合体与买方联系，并接受指示，负责组织联合体各成员全面履行合同。除非专用合同条款另有约定，牵头人在履行合同中的所有行为均视为已获得联合体各方的授权。买方可将合同价款全部支付给牵头人并视为其已适当履行了付款义务。如牵头人的行为将构成对合同内容的变更，则牵头人须事先获得联合体各方的特别授权。</w:t>
      </w:r>
    </w:p>
    <w:p>
      <w:pPr>
        <w:keepNext w:val="0"/>
        <w:keepLines w:val="0"/>
        <w:spacing w:before="157" w:beforeLines="50" w:after="157" w:afterLines="50" w:line="240" w:lineRule="auto"/>
        <w:ind w:firstLine="137"/>
        <w:outlineLvl w:val="2"/>
        <w:rPr>
          <w:rFonts w:ascii="Times New Roman" w:hAnsi="Times New Roman"/>
          <w:color w:val="auto"/>
          <w:highlight w:val="none"/>
        </w:rPr>
      </w:pPr>
      <w:bookmarkStart w:id="365" w:name="_Toc482188733"/>
      <w:bookmarkStart w:id="366" w:name="_Toc491883187"/>
      <w:bookmarkStart w:id="367" w:name="_Toc21508"/>
      <w:r>
        <w:rPr>
          <w:rFonts w:ascii="Times New Roman" w:hAnsi="Times New Roman"/>
          <w:color w:val="auto"/>
          <w:highlight w:val="none"/>
        </w:rPr>
        <w:t xml:space="preserve">1.7 </w:t>
      </w:r>
      <w:r>
        <w:rPr>
          <w:rFonts w:hint="default" w:ascii="Times New Roman" w:hAnsi="Times New Roman"/>
          <w:color w:val="auto"/>
          <w:highlight w:val="none"/>
        </w:rPr>
        <w:t>转让</w:t>
      </w:r>
      <w:bookmarkEnd w:id="365"/>
      <w:bookmarkEnd w:id="366"/>
      <w:bookmarkEnd w:id="367"/>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未经对方当事人书面同意，合同任何一方均不得转让其在合同项下的权利和（或）义务。</w:t>
      </w:r>
    </w:p>
    <w:p>
      <w:pPr>
        <w:pStyle w:val="3"/>
        <w:rPr>
          <w:rFonts w:ascii="Times New Roman" w:hAnsi="Times New Roman"/>
          <w:bCs/>
          <w:color w:val="auto"/>
          <w:szCs w:val="32"/>
          <w:highlight w:val="none"/>
        </w:rPr>
      </w:pPr>
      <w:bookmarkStart w:id="368" w:name="_Toc491883188"/>
      <w:bookmarkStart w:id="369" w:name="_Toc4536"/>
      <w:bookmarkStart w:id="370" w:name="_Toc482188734"/>
      <w:r>
        <w:rPr>
          <w:rFonts w:ascii="Times New Roman" w:hAnsi="Times New Roman"/>
          <w:bCs/>
          <w:color w:val="auto"/>
          <w:szCs w:val="32"/>
          <w:highlight w:val="none"/>
        </w:rPr>
        <w:t>2. 合同范围</w:t>
      </w:r>
      <w:bookmarkEnd w:id="368"/>
      <w:bookmarkEnd w:id="369"/>
      <w:bookmarkEnd w:id="370"/>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卖方应根据</w:t>
      </w:r>
      <w:r>
        <w:rPr>
          <w:rFonts w:ascii="Times New Roman" w:hAnsi="Times New Roman"/>
          <w:color w:val="auto"/>
          <w:szCs w:val="24"/>
          <w:highlight w:val="none"/>
        </w:rPr>
        <w:t>供货要求</w:t>
      </w:r>
      <w:r>
        <w:rPr>
          <w:rFonts w:hint="default" w:ascii="Times New Roman" w:hAnsi="Times New Roman"/>
          <w:color w:val="auto"/>
          <w:szCs w:val="24"/>
          <w:highlight w:val="none"/>
        </w:rPr>
        <w:t>、</w:t>
      </w:r>
      <w:r>
        <w:rPr>
          <w:rFonts w:hint="default" w:ascii="Times New Roman" w:hAnsi="Times New Roman"/>
          <w:color w:val="auto"/>
          <w:highlight w:val="none"/>
        </w:rPr>
        <w:t>中</w:t>
      </w:r>
      <w:r>
        <w:rPr>
          <w:rFonts w:ascii="Times New Roman" w:hAnsi="Times New Roman"/>
          <w:color w:val="auto"/>
          <w:highlight w:val="none"/>
        </w:rPr>
        <w:t>标设备技术性能指标的详细描述</w:t>
      </w:r>
      <w:r>
        <w:rPr>
          <w:rFonts w:ascii="Times New Roman" w:hAnsi="Times New Roman"/>
          <w:color w:val="auto"/>
          <w:szCs w:val="24"/>
          <w:highlight w:val="none"/>
        </w:rPr>
        <w:t>、</w:t>
      </w:r>
      <w:r>
        <w:rPr>
          <w:rFonts w:ascii="Times New Roman" w:hAnsi="Times New Roman"/>
          <w:color w:val="auto"/>
          <w:highlight w:val="none"/>
        </w:rPr>
        <w:t>技术服务和质保期服务计划</w:t>
      </w:r>
      <w:r>
        <w:rPr>
          <w:rFonts w:ascii="Times New Roman" w:hAnsi="Times New Roman"/>
          <w:color w:val="auto"/>
          <w:szCs w:val="21"/>
          <w:highlight w:val="none"/>
        </w:rPr>
        <w:t>等合同文件的约定向买方提供合同设备、技术服务和质保期服务。</w:t>
      </w:r>
    </w:p>
    <w:p>
      <w:pPr>
        <w:pStyle w:val="3"/>
        <w:rPr>
          <w:rFonts w:ascii="Times New Roman" w:hAnsi="Times New Roman"/>
          <w:bCs/>
          <w:color w:val="auto"/>
          <w:szCs w:val="32"/>
          <w:highlight w:val="none"/>
        </w:rPr>
      </w:pPr>
      <w:bookmarkStart w:id="371" w:name="_Toc491883189"/>
      <w:bookmarkStart w:id="372" w:name="_Toc7840"/>
      <w:bookmarkStart w:id="373" w:name="_Toc482188735"/>
      <w:r>
        <w:rPr>
          <w:rFonts w:ascii="Times New Roman" w:hAnsi="Times New Roman"/>
          <w:bCs/>
          <w:color w:val="auto"/>
          <w:szCs w:val="32"/>
          <w:highlight w:val="none"/>
        </w:rPr>
        <w:t>3. 合同价格与支付</w:t>
      </w:r>
      <w:bookmarkEnd w:id="371"/>
      <w:bookmarkEnd w:id="372"/>
      <w:bookmarkEnd w:id="373"/>
    </w:p>
    <w:p>
      <w:pPr>
        <w:spacing w:before="157" w:beforeLines="50" w:after="157" w:afterLines="50" w:line="240" w:lineRule="auto"/>
        <w:ind w:firstLine="137"/>
        <w:outlineLvl w:val="2"/>
        <w:rPr>
          <w:rFonts w:ascii="Times New Roman" w:hAnsi="Times New Roman"/>
          <w:color w:val="auto"/>
          <w:highlight w:val="none"/>
        </w:rPr>
      </w:pPr>
      <w:bookmarkStart w:id="374" w:name="_Toc491883190"/>
      <w:bookmarkStart w:id="375" w:name="_Toc482188736"/>
      <w:bookmarkStart w:id="376" w:name="_Toc22476"/>
      <w:r>
        <w:rPr>
          <w:rFonts w:ascii="Times New Roman" w:hAnsi="Times New Roman"/>
          <w:color w:val="auto"/>
          <w:highlight w:val="none"/>
        </w:rPr>
        <w:t xml:space="preserve">3.1 </w:t>
      </w:r>
      <w:r>
        <w:rPr>
          <w:rFonts w:hint="default" w:ascii="Times New Roman" w:hAnsi="Times New Roman"/>
          <w:color w:val="auto"/>
          <w:highlight w:val="none"/>
        </w:rPr>
        <w:t>合同价格</w:t>
      </w:r>
      <w:bookmarkEnd w:id="374"/>
      <w:bookmarkEnd w:id="375"/>
      <w:bookmarkEnd w:id="376"/>
    </w:p>
    <w:p>
      <w:pPr>
        <w:spacing w:line="360" w:lineRule="auto"/>
        <w:ind w:firstLine="480" w:firstLineChars="200"/>
        <w:rPr>
          <w:rFonts w:ascii="Times New Roman" w:hAnsi="Times New Roman"/>
          <w:color w:val="auto"/>
          <w:kern w:val="0"/>
          <w:szCs w:val="21"/>
          <w:highlight w:val="none"/>
        </w:rPr>
      </w:pPr>
      <w:r>
        <w:rPr>
          <w:rFonts w:ascii="Times New Roman" w:hAnsi="Times New Roman"/>
          <w:color w:val="auto"/>
          <w:szCs w:val="21"/>
          <w:highlight w:val="none"/>
        </w:rPr>
        <w:t>3.1.1 合同协议书中载明</w:t>
      </w:r>
      <w:r>
        <w:rPr>
          <w:rFonts w:ascii="Times New Roman" w:hAnsi="Times New Roman"/>
          <w:color w:val="auto"/>
          <w:kern w:val="0"/>
          <w:szCs w:val="21"/>
          <w:highlight w:val="none"/>
        </w:rPr>
        <w:t>的签约合同价包括卖方为完成合同全部义务应承担的一切成本、费用和支出以及卖方的合理利润</w:t>
      </w:r>
      <w:r>
        <w:rPr>
          <w:rFonts w:ascii="Times New Roman" w:hAnsi="Times New Roman"/>
          <w:color w:val="auto"/>
          <w:szCs w:val="21"/>
          <w:highlight w:val="none"/>
        </w:rPr>
        <w:t>。</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3.1.2 除专用合同条款另有约定外，签约合同价为固定价格。</w:t>
      </w:r>
    </w:p>
    <w:p>
      <w:pPr>
        <w:spacing w:before="157" w:beforeLines="50" w:after="157" w:afterLines="50" w:line="240" w:lineRule="auto"/>
        <w:ind w:firstLine="137"/>
        <w:outlineLvl w:val="2"/>
        <w:rPr>
          <w:rFonts w:ascii="Times New Roman" w:hAnsi="Times New Roman"/>
          <w:color w:val="auto"/>
          <w:highlight w:val="none"/>
        </w:rPr>
      </w:pPr>
      <w:bookmarkStart w:id="377" w:name="_Toc14026"/>
      <w:bookmarkStart w:id="378" w:name="_Toc482188737"/>
      <w:bookmarkStart w:id="379" w:name="_Toc491883191"/>
      <w:r>
        <w:rPr>
          <w:rFonts w:ascii="Times New Roman" w:hAnsi="Times New Roman"/>
          <w:color w:val="auto"/>
          <w:highlight w:val="none"/>
        </w:rPr>
        <w:t>3.2</w:t>
      </w:r>
      <w:r>
        <w:rPr>
          <w:rFonts w:hint="default" w:ascii="Times New Roman" w:hAnsi="Times New Roman"/>
          <w:color w:val="auto"/>
          <w:highlight w:val="none"/>
        </w:rPr>
        <w:t>合同价款的支付</w:t>
      </w:r>
      <w:bookmarkEnd w:id="377"/>
      <w:bookmarkEnd w:id="378"/>
      <w:bookmarkEnd w:id="379"/>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除专用合同条款另有约定外，买方应通过以下方式和比例向卖方支付合同价款：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3.2.1 预付款</w:t>
      </w:r>
    </w:p>
    <w:p>
      <w:pPr>
        <w:spacing w:line="360" w:lineRule="auto"/>
        <w:ind w:firstLine="480" w:firstLineChars="200"/>
        <w:rPr>
          <w:rStyle w:val="36"/>
          <w:rFonts w:ascii="Times New Roman" w:hAnsi="Times New Roman"/>
          <w:color w:val="auto"/>
          <w:highlight w:val="none"/>
        </w:rPr>
      </w:pPr>
      <w:bookmarkStart w:id="380" w:name="_Toc369531604"/>
      <w:bookmarkStart w:id="381" w:name="_Toc8892"/>
      <w:bookmarkStart w:id="382" w:name="_Toc296602502"/>
      <w:r>
        <w:rPr>
          <w:rFonts w:ascii="Times New Roman" w:hAnsi="Times New Roman"/>
          <w:color w:val="auto"/>
          <w:szCs w:val="21"/>
          <w:highlight w:val="none"/>
        </w:rPr>
        <w:t>合同生</w:t>
      </w:r>
      <w:bookmarkEnd w:id="380"/>
      <w:bookmarkEnd w:id="381"/>
      <w:bookmarkEnd w:id="382"/>
      <w:r>
        <w:rPr>
          <w:rFonts w:ascii="Times New Roman" w:hAnsi="Times New Roman"/>
          <w:color w:val="auto"/>
          <w:szCs w:val="21"/>
          <w:highlight w:val="none"/>
        </w:rPr>
        <w:t>效后，买方在收到卖方</w:t>
      </w:r>
      <w:r>
        <w:rPr>
          <w:rFonts w:ascii="Times New Roman" w:hAnsi="Times New Roman"/>
          <w:color w:val="auto"/>
          <w:szCs w:val="21"/>
          <w:highlight w:val="none"/>
          <w:lang w:val="zh-CN"/>
        </w:rPr>
        <w:t>开具的注明应付预付款金</w:t>
      </w:r>
      <w:bookmarkStart w:id="383" w:name="_Toc14602"/>
      <w:r>
        <w:rPr>
          <w:rFonts w:ascii="Times New Roman" w:hAnsi="Times New Roman"/>
          <w:color w:val="auto"/>
          <w:szCs w:val="21"/>
          <w:highlight w:val="none"/>
          <w:lang w:val="zh-CN"/>
        </w:rPr>
        <w:t>额的财务收据正本一份</w:t>
      </w:r>
      <w:r>
        <w:rPr>
          <w:rFonts w:ascii="Times New Roman" w:hAnsi="Times New Roman"/>
          <w:color w:val="auto"/>
          <w:szCs w:val="21"/>
          <w:highlight w:val="none"/>
        </w:rPr>
        <w:t>并经审核无</w:t>
      </w:r>
      <w:bookmarkEnd w:id="383"/>
      <w:r>
        <w:rPr>
          <w:rFonts w:ascii="Times New Roman" w:hAnsi="Times New Roman"/>
          <w:color w:val="auto"/>
          <w:szCs w:val="21"/>
          <w:highlight w:val="none"/>
        </w:rPr>
        <w:t>误后28日内，向卖方支付签约合同价的10%</w:t>
      </w:r>
      <w:r>
        <w:rPr>
          <w:rStyle w:val="36"/>
          <w:rFonts w:ascii="Times New Roman" w:hAnsi="Times New Roman"/>
          <w:color w:val="auto"/>
          <w:highlight w:val="none"/>
        </w:rPr>
        <w:t>作为预付款。</w:t>
      </w:r>
    </w:p>
    <w:p>
      <w:pPr>
        <w:spacing w:line="360" w:lineRule="auto"/>
        <w:ind w:firstLine="420" w:firstLineChars="200"/>
        <w:rPr>
          <w:rFonts w:ascii="Times New Roman" w:hAnsi="Times New Roman"/>
          <w:color w:val="auto"/>
          <w:szCs w:val="21"/>
          <w:highlight w:val="none"/>
        </w:rPr>
      </w:pPr>
      <w:r>
        <w:rPr>
          <w:rStyle w:val="36"/>
          <w:rFonts w:ascii="Times New Roman" w:hAnsi="Times New Roman"/>
          <w:color w:val="auto"/>
          <w:highlight w:val="none"/>
        </w:rPr>
        <w:t>买方支付预付款后，如卖方未履行合同义务，则买方有权收回预付款；如卖方依约履行了合同义务，则预付款抵作合同价款。</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3.2.2 交货款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卖方按合同约定交付全部合同设备后，买方在收到卖方</w:t>
      </w:r>
      <w:bookmarkStart w:id="384" w:name="_Toc16718"/>
      <w:r>
        <w:rPr>
          <w:rFonts w:ascii="Times New Roman" w:hAnsi="Times New Roman"/>
          <w:color w:val="auto"/>
          <w:szCs w:val="21"/>
          <w:highlight w:val="none"/>
        </w:rPr>
        <w:t>提交的下列全部单据并经</w:t>
      </w:r>
      <w:bookmarkEnd w:id="384"/>
      <w:r>
        <w:rPr>
          <w:rFonts w:ascii="Times New Roman" w:hAnsi="Times New Roman"/>
          <w:color w:val="auto"/>
          <w:szCs w:val="21"/>
          <w:highlight w:val="none"/>
        </w:rPr>
        <w:t>审核无误后28日内，向卖方支付合同价格的60%：</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（1）卖方出具的交货清单正本一份；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（2）买方签署的收货清单正本一份；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（3）制造商出具的出厂质量合格证正本一份；</w:t>
      </w:r>
    </w:p>
    <w:p>
      <w:pPr>
        <w:tabs>
          <w:tab w:val="left" w:pos="0"/>
          <w:tab w:val="decimal" w:pos="6240"/>
          <w:tab w:val="right" w:leader="dot" w:pos="10800"/>
        </w:tabs>
        <w:autoSpaceDE w:val="0"/>
        <w:autoSpaceDN w:val="0"/>
        <w:adjustRightInd w:val="0"/>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（4）合同价格100%金额的增值税发票正本一份。</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3.2.3 验收款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买方在收到卖方提交的买卖双方签署的合同设备验收证书</w:t>
      </w:r>
      <w:r>
        <w:rPr>
          <w:rStyle w:val="36"/>
          <w:rFonts w:ascii="Times New Roman" w:hAnsi="Times New Roman"/>
          <w:color w:val="auto"/>
          <w:highlight w:val="none"/>
        </w:rPr>
        <w:t>或已生效的验收款支付函</w:t>
      </w:r>
      <w:r>
        <w:rPr>
          <w:rFonts w:ascii="Times New Roman" w:hAnsi="Times New Roman"/>
          <w:color w:val="auto"/>
          <w:szCs w:val="21"/>
          <w:highlight w:val="none"/>
        </w:rPr>
        <w:t>正本一份并经审核无误后28日内，向卖方支付合同价格的25%。</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3.2.4 结清款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买方在收到卖方提交的买方签署的质量保证期届满证书或已生效的</w:t>
      </w:r>
      <w:r>
        <w:rPr>
          <w:rStyle w:val="36"/>
          <w:rFonts w:ascii="Times New Roman" w:hAnsi="Times New Roman"/>
          <w:color w:val="auto"/>
          <w:highlight w:val="none"/>
        </w:rPr>
        <w:t>结清款支付函</w:t>
      </w:r>
      <w:r>
        <w:rPr>
          <w:rFonts w:ascii="Times New Roman" w:hAnsi="Times New Roman"/>
          <w:color w:val="auto"/>
          <w:szCs w:val="21"/>
          <w:highlight w:val="none"/>
        </w:rPr>
        <w:t>正本一份并经审核无误后28日内，向卖方支付合同价格的5%。</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如果依照合同第9.1项，卖方应向买方支付费用的，买方有权从结清款中直接扣除该笔费用。</w:t>
      </w:r>
      <w:bookmarkStart w:id="385" w:name="_Toc27927"/>
    </w:p>
    <w:bookmarkEnd w:id="385"/>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除专用合同条款另有约定外，在买方向卖方支付验收款的同时或其后的任何时间内，卖方可在向买方提交买方可接受的金额为合同价格5%的合同结清款保函的前提下，要求买方支付合同结清款，买方不得拒绝。</w:t>
      </w:r>
    </w:p>
    <w:p>
      <w:pPr>
        <w:spacing w:before="157" w:beforeLines="50" w:after="157" w:afterLines="50" w:line="240" w:lineRule="auto"/>
        <w:ind w:firstLine="137"/>
        <w:outlineLvl w:val="2"/>
        <w:rPr>
          <w:rFonts w:ascii="Times New Roman" w:hAnsi="Times New Roman"/>
          <w:color w:val="auto"/>
          <w:highlight w:val="none"/>
        </w:rPr>
      </w:pPr>
      <w:bookmarkStart w:id="386" w:name="_Toc15293"/>
      <w:bookmarkStart w:id="387" w:name="_Toc491883192"/>
      <w:bookmarkStart w:id="388" w:name="_Toc482188738"/>
      <w:r>
        <w:rPr>
          <w:rFonts w:ascii="Times New Roman" w:hAnsi="Times New Roman"/>
          <w:color w:val="auto"/>
          <w:highlight w:val="none"/>
        </w:rPr>
        <w:t xml:space="preserve">3.3 </w:t>
      </w:r>
      <w:r>
        <w:rPr>
          <w:rFonts w:hint="default" w:ascii="Times New Roman" w:hAnsi="Times New Roman"/>
          <w:color w:val="auto"/>
          <w:highlight w:val="none"/>
        </w:rPr>
        <w:t>买方扣款的权利</w:t>
      </w:r>
      <w:bookmarkEnd w:id="386"/>
      <w:bookmarkEnd w:id="387"/>
      <w:bookmarkEnd w:id="388"/>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当卖方应向买方支付合同项下的违约金或赔偿金时，买方有权从上述任何一笔应付款中予以直接扣除和（或）兑付履约保证金。</w:t>
      </w:r>
    </w:p>
    <w:p>
      <w:pPr>
        <w:pStyle w:val="3"/>
        <w:ind w:firstLine="138"/>
        <w:rPr>
          <w:rFonts w:ascii="Times New Roman" w:hAnsi="Times New Roman"/>
          <w:bCs/>
          <w:color w:val="auto"/>
          <w:szCs w:val="32"/>
          <w:highlight w:val="none"/>
        </w:rPr>
      </w:pPr>
      <w:bookmarkStart w:id="389" w:name="_Toc17106"/>
      <w:bookmarkStart w:id="390" w:name="_Toc482188739"/>
      <w:bookmarkStart w:id="391" w:name="_Toc491883193"/>
      <w:r>
        <w:rPr>
          <w:rFonts w:ascii="Times New Roman" w:hAnsi="Times New Roman"/>
          <w:bCs/>
          <w:color w:val="auto"/>
          <w:szCs w:val="32"/>
          <w:highlight w:val="none"/>
        </w:rPr>
        <w:t>4. 监造及交货前检验</w:t>
      </w:r>
      <w:bookmarkEnd w:id="389"/>
      <w:bookmarkEnd w:id="390"/>
      <w:bookmarkEnd w:id="391"/>
    </w:p>
    <w:p>
      <w:pPr>
        <w:spacing w:before="157" w:beforeLines="50" w:after="157" w:afterLines="50" w:line="240" w:lineRule="auto"/>
        <w:ind w:firstLine="137"/>
        <w:outlineLvl w:val="2"/>
        <w:rPr>
          <w:rFonts w:ascii="Times New Roman" w:hAnsi="Times New Roman"/>
          <w:color w:val="auto"/>
          <w:highlight w:val="none"/>
        </w:rPr>
      </w:pPr>
      <w:bookmarkStart w:id="392" w:name="_Toc491883194"/>
      <w:bookmarkStart w:id="393" w:name="_Toc482188740"/>
      <w:bookmarkStart w:id="394" w:name="_Toc14521"/>
      <w:r>
        <w:rPr>
          <w:rFonts w:ascii="Times New Roman" w:hAnsi="Times New Roman"/>
          <w:color w:val="auto"/>
          <w:highlight w:val="none"/>
        </w:rPr>
        <w:t xml:space="preserve">4.1 </w:t>
      </w:r>
      <w:r>
        <w:rPr>
          <w:rFonts w:hint="default" w:ascii="Times New Roman" w:hAnsi="Times New Roman"/>
          <w:color w:val="auto"/>
          <w:highlight w:val="none"/>
        </w:rPr>
        <w:t>监造</w:t>
      </w:r>
      <w:bookmarkEnd w:id="392"/>
      <w:bookmarkEnd w:id="393"/>
      <w:bookmarkEnd w:id="394"/>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专用合同条款约定买方对合同设备进行监造的，双方应按本款及专用合同条款约定履行。</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4.1.1 在合同设备的制造过程中，买方可派出监造人员，对合同设备的生产制造进行监造，监督合同设备制造、检验等情况。监造的范围、方式等应符合专用合同条款和（或）供货要求等合同文件的约定。</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4.1</w:t>
      </w:r>
      <w:bookmarkStart w:id="395" w:name="_Toc14217"/>
      <w:r>
        <w:rPr>
          <w:rFonts w:ascii="Times New Roman" w:hAnsi="Times New Roman"/>
          <w:color w:val="auto"/>
          <w:szCs w:val="21"/>
          <w:highlight w:val="none"/>
        </w:rPr>
        <w:t>.2 除专用合同</w:t>
      </w:r>
      <w:bookmarkEnd w:id="395"/>
      <w:r>
        <w:rPr>
          <w:rFonts w:ascii="Times New Roman" w:hAnsi="Times New Roman"/>
          <w:color w:val="auto"/>
          <w:szCs w:val="21"/>
          <w:highlight w:val="none"/>
        </w:rPr>
        <w:t>条款和（或）供货要求等合同文件另有约定外，买方监造人员可到合同设备及其关键部件的</w:t>
      </w:r>
      <w:bookmarkStart w:id="396" w:name="_Toc15205"/>
      <w:r>
        <w:rPr>
          <w:rFonts w:ascii="Times New Roman" w:hAnsi="Times New Roman"/>
          <w:color w:val="auto"/>
          <w:szCs w:val="21"/>
          <w:highlight w:val="none"/>
        </w:rPr>
        <w:t>生产制造现</w:t>
      </w:r>
      <w:bookmarkEnd w:id="396"/>
      <w:r>
        <w:rPr>
          <w:rFonts w:ascii="Times New Roman" w:hAnsi="Times New Roman"/>
          <w:color w:val="auto"/>
          <w:szCs w:val="21"/>
          <w:highlight w:val="none"/>
        </w:rPr>
        <w:t>场进行监造，卖方应予配合。卖方应免费为买方监造人员提供工作条件及便利，包括但不限于必要的办</w:t>
      </w:r>
      <w:bookmarkStart w:id="397" w:name="_Toc29415"/>
      <w:r>
        <w:rPr>
          <w:rFonts w:ascii="Times New Roman" w:hAnsi="Times New Roman"/>
          <w:color w:val="auto"/>
          <w:szCs w:val="21"/>
          <w:highlight w:val="none"/>
        </w:rPr>
        <w:t>公场所、技术资料、检</w:t>
      </w:r>
      <w:bookmarkEnd w:id="397"/>
      <w:r>
        <w:rPr>
          <w:rFonts w:ascii="Times New Roman" w:hAnsi="Times New Roman"/>
          <w:color w:val="auto"/>
          <w:szCs w:val="21"/>
          <w:highlight w:val="none"/>
        </w:rPr>
        <w:t>测</w:t>
      </w:r>
      <w:bookmarkStart w:id="398" w:name="_Toc32016"/>
      <w:r>
        <w:rPr>
          <w:rFonts w:ascii="Times New Roman" w:hAnsi="Times New Roman"/>
          <w:color w:val="auto"/>
          <w:szCs w:val="21"/>
          <w:highlight w:val="none"/>
        </w:rPr>
        <w:t>工具及出入许可等</w:t>
      </w:r>
      <w:bookmarkEnd w:id="398"/>
      <w:r>
        <w:rPr>
          <w:rFonts w:ascii="Times New Roman" w:hAnsi="Times New Roman"/>
          <w:color w:val="auto"/>
          <w:szCs w:val="21"/>
          <w:highlight w:val="none"/>
        </w:rPr>
        <w:t>。除专用合同条款另有约定外，买方监造人员的交通、食宿费用由买方承担。</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4.1.3</w:t>
      </w:r>
      <w:r>
        <w:rPr>
          <w:rFonts w:hint="default" w:ascii="Times New Roman" w:hAnsi="Times New Roman"/>
          <w:color w:val="auto"/>
          <w:szCs w:val="21"/>
          <w:highlight w:val="none"/>
        </w:rPr>
        <w:t xml:space="preserve"> </w:t>
      </w:r>
      <w:r>
        <w:rPr>
          <w:rFonts w:ascii="Times New Roman" w:hAnsi="Times New Roman"/>
          <w:color w:val="auto"/>
          <w:szCs w:val="21"/>
          <w:highlight w:val="none"/>
        </w:rPr>
        <w:t>卖方制订生产制造合同设备的进度计划时，应将买方监造纳入计划安排，并提前通知买方；买方进行监造不应影响合同设备的正常生产。除专用合同条款和（或）供货要求等合同文件另有约定外，卖方应提前7日将需要买方监造人员现场监造事项通知买方；如买方监造人员未按通知出席</w:t>
      </w:r>
      <w:bookmarkStart w:id="399" w:name="_Toc369531649"/>
      <w:bookmarkStart w:id="400" w:name="_Toc7864"/>
      <w:r>
        <w:rPr>
          <w:rFonts w:ascii="Times New Roman" w:hAnsi="Times New Roman"/>
          <w:color w:val="auto"/>
          <w:szCs w:val="21"/>
          <w:highlight w:val="none"/>
        </w:rPr>
        <w:t>，不影响合</w:t>
      </w:r>
      <w:bookmarkEnd w:id="399"/>
      <w:bookmarkEnd w:id="400"/>
      <w:r>
        <w:rPr>
          <w:rFonts w:ascii="Times New Roman" w:hAnsi="Times New Roman"/>
          <w:color w:val="auto"/>
          <w:szCs w:val="21"/>
          <w:highlight w:val="none"/>
        </w:rPr>
        <w:t>同设备及其关键部件的制造或检验，但买方监造人员有权事后了解、查阅、复制相关制造或检验记录。</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4.1.4</w:t>
      </w:r>
      <w:r>
        <w:rPr>
          <w:rFonts w:hint="default" w:ascii="Times New Roman" w:hAnsi="Times New Roman"/>
          <w:color w:val="auto"/>
          <w:szCs w:val="21"/>
          <w:highlight w:val="none"/>
        </w:rPr>
        <w:t xml:space="preserve"> </w:t>
      </w:r>
      <w:r>
        <w:rPr>
          <w:rFonts w:ascii="Times New Roman" w:hAnsi="Times New Roman"/>
          <w:color w:val="auto"/>
          <w:szCs w:val="21"/>
          <w:highlight w:val="none"/>
        </w:rPr>
        <w:t>买方监造人员在监造中如发现合同设备及其关键部件不符合合同约定的标准，则有权提出意见和建议。卖方应采取必要措施消除合同设备的不符，由此增加的费用和（或）造成的延误由卖方负责。</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4.1.5</w:t>
      </w:r>
      <w:r>
        <w:rPr>
          <w:rFonts w:hint="default" w:ascii="Times New Roman" w:hAnsi="Times New Roman"/>
          <w:color w:val="auto"/>
          <w:szCs w:val="21"/>
          <w:highlight w:val="none"/>
        </w:rPr>
        <w:t xml:space="preserve"> </w:t>
      </w:r>
      <w:r>
        <w:rPr>
          <w:rFonts w:ascii="Times New Roman" w:hAnsi="Times New Roman"/>
          <w:color w:val="auto"/>
          <w:szCs w:val="21"/>
          <w:highlight w:val="none"/>
        </w:rPr>
        <w:t>买方监造人员对合同设备的监造，不视为对合同设备质量的确认，不影响卖方交货后买方依照合同约定对合同设备提出质量异议和（或）退货的权利，也不免除卖方依照合同约定对合同设备所应承担的任何义务或责任。</w:t>
      </w:r>
    </w:p>
    <w:p>
      <w:pPr>
        <w:spacing w:before="157" w:beforeLines="50" w:after="157" w:afterLines="50" w:line="240" w:lineRule="auto"/>
        <w:ind w:firstLine="137"/>
        <w:outlineLvl w:val="2"/>
        <w:rPr>
          <w:rFonts w:ascii="Times New Roman" w:hAnsi="Times New Roman"/>
          <w:color w:val="auto"/>
          <w:highlight w:val="none"/>
        </w:rPr>
      </w:pPr>
      <w:bookmarkStart w:id="401" w:name="_Toc491883195"/>
      <w:bookmarkStart w:id="402" w:name="_Toc482188741"/>
      <w:bookmarkStart w:id="403" w:name="_Toc3782"/>
      <w:r>
        <w:rPr>
          <w:rFonts w:ascii="Times New Roman" w:hAnsi="Times New Roman"/>
          <w:color w:val="auto"/>
          <w:highlight w:val="none"/>
        </w:rPr>
        <w:t xml:space="preserve">4.2 </w:t>
      </w:r>
      <w:r>
        <w:rPr>
          <w:rFonts w:hint="default" w:ascii="Times New Roman" w:hAnsi="Times New Roman"/>
          <w:color w:val="auto"/>
          <w:highlight w:val="none"/>
        </w:rPr>
        <w:t>交货前检验</w:t>
      </w:r>
      <w:bookmarkEnd w:id="401"/>
      <w:bookmarkEnd w:id="402"/>
      <w:bookmarkEnd w:id="403"/>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专用合同条款约定买方参与交货前检验的，双方应按本款及专用合同条款约定履行。</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4.2.1 合同设备交货前，卖方应会同买方代表根据合同约定对合同设备进行交货前检验并出具交货前检验记录，有关费用由卖方承担。卖方应免费为买方代表提供工作条件及便利，包括但不限于必要的办公场所、技术资料、检测工具及出入许可等。除专用合同条款另有约定外，买方代表的交通、食宿费用由买方承担。</w:t>
      </w:r>
    </w:p>
    <w:p>
      <w:pPr>
        <w:spacing w:line="360" w:lineRule="auto"/>
        <w:ind w:firstLine="420"/>
        <w:rPr>
          <w:rFonts w:ascii="Times New Roman" w:hAnsi="Times New Roman"/>
          <w:color w:val="auto"/>
          <w:szCs w:val="21"/>
          <w:highlight w:val="none"/>
        </w:rPr>
      </w:pPr>
      <w:r>
        <w:rPr>
          <w:rFonts w:ascii="Times New Roman" w:hAnsi="Times New Roman"/>
          <w:color w:val="auto"/>
          <w:szCs w:val="21"/>
          <w:highlight w:val="none"/>
        </w:rPr>
        <w:t xml:space="preserve">4.2.2 </w:t>
      </w:r>
      <w:r>
        <w:rPr>
          <w:rFonts w:ascii="Times New Roman" w:hAnsi="Times New Roman"/>
          <w:color w:val="auto"/>
          <w:highlight w:val="none"/>
        </w:rPr>
        <w:t>除</w:t>
      </w:r>
      <w:bookmarkStart w:id="404" w:name="_Toc17093"/>
      <w:r>
        <w:rPr>
          <w:rFonts w:ascii="Times New Roman" w:hAnsi="Times New Roman"/>
          <w:color w:val="auto"/>
          <w:highlight w:val="none"/>
        </w:rPr>
        <w:t>专用合同条款和（或）供</w:t>
      </w:r>
      <w:bookmarkEnd w:id="404"/>
      <w:r>
        <w:rPr>
          <w:rFonts w:ascii="Times New Roman" w:hAnsi="Times New Roman"/>
          <w:color w:val="auto"/>
          <w:highlight w:val="none"/>
        </w:rPr>
        <w:t>货要求等合同文件另有约定外，卖方应提前7日将需要买方代表检验事项通知买方；如买方代表未按通知出席</w:t>
      </w:r>
      <w:bookmarkStart w:id="405" w:name="_Toc8000"/>
      <w:bookmarkStart w:id="406" w:name="_Toc369531653"/>
      <w:r>
        <w:rPr>
          <w:rFonts w:ascii="Times New Roman" w:hAnsi="Times New Roman"/>
          <w:color w:val="auto"/>
          <w:highlight w:val="none"/>
        </w:rPr>
        <w:t>，不影响合同设备的</w:t>
      </w:r>
      <w:bookmarkEnd w:id="405"/>
      <w:bookmarkEnd w:id="406"/>
      <w:r>
        <w:rPr>
          <w:rFonts w:ascii="Times New Roman" w:hAnsi="Times New Roman"/>
          <w:color w:val="auto"/>
          <w:highlight w:val="none"/>
        </w:rPr>
        <w:t>检验。若卖方未依照合同约定提前通知买方而自行检验，则买</w:t>
      </w:r>
      <w:bookmarkStart w:id="407" w:name="_Toc17628"/>
      <w:r>
        <w:rPr>
          <w:rFonts w:ascii="Times New Roman" w:hAnsi="Times New Roman"/>
          <w:color w:val="auto"/>
          <w:highlight w:val="none"/>
        </w:rPr>
        <w:t>方有权要求卖方暂停发货</w:t>
      </w:r>
      <w:bookmarkEnd w:id="407"/>
      <w:r>
        <w:rPr>
          <w:rFonts w:ascii="Times New Roman" w:hAnsi="Times New Roman"/>
          <w:color w:val="auto"/>
          <w:highlight w:val="none"/>
        </w:rPr>
        <w:t>并</w:t>
      </w:r>
      <w:bookmarkStart w:id="408" w:name="_Toc9228"/>
      <w:r>
        <w:rPr>
          <w:rFonts w:ascii="Times New Roman" w:hAnsi="Times New Roman"/>
          <w:color w:val="auto"/>
          <w:highlight w:val="none"/>
        </w:rPr>
        <w:t>重新进行检验</w:t>
      </w:r>
      <w:bookmarkEnd w:id="408"/>
      <w:r>
        <w:rPr>
          <w:rFonts w:ascii="Times New Roman" w:hAnsi="Times New Roman"/>
          <w:color w:val="auto"/>
          <w:highlight w:val="none"/>
        </w:rPr>
        <w:t>，</w:t>
      </w:r>
      <w:r>
        <w:rPr>
          <w:rFonts w:ascii="Times New Roman" w:hAnsi="Times New Roman"/>
          <w:color w:val="auto"/>
          <w:szCs w:val="21"/>
          <w:highlight w:val="none"/>
        </w:rPr>
        <w:t>由此增加的费用和（或）造成的延误由卖方负责。</w:t>
      </w:r>
    </w:p>
    <w:p>
      <w:pPr>
        <w:spacing w:line="360" w:lineRule="auto"/>
        <w:ind w:firstLine="480" w:firstLineChars="200"/>
        <w:rPr>
          <w:rFonts w:ascii="Times New Roman" w:hAnsi="Times New Roman"/>
          <w:color w:val="auto"/>
          <w:highlight w:val="none"/>
        </w:rPr>
      </w:pPr>
      <w:r>
        <w:rPr>
          <w:rFonts w:ascii="Times New Roman" w:hAnsi="Times New Roman"/>
          <w:color w:val="auto"/>
          <w:szCs w:val="21"/>
          <w:highlight w:val="none"/>
        </w:rPr>
        <w:t xml:space="preserve">4.2.3 </w:t>
      </w:r>
      <w:r>
        <w:rPr>
          <w:rFonts w:ascii="Times New Roman" w:hAnsi="Times New Roman"/>
          <w:color w:val="auto"/>
          <w:highlight w:val="none"/>
        </w:rPr>
        <w:t>买方代表在检验中如发现合同设备</w:t>
      </w:r>
      <w:r>
        <w:rPr>
          <w:rFonts w:ascii="Times New Roman" w:hAnsi="Times New Roman"/>
          <w:color w:val="auto"/>
          <w:szCs w:val="21"/>
          <w:highlight w:val="none"/>
        </w:rPr>
        <w:t>不符合合同约定的</w:t>
      </w:r>
      <w:r>
        <w:rPr>
          <w:rFonts w:ascii="Times New Roman" w:hAnsi="Times New Roman"/>
          <w:color w:val="auto"/>
          <w:highlight w:val="none"/>
        </w:rPr>
        <w:t>标准，则有权提出异议。卖方应</w:t>
      </w:r>
      <w:r>
        <w:rPr>
          <w:rFonts w:ascii="Times New Roman" w:hAnsi="Times New Roman"/>
          <w:color w:val="auto"/>
          <w:szCs w:val="21"/>
          <w:highlight w:val="none"/>
        </w:rPr>
        <w:t>采取必要措施消除合同设备的不符</w:t>
      </w:r>
      <w:r>
        <w:rPr>
          <w:rFonts w:ascii="Times New Roman" w:hAnsi="Times New Roman"/>
          <w:color w:val="auto"/>
          <w:highlight w:val="none"/>
        </w:rPr>
        <w:t>，</w:t>
      </w:r>
      <w:r>
        <w:rPr>
          <w:rFonts w:ascii="Times New Roman" w:hAnsi="Times New Roman"/>
          <w:color w:val="auto"/>
          <w:szCs w:val="21"/>
          <w:highlight w:val="none"/>
        </w:rPr>
        <w:t>由此增加的费用和（或）造成的延误由卖方负责。</w:t>
      </w:r>
    </w:p>
    <w:p>
      <w:pPr>
        <w:spacing w:line="360" w:lineRule="auto"/>
        <w:ind w:firstLine="480" w:firstLineChars="200"/>
        <w:rPr>
          <w:rFonts w:ascii="Times New Roman" w:hAnsi="Times New Roman"/>
          <w:color w:val="auto"/>
          <w:highlight w:val="none"/>
        </w:rPr>
      </w:pPr>
      <w:r>
        <w:rPr>
          <w:rFonts w:ascii="Times New Roman" w:hAnsi="Times New Roman"/>
          <w:color w:val="auto"/>
          <w:szCs w:val="21"/>
          <w:highlight w:val="none"/>
        </w:rPr>
        <w:t xml:space="preserve">4.2.4 </w:t>
      </w:r>
      <w:r>
        <w:rPr>
          <w:rFonts w:ascii="Times New Roman" w:hAnsi="Times New Roman"/>
          <w:color w:val="auto"/>
          <w:highlight w:val="none"/>
        </w:rPr>
        <w:t>买方代表参与交货前检验及签署</w:t>
      </w:r>
      <w:r>
        <w:rPr>
          <w:rFonts w:ascii="Times New Roman" w:hAnsi="Times New Roman"/>
          <w:color w:val="auto"/>
          <w:szCs w:val="21"/>
          <w:highlight w:val="none"/>
        </w:rPr>
        <w:t>交货前检验记录的行为，不视为对合同设备质量的确认，</w:t>
      </w:r>
      <w:r>
        <w:rPr>
          <w:rFonts w:ascii="Times New Roman" w:hAnsi="Times New Roman"/>
          <w:color w:val="auto"/>
          <w:highlight w:val="none"/>
        </w:rPr>
        <w:t>不影响卖方交货后买方依照合同约定对合同设备提出质量异议和（或）退货的权利，也</w:t>
      </w:r>
      <w:r>
        <w:rPr>
          <w:rFonts w:ascii="Times New Roman" w:hAnsi="Times New Roman"/>
          <w:color w:val="auto"/>
          <w:szCs w:val="21"/>
          <w:highlight w:val="none"/>
        </w:rPr>
        <w:t>不免除卖方依照合同约定对合同设备所应承担的任何义务或责任。</w:t>
      </w:r>
    </w:p>
    <w:p>
      <w:pPr>
        <w:pStyle w:val="3"/>
        <w:rPr>
          <w:rFonts w:ascii="Times New Roman" w:hAnsi="Times New Roman"/>
          <w:bCs/>
          <w:color w:val="auto"/>
          <w:szCs w:val="32"/>
          <w:highlight w:val="none"/>
        </w:rPr>
      </w:pPr>
      <w:bookmarkStart w:id="409" w:name="_Toc6598"/>
      <w:bookmarkStart w:id="410" w:name="_Toc482188742"/>
      <w:bookmarkStart w:id="411" w:name="_Toc491883196"/>
      <w:r>
        <w:rPr>
          <w:rFonts w:ascii="Times New Roman" w:hAnsi="Times New Roman"/>
          <w:bCs/>
          <w:color w:val="auto"/>
          <w:szCs w:val="32"/>
          <w:highlight w:val="none"/>
        </w:rPr>
        <w:t>5.包装、标记、运输和交付</w:t>
      </w:r>
      <w:bookmarkEnd w:id="409"/>
      <w:bookmarkEnd w:id="410"/>
      <w:bookmarkEnd w:id="411"/>
    </w:p>
    <w:p>
      <w:pPr>
        <w:spacing w:before="157" w:beforeLines="50" w:after="157" w:afterLines="50" w:line="240" w:lineRule="auto"/>
        <w:ind w:firstLine="137"/>
        <w:outlineLvl w:val="2"/>
        <w:rPr>
          <w:rFonts w:ascii="Times New Roman" w:hAnsi="Times New Roman"/>
          <w:color w:val="auto"/>
          <w:highlight w:val="none"/>
        </w:rPr>
      </w:pPr>
      <w:bookmarkStart w:id="412" w:name="_Toc482188743"/>
      <w:bookmarkStart w:id="413" w:name="_Toc491883197"/>
      <w:bookmarkStart w:id="414" w:name="_Toc29690"/>
      <w:r>
        <w:rPr>
          <w:rFonts w:ascii="Times New Roman" w:hAnsi="Times New Roman"/>
          <w:color w:val="auto"/>
          <w:highlight w:val="none"/>
        </w:rPr>
        <w:t xml:space="preserve">5.1 </w:t>
      </w:r>
      <w:r>
        <w:rPr>
          <w:rFonts w:hint="default" w:ascii="Times New Roman" w:hAnsi="Times New Roman"/>
          <w:color w:val="auto"/>
          <w:highlight w:val="none"/>
        </w:rPr>
        <w:t>包装</w:t>
      </w:r>
      <w:bookmarkEnd w:id="412"/>
      <w:bookmarkEnd w:id="413"/>
      <w:bookmarkEnd w:id="414"/>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5.1.1 卖方应对合同设备进行妥善包装，以满足合同设备运至施工场地及在施工场地保管的需要。包装应采取防潮、防晒、防锈、防腐蚀、防震动及防止其它损坏的必要保护措施，从而保护合同设备能够经受多次搬运、装卸、长途运输并适宜保管。</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5.1.2 每个独立包装箱内应附装箱清单、质量合格证、装配图、说明书、操作指南等资料。</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5.1.3 除专用合同条款另有约定外，买方无需将包装物退还给卖方。</w:t>
      </w:r>
    </w:p>
    <w:p>
      <w:pPr>
        <w:spacing w:before="157" w:beforeLines="50" w:after="157" w:afterLines="50" w:line="240" w:lineRule="auto"/>
        <w:ind w:firstLine="137"/>
        <w:outlineLvl w:val="2"/>
        <w:rPr>
          <w:rFonts w:ascii="Times New Roman" w:hAnsi="Times New Roman"/>
          <w:color w:val="auto"/>
          <w:highlight w:val="none"/>
        </w:rPr>
      </w:pPr>
      <w:bookmarkStart w:id="415" w:name="_Toc482188744"/>
      <w:bookmarkStart w:id="416" w:name="_Toc19375"/>
      <w:bookmarkStart w:id="417" w:name="_Toc491883198"/>
      <w:r>
        <w:rPr>
          <w:rFonts w:ascii="Times New Roman" w:hAnsi="Times New Roman"/>
          <w:color w:val="auto"/>
          <w:highlight w:val="none"/>
        </w:rPr>
        <w:t xml:space="preserve">5.2 </w:t>
      </w:r>
      <w:r>
        <w:rPr>
          <w:rFonts w:hint="default" w:ascii="Times New Roman" w:hAnsi="Times New Roman"/>
          <w:color w:val="auto"/>
          <w:highlight w:val="none"/>
        </w:rPr>
        <w:t>标记</w:t>
      </w:r>
      <w:bookmarkEnd w:id="415"/>
      <w:bookmarkEnd w:id="416"/>
      <w:bookmarkEnd w:id="417"/>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5.2.1 除专用合同条款另有约定外，卖方应在每一包装箱相邻的</w:t>
      </w:r>
      <w:r>
        <w:rPr>
          <w:rFonts w:ascii="Times New Roman" w:hAnsi="Times New Roman"/>
          <w:color w:val="auto"/>
          <w:highlight w:val="none"/>
        </w:rPr>
        <w:t>四个侧面</w:t>
      </w:r>
      <w:r>
        <w:rPr>
          <w:rFonts w:ascii="Times New Roman" w:hAnsi="Times New Roman"/>
          <w:color w:val="auto"/>
          <w:szCs w:val="21"/>
          <w:highlight w:val="none"/>
        </w:rPr>
        <w:t>以不可擦除的、明显的方式标记必要的装运信息和标记，以满足合同设备运输和保管的需要。</w:t>
      </w:r>
    </w:p>
    <w:p>
      <w:pPr>
        <w:spacing w:line="360" w:lineRule="auto"/>
        <w:ind w:firstLine="480" w:firstLineChars="200"/>
        <w:rPr>
          <w:rFonts w:ascii="Times New Roman" w:hAnsi="Times New Roman"/>
          <w:color w:val="auto"/>
          <w:highlight w:val="none"/>
        </w:rPr>
      </w:pPr>
      <w:r>
        <w:rPr>
          <w:rFonts w:ascii="Times New Roman" w:hAnsi="Times New Roman"/>
          <w:color w:val="auto"/>
          <w:szCs w:val="21"/>
          <w:highlight w:val="none"/>
        </w:rPr>
        <w:t>5.2.2 根据合同设备的特点和运输、保管的不同要求，卖方应在包装箱上清楚地标注</w:t>
      </w:r>
      <w:r>
        <w:rPr>
          <w:rFonts w:hint="eastAsia" w:ascii="宋体" w:hAnsi="宋体" w:eastAsia="宋体" w:cs="宋体"/>
          <w:color w:val="auto"/>
          <w:szCs w:val="21"/>
          <w:highlight w:val="none"/>
        </w:rPr>
        <w:t>“</w:t>
      </w:r>
      <w:r>
        <w:rPr>
          <w:rFonts w:ascii="Times New Roman" w:hAnsi="Times New Roman"/>
          <w:color w:val="auto"/>
          <w:szCs w:val="21"/>
          <w:highlight w:val="none"/>
        </w:rPr>
        <w:t>小心轻放</w:t>
      </w:r>
      <w:r>
        <w:rPr>
          <w:rFonts w:hint="eastAsia" w:ascii="宋体" w:hAnsi="宋体" w:eastAsia="宋体" w:cs="宋体"/>
          <w:color w:val="auto"/>
          <w:szCs w:val="21"/>
          <w:highlight w:val="none"/>
        </w:rPr>
        <w:t>”</w:t>
      </w:r>
      <w:r>
        <w:rPr>
          <w:rFonts w:ascii="Times New Roman" w:hAnsi="Times New Roman"/>
          <w:color w:val="auto"/>
          <w:szCs w:val="21"/>
          <w:highlight w:val="none"/>
        </w:rPr>
        <w:t>、</w:t>
      </w:r>
      <w:r>
        <w:rPr>
          <w:rFonts w:hint="eastAsia" w:ascii="宋体" w:hAnsi="宋体" w:eastAsia="宋体" w:cs="宋体"/>
          <w:color w:val="auto"/>
          <w:szCs w:val="21"/>
          <w:highlight w:val="none"/>
        </w:rPr>
        <w:t>“</w:t>
      </w:r>
      <w:r>
        <w:rPr>
          <w:rFonts w:ascii="Times New Roman" w:hAnsi="Times New Roman"/>
          <w:color w:val="auto"/>
          <w:szCs w:val="21"/>
          <w:highlight w:val="none"/>
        </w:rPr>
        <w:t>此端朝上，请勿倒置</w:t>
      </w:r>
      <w:r>
        <w:rPr>
          <w:rFonts w:hint="eastAsia" w:ascii="宋体" w:hAnsi="宋体" w:eastAsia="宋体" w:cs="宋体"/>
          <w:color w:val="auto"/>
          <w:szCs w:val="21"/>
          <w:highlight w:val="none"/>
        </w:rPr>
        <w:t>”</w:t>
      </w:r>
      <w:r>
        <w:rPr>
          <w:rFonts w:ascii="Times New Roman" w:hAnsi="Times New Roman"/>
          <w:color w:val="auto"/>
          <w:szCs w:val="21"/>
          <w:highlight w:val="none"/>
        </w:rPr>
        <w:t>、</w:t>
      </w:r>
      <w:r>
        <w:rPr>
          <w:rFonts w:hint="eastAsia" w:ascii="宋体" w:hAnsi="宋体" w:eastAsia="宋体" w:cs="宋体"/>
          <w:color w:val="auto"/>
          <w:szCs w:val="21"/>
          <w:highlight w:val="none"/>
        </w:rPr>
        <w:t>“</w:t>
      </w:r>
      <w:r>
        <w:rPr>
          <w:rFonts w:ascii="Times New Roman" w:hAnsi="Times New Roman"/>
          <w:color w:val="auto"/>
          <w:szCs w:val="21"/>
          <w:highlight w:val="none"/>
        </w:rPr>
        <w:t>保持干燥</w:t>
      </w:r>
      <w:r>
        <w:rPr>
          <w:rFonts w:hint="eastAsia" w:ascii="宋体" w:hAnsi="宋体" w:eastAsia="宋体" w:cs="宋体"/>
          <w:color w:val="auto"/>
          <w:szCs w:val="21"/>
          <w:highlight w:val="none"/>
        </w:rPr>
        <w:t>”</w:t>
      </w:r>
      <w:r>
        <w:rPr>
          <w:rFonts w:ascii="Times New Roman" w:hAnsi="Times New Roman"/>
          <w:color w:val="auto"/>
          <w:szCs w:val="21"/>
          <w:highlight w:val="none"/>
        </w:rPr>
        <w:t>等字样和其他适当标记。对于专用合同条款约定的超大超重件，卖方应在包装箱两侧标注</w:t>
      </w:r>
      <w:r>
        <w:rPr>
          <w:rFonts w:hint="eastAsia" w:ascii="宋体" w:hAnsi="宋体" w:eastAsia="宋体" w:cs="宋体"/>
          <w:color w:val="auto"/>
          <w:szCs w:val="21"/>
          <w:highlight w:val="none"/>
        </w:rPr>
        <w:t>“</w:t>
      </w:r>
      <w:r>
        <w:rPr>
          <w:rFonts w:ascii="Times New Roman" w:hAnsi="Times New Roman"/>
          <w:color w:val="auto"/>
          <w:szCs w:val="21"/>
          <w:highlight w:val="none"/>
        </w:rPr>
        <w:t>重心</w:t>
      </w:r>
      <w:r>
        <w:rPr>
          <w:rFonts w:hint="eastAsia" w:ascii="宋体" w:hAnsi="宋体" w:eastAsia="宋体" w:cs="宋体"/>
          <w:color w:val="auto"/>
          <w:szCs w:val="21"/>
          <w:highlight w:val="none"/>
        </w:rPr>
        <w:t>”</w:t>
      </w:r>
      <w:r>
        <w:rPr>
          <w:rFonts w:ascii="Times New Roman" w:hAnsi="Times New Roman"/>
          <w:color w:val="auto"/>
          <w:szCs w:val="21"/>
          <w:highlight w:val="none"/>
        </w:rPr>
        <w:t>和</w:t>
      </w:r>
      <w:r>
        <w:rPr>
          <w:rFonts w:hint="eastAsia" w:ascii="宋体" w:hAnsi="宋体" w:eastAsia="宋体" w:cs="宋体"/>
          <w:color w:val="auto"/>
          <w:szCs w:val="21"/>
          <w:highlight w:val="none"/>
        </w:rPr>
        <w:t>“</w:t>
      </w:r>
      <w:r>
        <w:rPr>
          <w:rFonts w:ascii="Times New Roman" w:hAnsi="Times New Roman"/>
          <w:color w:val="auto"/>
          <w:szCs w:val="21"/>
          <w:highlight w:val="none"/>
        </w:rPr>
        <w:t>起吊点</w:t>
      </w:r>
      <w:r>
        <w:rPr>
          <w:rFonts w:hint="eastAsia" w:ascii="宋体" w:hAnsi="宋体" w:eastAsia="宋体" w:cs="宋体"/>
          <w:color w:val="auto"/>
          <w:szCs w:val="21"/>
          <w:highlight w:val="none"/>
        </w:rPr>
        <w:t>”</w:t>
      </w:r>
      <w:r>
        <w:rPr>
          <w:rFonts w:ascii="Times New Roman" w:hAnsi="Times New Roman"/>
          <w:color w:val="auto"/>
          <w:szCs w:val="21"/>
          <w:highlight w:val="none"/>
        </w:rPr>
        <w:t>以便装卸和搬运。</w:t>
      </w:r>
      <w:r>
        <w:rPr>
          <w:rFonts w:ascii="Times New Roman" w:hAnsi="Times New Roman"/>
          <w:color w:val="auto"/>
          <w:highlight w:val="none"/>
        </w:rPr>
        <w:t>如果发运合同设备中含有易燃易爆物品、腐蚀物品、放射性物质等危险品，则应在包装箱上标明危险品标志。</w:t>
      </w:r>
    </w:p>
    <w:p>
      <w:pPr>
        <w:spacing w:before="157" w:beforeLines="50" w:after="157" w:afterLines="50" w:line="240" w:lineRule="auto"/>
        <w:ind w:firstLine="137"/>
        <w:outlineLvl w:val="2"/>
        <w:rPr>
          <w:rFonts w:ascii="Times New Roman" w:hAnsi="Times New Roman"/>
          <w:color w:val="auto"/>
          <w:highlight w:val="none"/>
        </w:rPr>
      </w:pPr>
      <w:bookmarkStart w:id="418" w:name="_Toc491883199"/>
      <w:bookmarkStart w:id="419" w:name="_Toc482188745"/>
      <w:bookmarkStart w:id="420" w:name="_Toc18896"/>
      <w:r>
        <w:rPr>
          <w:rFonts w:ascii="Times New Roman" w:hAnsi="Times New Roman"/>
          <w:color w:val="auto"/>
          <w:highlight w:val="none"/>
        </w:rPr>
        <w:t>5.3</w:t>
      </w:r>
      <w:r>
        <w:rPr>
          <w:rFonts w:hint="default" w:ascii="Times New Roman" w:hAnsi="Times New Roman"/>
          <w:color w:val="auto"/>
          <w:highlight w:val="none"/>
        </w:rPr>
        <w:t>运输</w:t>
      </w:r>
      <w:bookmarkEnd w:id="418"/>
      <w:bookmarkEnd w:id="419"/>
      <w:bookmarkEnd w:id="420"/>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5.3.1 卖方应自行选择适宜的运输工具及线路安排合同设备运输。</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5.3.2 除专用合同条款另有约定外，每件能够独立运行的设备应整套装运。该设备安装、调试、考核和运行所使用的备品、备件、易损易耗件等应随相关的主机一齐装运。</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w:t>
      </w:r>
      <w:bookmarkStart w:id="421" w:name="_Toc21215"/>
      <w:r>
        <w:rPr>
          <w:rFonts w:ascii="Times New Roman" w:hAnsi="Times New Roman"/>
          <w:color w:val="auto"/>
          <w:szCs w:val="21"/>
          <w:highlight w:val="none"/>
        </w:rPr>
        <w:t>.3.3 除专用合同</w:t>
      </w:r>
      <w:bookmarkEnd w:id="421"/>
      <w:r>
        <w:rPr>
          <w:rFonts w:ascii="Times New Roman" w:hAnsi="Times New Roman"/>
          <w:color w:val="auto"/>
          <w:szCs w:val="21"/>
          <w:highlight w:val="none"/>
        </w:rPr>
        <w:t>条款另有约定外，卖方应在合同设备预计启运7日前，将合同设备名称、数量、箱数、总毛重、总体积（用m</w:t>
      </w:r>
      <w:r>
        <w:rPr>
          <w:rFonts w:ascii="Times New Roman" w:hAnsi="Times New Roman"/>
          <w:color w:val="auto"/>
          <w:position w:val="6"/>
          <w:sz w:val="15"/>
          <w:szCs w:val="15"/>
          <w:highlight w:val="none"/>
        </w:rPr>
        <w:t>3</w:t>
      </w:r>
      <w:r>
        <w:rPr>
          <w:rFonts w:ascii="Times New Roman" w:hAnsi="Times New Roman"/>
          <w:color w:val="auto"/>
          <w:szCs w:val="21"/>
          <w:highlight w:val="none"/>
        </w:rPr>
        <w:t>表示）、每箱尺寸（长×宽×高）、装运合同设备总金额、运输方式、预计交付日期和合同设备在运输、装卸、保管中的注意事项等预通知买方，并在合同设备启运后24小时之内正式通知买方。</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5.3.4 卖方在根据</w:t>
      </w:r>
      <w:r>
        <w:rPr>
          <w:rFonts w:hint="default" w:ascii="Times New Roman" w:hAnsi="Times New Roman"/>
          <w:color w:val="auto"/>
          <w:szCs w:val="21"/>
          <w:highlight w:val="none"/>
        </w:rPr>
        <w:t>第</w:t>
      </w:r>
      <w:r>
        <w:rPr>
          <w:rFonts w:ascii="Times New Roman" w:hAnsi="Times New Roman"/>
          <w:color w:val="auto"/>
          <w:szCs w:val="21"/>
          <w:highlight w:val="none"/>
        </w:rPr>
        <w:t>5.3.3项进行通知时，如果发运合同设备中包括专用合同条款约定的超大超重包装，则卖方应将超大</w:t>
      </w:r>
      <w:r>
        <w:rPr>
          <w:rFonts w:ascii="Times New Roman" w:hAnsi="Times New Roman"/>
          <w:color w:val="auto"/>
          <w:highlight w:val="none"/>
        </w:rPr>
        <w:t>和（或）</w:t>
      </w:r>
      <w:r>
        <w:rPr>
          <w:rFonts w:ascii="Times New Roman" w:hAnsi="Times New Roman"/>
          <w:color w:val="auto"/>
          <w:szCs w:val="21"/>
          <w:highlight w:val="none"/>
        </w:rPr>
        <w:t>超重的每个包装箱的重量和尺寸通知买方；如果发运合同设备中包括</w:t>
      </w:r>
      <w:r>
        <w:rPr>
          <w:rFonts w:ascii="Times New Roman" w:hAnsi="Times New Roman"/>
          <w:color w:val="auto"/>
          <w:highlight w:val="none"/>
        </w:rPr>
        <w:t>易燃易爆物品、腐蚀物品、放射性物质等危险品，则危险品的品名、性质、</w:t>
      </w:r>
      <w:r>
        <w:rPr>
          <w:rFonts w:ascii="Times New Roman" w:hAnsi="Times New Roman"/>
          <w:color w:val="auto"/>
          <w:szCs w:val="21"/>
          <w:highlight w:val="none"/>
        </w:rPr>
        <w:t>在运输、装卸、保管方面的特殊要求、注意事项和处理意外情况的方法等，也应一并通知买方。</w:t>
      </w:r>
    </w:p>
    <w:p>
      <w:pPr>
        <w:keepNext w:val="0"/>
        <w:keepLines w:val="0"/>
        <w:spacing w:before="157" w:beforeLines="50" w:after="157" w:afterLines="50" w:line="240" w:lineRule="auto"/>
        <w:ind w:firstLine="137"/>
        <w:outlineLvl w:val="2"/>
        <w:rPr>
          <w:rFonts w:ascii="Times New Roman" w:hAnsi="Times New Roman"/>
          <w:color w:val="auto"/>
          <w:highlight w:val="none"/>
        </w:rPr>
      </w:pPr>
      <w:bookmarkStart w:id="422" w:name="_Toc482188746"/>
      <w:bookmarkStart w:id="423" w:name="_Toc22304"/>
      <w:bookmarkStart w:id="424" w:name="_Toc491883200"/>
      <w:r>
        <w:rPr>
          <w:rFonts w:ascii="Times New Roman" w:hAnsi="Times New Roman"/>
          <w:color w:val="auto"/>
          <w:highlight w:val="none"/>
        </w:rPr>
        <w:t xml:space="preserve">5.4 </w:t>
      </w:r>
      <w:r>
        <w:rPr>
          <w:rFonts w:hint="default" w:ascii="Times New Roman" w:hAnsi="Times New Roman"/>
          <w:color w:val="auto"/>
          <w:highlight w:val="none"/>
        </w:rPr>
        <w:t>交付</w:t>
      </w:r>
      <w:bookmarkEnd w:id="422"/>
      <w:bookmarkEnd w:id="423"/>
      <w:bookmarkEnd w:id="424"/>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5.4.1 除专用合同条款另有约定外，卖方应根据合同约定的交付时间和批次在施工场地车面上将合同设备交付给买方。买方对卖方交付的包装的合同设备的外观及件数进行清点核验后应签发收货清单</w:t>
      </w:r>
      <w:r>
        <w:rPr>
          <w:rFonts w:ascii="Times New Roman" w:hAnsi="Times New Roman"/>
          <w:color w:val="auto"/>
          <w:sz w:val="20"/>
          <w:szCs w:val="21"/>
          <w:highlight w:val="none"/>
        </w:rPr>
        <w:t>，</w:t>
      </w:r>
      <w:r>
        <w:rPr>
          <w:rFonts w:ascii="Times New Roman" w:hAnsi="Times New Roman"/>
          <w:color w:val="auto"/>
          <w:szCs w:val="21"/>
          <w:highlight w:val="none"/>
        </w:rPr>
        <w:t>并自负风险和费用进行卸货。买方签发收货清单不代表对合同设备的接受，双方还应按合同约定进行后续的检验和验收。</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5.4.2 合同设备的所有权和风险自交付时起由卖方转移至买方，</w:t>
      </w:r>
      <w:r>
        <w:rPr>
          <w:rFonts w:ascii="Times New Roman" w:hAnsi="Times New Roman"/>
          <w:color w:val="auto"/>
          <w:highlight w:val="none"/>
        </w:rPr>
        <w:t>合同设备交付给买方</w:t>
      </w:r>
      <w:r>
        <w:rPr>
          <w:rFonts w:ascii="Times New Roman" w:hAnsi="Times New Roman"/>
          <w:color w:val="auto"/>
          <w:szCs w:val="21"/>
          <w:highlight w:val="none"/>
        </w:rPr>
        <w:t>之前包括运输在内的所有风险均由卖方承担。</w:t>
      </w:r>
    </w:p>
    <w:p>
      <w:pPr>
        <w:spacing w:line="360" w:lineRule="auto"/>
        <w:ind w:firstLine="480" w:firstLineChars="200"/>
        <w:rPr>
          <w:rFonts w:ascii="Times New Roman" w:hAnsi="Times New Roman"/>
          <w:color w:val="auto"/>
          <w:highlight w:val="none"/>
        </w:rPr>
      </w:pPr>
      <w:r>
        <w:rPr>
          <w:rFonts w:ascii="Times New Roman" w:hAnsi="Times New Roman"/>
          <w:color w:val="auto"/>
          <w:szCs w:val="21"/>
          <w:highlight w:val="none"/>
        </w:rPr>
        <w:t>5.4.3 除专用合同条款另有约定外，买方如果发现技术资料存在短缺和（或）损坏，卖方应在收到买方的通知后7日内免费补齐短缺和（或）损坏的部分</w:t>
      </w:r>
      <w:bookmarkStart w:id="425" w:name="_Toc144974636"/>
      <w:bookmarkStart w:id="426" w:name="_Toc152045668"/>
      <w:bookmarkStart w:id="427" w:name="_Toc152042446"/>
      <w:bookmarkStart w:id="428" w:name="_Toc296602528"/>
      <w:bookmarkStart w:id="429" w:name="_Toc179632686"/>
      <w:bookmarkStart w:id="430" w:name="_Toc27630"/>
      <w:bookmarkStart w:id="431" w:name="_Toc369531621"/>
      <w:r>
        <w:rPr>
          <w:rFonts w:ascii="Times New Roman" w:hAnsi="Times New Roman"/>
          <w:color w:val="auto"/>
          <w:szCs w:val="21"/>
          <w:highlight w:val="none"/>
        </w:rPr>
        <w:t>。如果买方发现卖方提供的</w:t>
      </w:r>
      <w:bookmarkEnd w:id="425"/>
      <w:bookmarkEnd w:id="426"/>
      <w:bookmarkEnd w:id="427"/>
      <w:bookmarkEnd w:id="428"/>
      <w:bookmarkEnd w:id="429"/>
      <w:r>
        <w:rPr>
          <w:rFonts w:ascii="Times New Roman" w:hAnsi="Times New Roman"/>
          <w:color w:val="auto"/>
          <w:szCs w:val="21"/>
          <w:highlight w:val="none"/>
        </w:rPr>
        <w:t>技术</w:t>
      </w:r>
      <w:bookmarkEnd w:id="430"/>
      <w:bookmarkEnd w:id="431"/>
      <w:r>
        <w:rPr>
          <w:rFonts w:ascii="Times New Roman" w:hAnsi="Times New Roman"/>
          <w:color w:val="auto"/>
          <w:szCs w:val="21"/>
          <w:highlight w:val="none"/>
        </w:rPr>
        <w:t>资</w:t>
      </w:r>
      <w:bookmarkStart w:id="432" w:name="_Toc20508"/>
      <w:r>
        <w:rPr>
          <w:rFonts w:ascii="Times New Roman" w:hAnsi="Times New Roman"/>
          <w:color w:val="auto"/>
          <w:szCs w:val="21"/>
          <w:highlight w:val="none"/>
        </w:rPr>
        <w:t>料有误，卖方</w:t>
      </w:r>
      <w:bookmarkEnd w:id="432"/>
      <w:r>
        <w:rPr>
          <w:rFonts w:ascii="Times New Roman" w:hAnsi="Times New Roman"/>
          <w:color w:val="auto"/>
          <w:szCs w:val="21"/>
          <w:highlight w:val="none"/>
        </w:rPr>
        <w:t>应在收到买方通知后7日内免费替换。如由于买方原因导致技术资料丢失和（或）损坏，卖方应在收到买方的通知后7日内补齐丢失和（或）损坏的部分，但买方应向卖方支付合理的复制、邮寄费用。</w:t>
      </w:r>
    </w:p>
    <w:p>
      <w:pPr>
        <w:pStyle w:val="3"/>
        <w:rPr>
          <w:rFonts w:ascii="Times New Roman" w:hAnsi="Times New Roman"/>
          <w:bCs/>
          <w:color w:val="auto"/>
          <w:szCs w:val="32"/>
          <w:highlight w:val="none"/>
        </w:rPr>
      </w:pPr>
      <w:bookmarkStart w:id="433" w:name="_Toc4553"/>
      <w:bookmarkStart w:id="434" w:name="_Toc482188747"/>
      <w:bookmarkStart w:id="435" w:name="_Toc491883201"/>
      <w:r>
        <w:rPr>
          <w:rFonts w:ascii="Times New Roman" w:hAnsi="Times New Roman"/>
          <w:bCs/>
          <w:color w:val="auto"/>
          <w:szCs w:val="32"/>
          <w:highlight w:val="none"/>
        </w:rPr>
        <w:t>6. 开箱检验、安装、调试、考核、验收</w:t>
      </w:r>
      <w:bookmarkEnd w:id="433"/>
      <w:bookmarkEnd w:id="434"/>
      <w:bookmarkEnd w:id="435"/>
    </w:p>
    <w:p>
      <w:pPr>
        <w:spacing w:before="157" w:beforeLines="50" w:after="157" w:afterLines="50" w:line="240" w:lineRule="auto"/>
        <w:ind w:firstLine="137"/>
        <w:outlineLvl w:val="2"/>
        <w:rPr>
          <w:rFonts w:ascii="Times New Roman" w:hAnsi="Times New Roman"/>
          <w:color w:val="auto"/>
          <w:highlight w:val="none"/>
        </w:rPr>
      </w:pPr>
      <w:bookmarkStart w:id="436" w:name="_Toc3316"/>
      <w:bookmarkStart w:id="437" w:name="_Toc482188748"/>
      <w:bookmarkStart w:id="438" w:name="_Toc491883202"/>
      <w:r>
        <w:rPr>
          <w:rFonts w:ascii="Times New Roman" w:hAnsi="Times New Roman"/>
          <w:color w:val="auto"/>
          <w:highlight w:val="none"/>
        </w:rPr>
        <w:t xml:space="preserve">6.1 </w:t>
      </w:r>
      <w:r>
        <w:rPr>
          <w:rFonts w:hint="default" w:ascii="Times New Roman" w:hAnsi="Times New Roman"/>
          <w:color w:val="auto"/>
          <w:highlight w:val="none"/>
        </w:rPr>
        <w:t>开箱检验</w:t>
      </w:r>
      <w:bookmarkEnd w:id="436"/>
      <w:bookmarkEnd w:id="437"/>
      <w:bookmarkEnd w:id="438"/>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6.1.1 合同设备交付后应进行开箱检验，即合同设备数量及外观检验。开箱检验在专用合同条款约定的下列任一种时间进行：</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（1）合同设备交付时；</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（2）合同设备交付后的一定期限内。</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如开箱检验不在合同设备交付时进行，买方应在开箱检验3日前将开箱检验的时间和地点通知卖方。</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6.1.2 除专用合同条款另有约定外，合同设备的开箱检验应在施工场地进行。</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6.1.3 开箱检验由买卖双方共同进行，卖方应自负费用派遣代表到场参加开箱检验。</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6.1.4 在开箱检验中，买方和卖方应共同签署数量、外观检验报告，报告应列明检验结果，包括检验合格或发现的任何短缺、损坏或其它与合同约定不符的情形。</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6.1.5 如果卖方代表未能依约或</w:t>
      </w:r>
      <w:r>
        <w:rPr>
          <w:rFonts w:ascii="Times New Roman" w:hAnsi="Times New Roman"/>
          <w:color w:val="auto"/>
          <w:highlight w:val="none"/>
        </w:rPr>
        <w:t>按买方通知</w:t>
      </w:r>
      <w:r>
        <w:rPr>
          <w:rFonts w:ascii="Times New Roman" w:hAnsi="Times New Roman"/>
          <w:color w:val="auto"/>
          <w:szCs w:val="21"/>
          <w:highlight w:val="none"/>
        </w:rPr>
        <w:t>到场参加开箱检验，买方有权在卖方代表未在场的情况下进行开箱检验，并签署数量、外观检验报告，对于该检验报告和检验结果，视为卖方已接受，但卖方确有合理理由且事先与买方协商推迟开箱检验时间的除外。</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6.1.6 如开箱检验不在合同设备交付时进行，则合同设备交付以后到开箱检验之前，应由买方负责按交货时外包装原样对合同设备进行妥善保管。除专用合同条款另有约定外，在开箱检验时如果合同设备外包装与交货时一致，则开箱检验中发现的合同设备的短缺、损坏或其它与合同约定不符的情形，由卖方负责，卖方应补齐、更换及采取其他补救措施。如果在开箱检验时合同设备外包装不是交货时的包装或虽是交货时的包装但与交货时不一致且出现很可能导致合同设备短缺或损坏的包装破损，则开箱检验中发现合同设备短缺、损坏或其它与合同约定不符的情形的风险，由买方承担，但买方能够证明是由于卖方原因或合同设备交付前非买方原因导致的除外。</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6.1.7 如双方在</w:t>
      </w:r>
      <w:r>
        <w:rPr>
          <w:rFonts w:ascii="Times New Roman" w:hAnsi="Times New Roman"/>
          <w:color w:val="auto"/>
          <w:highlight w:val="none"/>
        </w:rPr>
        <w:t>专用合同条款和（或）供货要求等合同文件</w:t>
      </w:r>
      <w:r>
        <w:rPr>
          <w:rFonts w:ascii="Times New Roman" w:hAnsi="Times New Roman"/>
          <w:color w:val="auto"/>
          <w:szCs w:val="21"/>
          <w:highlight w:val="none"/>
        </w:rPr>
        <w:t>中约定由第三方检测机构对合同设备进行开箱检验或在开箱检验过程中另行约定由第三方检验的，则第三方检测机构的检验结果对双方均具有约束力。</w:t>
      </w:r>
    </w:p>
    <w:p>
      <w:pPr>
        <w:spacing w:line="360" w:lineRule="auto"/>
        <w:ind w:firstLine="420"/>
        <w:rPr>
          <w:rFonts w:ascii="Times New Roman" w:hAnsi="Times New Roman"/>
          <w:color w:val="auto"/>
          <w:szCs w:val="21"/>
          <w:highlight w:val="none"/>
        </w:rPr>
      </w:pPr>
      <w:r>
        <w:rPr>
          <w:rFonts w:ascii="Times New Roman" w:hAnsi="Times New Roman"/>
          <w:color w:val="auto"/>
          <w:szCs w:val="21"/>
          <w:highlight w:val="none"/>
        </w:rPr>
        <w:t>6.1.8 开箱检验的检验结果不能对抗在合同设备的安装、调试、考核、验收中及质量保证期内发现的合同设备质</w:t>
      </w:r>
      <w:bookmarkStart w:id="439" w:name="_Toc27556"/>
      <w:r>
        <w:rPr>
          <w:rFonts w:ascii="Times New Roman" w:hAnsi="Times New Roman"/>
          <w:color w:val="auto"/>
          <w:szCs w:val="21"/>
          <w:highlight w:val="none"/>
        </w:rPr>
        <w:t>量问题，</w:t>
      </w:r>
      <w:r>
        <w:rPr>
          <w:rFonts w:ascii="Times New Roman" w:hAnsi="Times New Roman"/>
          <w:color w:val="auto"/>
          <w:highlight w:val="none"/>
        </w:rPr>
        <w:t>也</w:t>
      </w:r>
      <w:r>
        <w:rPr>
          <w:rFonts w:ascii="Times New Roman" w:hAnsi="Times New Roman"/>
          <w:color w:val="auto"/>
          <w:szCs w:val="21"/>
          <w:highlight w:val="none"/>
        </w:rPr>
        <w:t>不</w:t>
      </w:r>
      <w:bookmarkEnd w:id="439"/>
      <w:r>
        <w:rPr>
          <w:rFonts w:ascii="Times New Roman" w:hAnsi="Times New Roman"/>
          <w:color w:val="auto"/>
          <w:szCs w:val="21"/>
          <w:highlight w:val="none"/>
        </w:rPr>
        <w:t>能免除或影响卖方依照合同约定对买方负有的包括合同设备质量在内的任何义务或责任。</w:t>
      </w:r>
    </w:p>
    <w:p>
      <w:pPr>
        <w:spacing w:before="157" w:beforeLines="50" w:after="157" w:afterLines="50" w:line="240" w:lineRule="auto"/>
        <w:ind w:firstLine="137"/>
        <w:outlineLvl w:val="2"/>
        <w:rPr>
          <w:rFonts w:ascii="Times New Roman" w:hAnsi="Times New Roman"/>
          <w:color w:val="auto"/>
          <w:highlight w:val="none"/>
        </w:rPr>
      </w:pPr>
      <w:bookmarkStart w:id="440" w:name="_Toc482188749"/>
      <w:bookmarkStart w:id="441" w:name="_Toc491883203"/>
      <w:bookmarkStart w:id="442" w:name="_Toc24875"/>
      <w:r>
        <w:rPr>
          <w:rFonts w:ascii="Times New Roman" w:hAnsi="Times New Roman"/>
          <w:color w:val="auto"/>
          <w:highlight w:val="none"/>
        </w:rPr>
        <w:t xml:space="preserve">6.2 </w:t>
      </w:r>
      <w:r>
        <w:rPr>
          <w:rFonts w:hint="default" w:ascii="Times New Roman" w:hAnsi="Times New Roman"/>
          <w:color w:val="auto"/>
          <w:highlight w:val="none"/>
        </w:rPr>
        <w:t>安装、调试</w:t>
      </w:r>
      <w:bookmarkEnd w:id="440"/>
      <w:bookmarkEnd w:id="441"/>
      <w:bookmarkEnd w:id="442"/>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6.2.1 开箱检验完成后，双方应对合同设备进行安装、调试，以使其具备考核的状态。安装、调试应按照专用合同条款约定的下列任一种方式进行：</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（1）卖方按照合同约定完成合同设备的安装、调试工作；</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（2）买方或买方安排第三方负责合同设备的安装、调试工作，卖方提供技术服务。</w:t>
      </w:r>
    </w:p>
    <w:p>
      <w:pPr>
        <w:spacing w:line="360" w:lineRule="auto"/>
        <w:ind w:firstLine="480" w:firstLineChars="200"/>
        <w:outlineLvl w:val="9"/>
        <w:rPr>
          <w:rFonts w:ascii="Times New Roman" w:hAnsi="Times New Roman"/>
          <w:color w:val="auto"/>
          <w:szCs w:val="21"/>
          <w:highlight w:val="none"/>
          <w:lang w:val="zh-CN"/>
        </w:rPr>
      </w:pPr>
      <w:r>
        <w:rPr>
          <w:rFonts w:ascii="Times New Roman" w:hAnsi="Times New Roman"/>
          <w:color w:val="auto"/>
          <w:szCs w:val="21"/>
          <w:highlight w:val="none"/>
        </w:rPr>
        <w:t>除专用合同条款另有约定外，</w:t>
      </w:r>
      <w:r>
        <w:rPr>
          <w:rFonts w:ascii="Times New Roman" w:hAnsi="Times New Roman"/>
          <w:color w:val="auto"/>
          <w:szCs w:val="21"/>
          <w:highlight w:val="none"/>
          <w:lang w:val="zh-CN"/>
        </w:rPr>
        <w:t>在安装、调试过程中，如由于买方</w:t>
      </w:r>
      <w:r>
        <w:rPr>
          <w:rFonts w:ascii="Times New Roman" w:hAnsi="Times New Roman"/>
          <w:color w:val="auto"/>
          <w:szCs w:val="21"/>
          <w:highlight w:val="none"/>
        </w:rPr>
        <w:t>或买方安排的第三方</w:t>
      </w:r>
      <w:r>
        <w:rPr>
          <w:rFonts w:ascii="Times New Roman" w:hAnsi="Times New Roman"/>
          <w:color w:val="auto"/>
          <w:szCs w:val="21"/>
          <w:highlight w:val="none"/>
          <w:lang w:val="zh-CN"/>
        </w:rPr>
        <w:t>未按照卖方现场服务人员的指导导致安装、调试不成功和（或）出现合同设备损坏，买方应自行承担责任。如在买方</w:t>
      </w:r>
      <w:r>
        <w:rPr>
          <w:rFonts w:ascii="Times New Roman" w:hAnsi="Times New Roman"/>
          <w:color w:val="auto"/>
          <w:szCs w:val="21"/>
          <w:highlight w:val="none"/>
        </w:rPr>
        <w:t>或买方安排的第三方</w:t>
      </w:r>
      <w:r>
        <w:rPr>
          <w:rFonts w:ascii="Times New Roman" w:hAnsi="Times New Roman"/>
          <w:color w:val="auto"/>
          <w:szCs w:val="21"/>
          <w:highlight w:val="none"/>
          <w:lang w:val="zh-CN"/>
        </w:rPr>
        <w:t>按照卖方现场服务人员的指导进行安装、调试的情况下出现安装、调试不成功和（或）</w:t>
      </w:r>
      <w:r>
        <w:rPr>
          <w:rFonts w:ascii="Times New Roman" w:hAnsi="Times New Roman"/>
          <w:color w:val="auto"/>
          <w:szCs w:val="21"/>
          <w:highlight w:val="none"/>
        </w:rPr>
        <w:t>造成</w:t>
      </w:r>
      <w:r>
        <w:rPr>
          <w:rFonts w:ascii="Times New Roman" w:hAnsi="Times New Roman"/>
          <w:color w:val="auto"/>
          <w:szCs w:val="21"/>
          <w:highlight w:val="none"/>
          <w:lang w:val="zh-CN"/>
        </w:rPr>
        <w:t>合同设备损坏的情况，卖方应承担责任。</w:t>
      </w:r>
    </w:p>
    <w:p>
      <w:pPr>
        <w:spacing w:line="360" w:lineRule="auto"/>
        <w:ind w:firstLine="480" w:firstLineChars="200"/>
        <w:outlineLvl w:val="9"/>
        <w:rPr>
          <w:rFonts w:ascii="Times New Roman" w:hAnsi="Times New Roman"/>
          <w:color w:val="auto"/>
          <w:szCs w:val="21"/>
          <w:highlight w:val="none"/>
          <w:lang w:val="zh-CN"/>
        </w:rPr>
      </w:pPr>
      <w:r>
        <w:rPr>
          <w:rFonts w:ascii="Times New Roman" w:hAnsi="Times New Roman"/>
          <w:color w:val="auto"/>
          <w:szCs w:val="21"/>
          <w:highlight w:val="none"/>
          <w:lang w:val="zh-CN"/>
        </w:rPr>
        <w:t xml:space="preserve">6.2.2 </w:t>
      </w:r>
      <w:r>
        <w:rPr>
          <w:rFonts w:ascii="Times New Roman" w:hAnsi="Times New Roman"/>
          <w:color w:val="auto"/>
          <w:szCs w:val="21"/>
          <w:highlight w:val="none"/>
        </w:rPr>
        <w:t>除专用合同条款另有约定外，安装、调试中合同设备运行需要的用水、用电、其他动力和原材料（如需要）等均由买方承担。</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6.2.3 双方应对合同设备的安装、调试情况共同及时进行记录。</w:t>
      </w:r>
    </w:p>
    <w:p>
      <w:pPr>
        <w:spacing w:before="157" w:beforeLines="50" w:after="157" w:afterLines="50" w:line="240" w:lineRule="auto"/>
        <w:ind w:firstLine="137"/>
        <w:outlineLvl w:val="2"/>
        <w:rPr>
          <w:rFonts w:ascii="Times New Roman" w:hAnsi="Times New Roman"/>
          <w:color w:val="auto"/>
          <w:highlight w:val="none"/>
        </w:rPr>
      </w:pPr>
      <w:bookmarkStart w:id="443" w:name="_Toc32207"/>
      <w:bookmarkStart w:id="444" w:name="_Toc482188750"/>
      <w:bookmarkStart w:id="445" w:name="_Toc491883204"/>
      <w:r>
        <w:rPr>
          <w:rFonts w:ascii="Times New Roman" w:hAnsi="Times New Roman"/>
          <w:color w:val="auto"/>
          <w:highlight w:val="none"/>
        </w:rPr>
        <w:t xml:space="preserve">6.3 </w:t>
      </w:r>
      <w:r>
        <w:rPr>
          <w:rFonts w:hint="default" w:ascii="Times New Roman" w:hAnsi="Times New Roman"/>
          <w:color w:val="auto"/>
          <w:highlight w:val="none"/>
        </w:rPr>
        <w:t>考核</w:t>
      </w:r>
      <w:bookmarkEnd w:id="443"/>
      <w:bookmarkEnd w:id="444"/>
      <w:bookmarkEnd w:id="445"/>
    </w:p>
    <w:p>
      <w:pPr>
        <w:spacing w:line="360" w:lineRule="auto"/>
        <w:ind w:firstLine="480" w:firstLineChars="200"/>
        <w:outlineLvl w:val="9"/>
        <w:rPr>
          <w:rFonts w:ascii="Times New Roman" w:hAnsi="Times New Roman"/>
          <w:color w:val="auto"/>
          <w:szCs w:val="24"/>
          <w:highlight w:val="none"/>
        </w:rPr>
      </w:pPr>
      <w:r>
        <w:rPr>
          <w:rFonts w:ascii="Times New Roman" w:hAnsi="Times New Roman"/>
          <w:color w:val="auto"/>
          <w:szCs w:val="24"/>
          <w:highlight w:val="none"/>
        </w:rPr>
        <w:t>6.3.1 安装、调试完成后，双方应对合同设备进行</w:t>
      </w:r>
      <w:bookmarkStart w:id="446" w:name="_Toc6658"/>
      <w:r>
        <w:rPr>
          <w:rFonts w:ascii="Times New Roman" w:hAnsi="Times New Roman"/>
          <w:color w:val="auto"/>
          <w:szCs w:val="24"/>
          <w:highlight w:val="none"/>
        </w:rPr>
        <w:t>考核，以确定合同设备是否达到</w:t>
      </w:r>
      <w:r>
        <w:rPr>
          <w:rFonts w:ascii="Times New Roman" w:hAnsi="Times New Roman"/>
          <w:color w:val="auto"/>
          <w:szCs w:val="21"/>
          <w:highlight w:val="none"/>
        </w:rPr>
        <w:t>合同约定</w:t>
      </w:r>
      <w:r>
        <w:rPr>
          <w:rFonts w:ascii="Times New Roman" w:hAnsi="Times New Roman"/>
          <w:color w:val="auto"/>
          <w:szCs w:val="24"/>
          <w:highlight w:val="none"/>
        </w:rPr>
        <w:t>的</w:t>
      </w:r>
      <w:bookmarkEnd w:id="446"/>
      <w:bookmarkStart w:id="447" w:name="_Toc18466"/>
      <w:r>
        <w:rPr>
          <w:rFonts w:ascii="Times New Roman" w:hAnsi="Times New Roman"/>
          <w:color w:val="auto"/>
          <w:szCs w:val="24"/>
          <w:highlight w:val="none"/>
        </w:rPr>
        <w:t>技术性能考核指标。</w:t>
      </w:r>
      <w:r>
        <w:rPr>
          <w:rFonts w:ascii="Times New Roman" w:hAnsi="Times New Roman"/>
          <w:color w:val="auto"/>
          <w:szCs w:val="21"/>
          <w:highlight w:val="none"/>
        </w:rPr>
        <w:t>除专用合同条款另有约定外，考核中合同设备运行需要的用水、用电、其他动力和原材料（如需要）等均由买方承担。</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4"/>
          <w:highlight w:val="none"/>
        </w:rPr>
        <w:t>6.3.2</w:t>
      </w:r>
      <w:bookmarkEnd w:id="447"/>
      <w:r>
        <w:rPr>
          <w:rFonts w:ascii="Times New Roman" w:hAnsi="Times New Roman"/>
          <w:color w:val="auto"/>
          <w:szCs w:val="24"/>
          <w:highlight w:val="none"/>
        </w:rPr>
        <w:t xml:space="preserve"> 如</w:t>
      </w:r>
      <w:r>
        <w:rPr>
          <w:rFonts w:ascii="Times New Roman" w:hAnsi="Times New Roman"/>
          <w:color w:val="auto"/>
          <w:szCs w:val="21"/>
          <w:highlight w:val="none"/>
        </w:rPr>
        <w:t>由于卖方原因合同设备在考核中未能达到合同约定的技术性能考核指标，则卖方应在双方同意的期限内采取措施消除合同设备中存在的缺陷，并在缺陷消除以后，尽快进行再次考核。</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4"/>
          <w:highlight w:val="none"/>
        </w:rPr>
        <w:t>6.3.3</w:t>
      </w:r>
      <w:r>
        <w:rPr>
          <w:rFonts w:ascii="Times New Roman" w:hAnsi="Times New Roman"/>
          <w:color w:val="auto"/>
          <w:szCs w:val="21"/>
          <w:highlight w:val="none"/>
        </w:rPr>
        <w:t>由于卖方原因未能达到技术性能考核指标时，为卖方进行考核的机会不超过三次。如果由于卖方原因，三次考核均未能达到合同约定的技术性能考核指标，则买卖双方应就合同的后续履行进行协商，协商不成的，买方有权解除合同。但如合同中约定了或双方在考核中另行达成了合同设备的最低技术性能考核指标，且合同设备达到了最低技术性能考核指标的，视为合同设备已达到技术性能考核指标，买方无权解除合同，且应接受合同设备，但卖方应按专用合同条款的约定进行减价或向买方支付补偿金。</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4"/>
          <w:highlight w:val="none"/>
        </w:rPr>
        <w:t xml:space="preserve">6.3.4 </w:t>
      </w:r>
      <w:r>
        <w:rPr>
          <w:rFonts w:ascii="Times New Roman" w:hAnsi="Times New Roman"/>
          <w:color w:val="auto"/>
          <w:szCs w:val="21"/>
          <w:highlight w:val="none"/>
        </w:rPr>
        <w:t>如由于买方原因合同设备在考核中未能达到合同约定的技术性能考核指标，则卖方应协助买方安排再次考核。由于买方原因未能达到技术性能考核指标时，为买方进行考核的机会不超过三次。</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6.3.5 考核期间，双方应及时共同记录合同设备的用水、用电、其他动力和原材料（如有）的使用及设备考核情况。对于未达到</w:t>
      </w:r>
      <w:r>
        <w:rPr>
          <w:rFonts w:ascii="Times New Roman" w:hAnsi="Times New Roman"/>
          <w:color w:val="auto"/>
          <w:szCs w:val="24"/>
          <w:highlight w:val="none"/>
        </w:rPr>
        <w:t>技术性能考核指标的，应如实记录设备表现、可能原因及处理情况等。</w:t>
      </w:r>
    </w:p>
    <w:p>
      <w:pPr>
        <w:spacing w:before="157" w:beforeLines="50" w:after="157" w:afterLines="50" w:line="240" w:lineRule="auto"/>
        <w:ind w:firstLine="137"/>
        <w:outlineLvl w:val="2"/>
        <w:rPr>
          <w:rFonts w:ascii="Times New Roman" w:hAnsi="Times New Roman"/>
          <w:color w:val="auto"/>
          <w:highlight w:val="none"/>
        </w:rPr>
      </w:pPr>
      <w:bookmarkStart w:id="448" w:name="_Toc23739"/>
      <w:bookmarkStart w:id="449" w:name="_Toc482188751"/>
      <w:bookmarkStart w:id="450" w:name="_Toc491883205"/>
      <w:r>
        <w:rPr>
          <w:rFonts w:ascii="Times New Roman" w:hAnsi="Times New Roman"/>
          <w:color w:val="auto"/>
          <w:highlight w:val="none"/>
        </w:rPr>
        <w:t xml:space="preserve">6.4 </w:t>
      </w:r>
      <w:r>
        <w:rPr>
          <w:rFonts w:hint="default" w:ascii="Times New Roman" w:hAnsi="Times New Roman"/>
          <w:color w:val="auto"/>
          <w:highlight w:val="none"/>
        </w:rPr>
        <w:t>验收</w:t>
      </w:r>
      <w:bookmarkEnd w:id="448"/>
      <w:bookmarkEnd w:id="449"/>
      <w:bookmarkEnd w:id="450"/>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6.4.1 如合同设备在考核中达到或视为达到</w:t>
      </w:r>
      <w:r>
        <w:rPr>
          <w:rFonts w:ascii="Times New Roman" w:hAnsi="Times New Roman"/>
          <w:color w:val="auto"/>
          <w:szCs w:val="24"/>
          <w:highlight w:val="none"/>
        </w:rPr>
        <w:t>技术性能考核指标，则买卖双方应在考核完成后7日内或</w:t>
      </w:r>
      <w:r>
        <w:rPr>
          <w:rFonts w:ascii="Times New Roman" w:hAnsi="Times New Roman"/>
          <w:color w:val="auto"/>
          <w:szCs w:val="21"/>
          <w:highlight w:val="none"/>
        </w:rPr>
        <w:t>专用合同条款另行约定的时间内签署合同设备验收证书一式二份，双方各持一份。验收日期应为合同设备达到或视为达到</w:t>
      </w:r>
      <w:r>
        <w:rPr>
          <w:rFonts w:ascii="Times New Roman" w:hAnsi="Times New Roman"/>
          <w:color w:val="auto"/>
          <w:szCs w:val="24"/>
          <w:highlight w:val="none"/>
        </w:rPr>
        <w:t>技术性能考核指标的日期。</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6.4.2 如由于买方原因合同设备在三次考核中均未能达到技术性能考核指标，买卖双方应在考核结束后7日内</w:t>
      </w:r>
      <w:r>
        <w:rPr>
          <w:rFonts w:ascii="Times New Roman" w:hAnsi="Times New Roman"/>
          <w:color w:val="auto"/>
          <w:szCs w:val="24"/>
          <w:highlight w:val="none"/>
        </w:rPr>
        <w:t>或</w:t>
      </w:r>
      <w:r>
        <w:rPr>
          <w:rFonts w:ascii="Times New Roman" w:hAnsi="Times New Roman"/>
          <w:color w:val="auto"/>
          <w:szCs w:val="21"/>
          <w:highlight w:val="none"/>
        </w:rPr>
        <w:t>专用合同条款另行约定的时间内签署</w:t>
      </w:r>
      <w:r>
        <w:rPr>
          <w:rStyle w:val="36"/>
          <w:rFonts w:ascii="Times New Roman" w:hAnsi="Times New Roman"/>
          <w:color w:val="auto"/>
          <w:highlight w:val="none"/>
        </w:rPr>
        <w:t>验收款支付函</w:t>
      </w:r>
      <w:r>
        <w:rPr>
          <w:rFonts w:ascii="Times New Roman" w:hAnsi="Times New Roman"/>
          <w:color w:val="auto"/>
          <w:szCs w:val="21"/>
          <w:highlight w:val="none"/>
        </w:rPr>
        <w:t>。</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除专用合同条款另有约定</w:t>
      </w:r>
      <w:bookmarkStart w:id="451" w:name="_Toc1157"/>
      <w:bookmarkStart w:id="452" w:name="_Toc369531639"/>
      <w:r>
        <w:rPr>
          <w:rFonts w:ascii="Times New Roman" w:hAnsi="Times New Roman"/>
          <w:color w:val="auto"/>
          <w:szCs w:val="21"/>
          <w:highlight w:val="none"/>
        </w:rPr>
        <w:t>外，卖方有义务在</w:t>
      </w:r>
      <w:bookmarkEnd w:id="451"/>
      <w:bookmarkEnd w:id="452"/>
      <w:r>
        <w:rPr>
          <w:rStyle w:val="36"/>
          <w:rFonts w:ascii="Times New Roman" w:hAnsi="Times New Roman"/>
          <w:color w:val="auto"/>
          <w:highlight w:val="none"/>
        </w:rPr>
        <w:t>验收款支付函</w:t>
      </w:r>
      <w:r>
        <w:rPr>
          <w:rFonts w:ascii="Times New Roman" w:hAnsi="Times New Roman"/>
          <w:color w:val="auto"/>
          <w:szCs w:val="21"/>
          <w:highlight w:val="none"/>
        </w:rPr>
        <w:t>签署后12个月内应买方要求提供相关技术服务，协助买方采取一切必要措施使合同设备达到技术性能考核指标。买方应承</w:t>
      </w:r>
      <w:bookmarkStart w:id="453" w:name="_Toc25543"/>
      <w:r>
        <w:rPr>
          <w:rFonts w:ascii="Times New Roman" w:hAnsi="Times New Roman"/>
          <w:color w:val="auto"/>
          <w:szCs w:val="21"/>
          <w:highlight w:val="none"/>
        </w:rPr>
        <w:t>担卖方因此产生的全部费用</w:t>
      </w:r>
      <w:bookmarkEnd w:id="453"/>
      <w:r>
        <w:rPr>
          <w:rFonts w:ascii="Times New Roman" w:hAnsi="Times New Roman"/>
          <w:color w:val="auto"/>
          <w:szCs w:val="21"/>
          <w:highlight w:val="none"/>
        </w:rPr>
        <w:t>。</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在上述12个月的期限内，如合同设备经过考核达到或视为达到</w:t>
      </w:r>
      <w:r>
        <w:rPr>
          <w:rFonts w:ascii="Times New Roman" w:hAnsi="Times New Roman"/>
          <w:color w:val="auto"/>
          <w:szCs w:val="24"/>
          <w:highlight w:val="none"/>
        </w:rPr>
        <w:t>技术性能考核指标，则买卖双方应按照第6.4.1项的约定签署合同设备验收证书。</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6.4.3 除专用合同条款另有约定外，如由于买方原因在最后一批合同设备交货后6个月内未能开始考核，则买卖双方应在上述期限</w:t>
      </w:r>
      <w:bookmarkStart w:id="454" w:name="_Toc3766"/>
      <w:r>
        <w:rPr>
          <w:rFonts w:ascii="Times New Roman" w:hAnsi="Times New Roman"/>
          <w:color w:val="auto"/>
          <w:szCs w:val="21"/>
          <w:highlight w:val="none"/>
        </w:rPr>
        <w:t>届满后7日内</w:t>
      </w:r>
      <w:r>
        <w:rPr>
          <w:rFonts w:ascii="Times New Roman" w:hAnsi="Times New Roman"/>
          <w:color w:val="auto"/>
          <w:szCs w:val="24"/>
          <w:highlight w:val="none"/>
        </w:rPr>
        <w:t>或</w:t>
      </w:r>
      <w:r>
        <w:rPr>
          <w:rFonts w:ascii="Times New Roman" w:hAnsi="Times New Roman"/>
          <w:color w:val="auto"/>
          <w:szCs w:val="21"/>
          <w:highlight w:val="none"/>
        </w:rPr>
        <w:t>专用合同条款另行约定的时间内签署验收款支付函。</w:t>
      </w:r>
      <w:bookmarkEnd w:id="454"/>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除专用合同条款另有约定外，卖方有义务在</w:t>
      </w:r>
      <w:r>
        <w:rPr>
          <w:rStyle w:val="36"/>
          <w:rFonts w:ascii="Times New Roman" w:hAnsi="Times New Roman"/>
          <w:color w:val="auto"/>
          <w:highlight w:val="none"/>
        </w:rPr>
        <w:t>验收款支付函</w:t>
      </w:r>
      <w:r>
        <w:rPr>
          <w:rFonts w:ascii="Times New Roman" w:hAnsi="Times New Roman"/>
          <w:color w:val="auto"/>
          <w:szCs w:val="21"/>
          <w:highlight w:val="none"/>
        </w:rPr>
        <w:t>签署后6个月内应买方要求提供不超出合同范围的技术服务，协助买方采取一切必要措施使合同设备达到技术性能考核指标，且买方无需因此向卖方支付费用。</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在上述6个月的期限内，如合同设备经过考核达到或视为达到</w:t>
      </w:r>
      <w:r>
        <w:rPr>
          <w:rFonts w:ascii="Times New Roman" w:hAnsi="Times New Roman"/>
          <w:color w:val="auto"/>
          <w:szCs w:val="24"/>
          <w:highlight w:val="none"/>
        </w:rPr>
        <w:t>技术性能考核指标，则买卖双方应按照第6.4.1项的约定签署合同设备验收证书。</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6.4.4 在第6.4.2项和第6.4.3项情形下，卖方也可单方签署验收款支付函提交买方，如果买方在收到卖方签署的验收款支付函后14日内未向卖方提出书面异议，则验收款支付函自签署之日起生效。</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6.4.5合同设备验收证书的签署不能免除卖方在质量保证期内对合同设备应承担的保证责任。</w:t>
      </w:r>
    </w:p>
    <w:p>
      <w:pPr>
        <w:pStyle w:val="3"/>
        <w:rPr>
          <w:rFonts w:ascii="Times New Roman" w:hAnsi="Times New Roman"/>
          <w:color w:val="auto"/>
          <w:highlight w:val="none"/>
        </w:rPr>
      </w:pPr>
      <w:bookmarkStart w:id="455" w:name="_Toc24418"/>
      <w:bookmarkStart w:id="456" w:name="_Toc491883206"/>
      <w:bookmarkStart w:id="457" w:name="_Toc482188752"/>
      <w:r>
        <w:rPr>
          <w:rFonts w:ascii="Times New Roman" w:hAnsi="Times New Roman"/>
          <w:bCs/>
          <w:color w:val="auto"/>
          <w:szCs w:val="32"/>
          <w:highlight w:val="none"/>
        </w:rPr>
        <w:t>7. 技术服务</w:t>
      </w:r>
      <w:bookmarkEnd w:id="455"/>
      <w:bookmarkEnd w:id="456"/>
      <w:bookmarkEnd w:id="457"/>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7.1 卖方应派遣技术熟练、称职的技术人员到施工场地为买方提供技术服务。卖方的技术服务应符合合同的约定。</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7.2 买方应免费为卖方技术人员提供工作条件及便利，包括但不限于必要的办公场所、技术资料及出入许可等。除专用合同条款另有约定外，卖方技术人员的交通、食宿费用由卖方承担。</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7.3 卖方技术人员应遵守买方施工现场的各项规章制度和安全操作规程，并服从买方的现场管理。</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7.4 如果任何技术人员不合格，买方有权要求卖方撤换，因撤换而产生的费用应由卖方承担。在不影响技术服务并且征得买方同意的条件下，卖方也可自负费用更换其技术人员。</w:t>
      </w:r>
    </w:p>
    <w:p>
      <w:pPr>
        <w:pStyle w:val="3"/>
        <w:rPr>
          <w:rFonts w:ascii="Times New Roman" w:hAnsi="Times New Roman"/>
          <w:bCs/>
          <w:color w:val="auto"/>
          <w:szCs w:val="32"/>
          <w:highlight w:val="none"/>
        </w:rPr>
      </w:pPr>
      <w:bookmarkStart w:id="458" w:name="_Toc482188753"/>
      <w:bookmarkStart w:id="459" w:name="_Toc491883207"/>
      <w:bookmarkStart w:id="460" w:name="_Toc32603"/>
      <w:r>
        <w:rPr>
          <w:rFonts w:ascii="Times New Roman" w:hAnsi="Times New Roman"/>
          <w:bCs/>
          <w:color w:val="auto"/>
          <w:szCs w:val="28"/>
          <w:highlight w:val="none"/>
        </w:rPr>
        <w:t>8. 质量保证期</w:t>
      </w:r>
      <w:bookmarkEnd w:id="458"/>
      <w:bookmarkEnd w:id="459"/>
      <w:bookmarkEnd w:id="460"/>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8.1 除专用合同条款和（或）供货要求等合同文件另有约定外，合同设备整体质量保证期为验收之日起12个月。如对合同设备中关键部件的质量保证期有特殊要求的，买卖双方可在专用合同条款中约定。在合同第6.4.2项情形下，无论合同设备何时验收，其质量保证期最长为签署</w:t>
      </w:r>
      <w:r>
        <w:rPr>
          <w:rStyle w:val="36"/>
          <w:rFonts w:ascii="Times New Roman" w:hAnsi="Times New Roman"/>
          <w:color w:val="auto"/>
          <w:highlight w:val="none"/>
        </w:rPr>
        <w:t>验收款支付函后12个月。</w:t>
      </w:r>
      <w:r>
        <w:rPr>
          <w:rFonts w:ascii="Times New Roman" w:hAnsi="Times New Roman"/>
          <w:color w:val="auto"/>
          <w:szCs w:val="21"/>
          <w:highlight w:val="none"/>
        </w:rPr>
        <w:t>在合同第6.4.3项情形下，无论合同设备何时验收，其质量保证期最长为签署</w:t>
      </w:r>
      <w:r>
        <w:rPr>
          <w:rStyle w:val="36"/>
          <w:rFonts w:ascii="Times New Roman" w:hAnsi="Times New Roman"/>
          <w:color w:val="auto"/>
          <w:highlight w:val="none"/>
        </w:rPr>
        <w:t>验收款支付函后6个月。</w:t>
      </w:r>
    </w:p>
    <w:p>
      <w:pPr>
        <w:spacing w:line="360" w:lineRule="auto"/>
        <w:ind w:firstLine="420"/>
        <w:rPr>
          <w:rFonts w:ascii="Times New Roman" w:hAnsi="Times New Roman"/>
          <w:color w:val="auto"/>
          <w:szCs w:val="21"/>
          <w:highlight w:val="none"/>
        </w:rPr>
      </w:pPr>
      <w:r>
        <w:rPr>
          <w:rFonts w:ascii="Times New Roman" w:hAnsi="Times New Roman"/>
          <w:color w:val="auto"/>
          <w:szCs w:val="21"/>
          <w:highlight w:val="none"/>
        </w:rPr>
        <w:t>8.2 在质量保证期内如果合同设备出现故障，卖方应自负费用提供质保期服务，对相关合同设备进行修理或更换以消除故障。更换的合同设备和（或）关键部件的质量保证期应重新计算。但如果合同设备的故障是由于买方原因造成的，则对合同设备进行修理和更换的费用应由买方承担。</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8.3 质量保证期届满后，买方应在7日内</w:t>
      </w:r>
      <w:r>
        <w:rPr>
          <w:rFonts w:ascii="Times New Roman" w:hAnsi="Times New Roman"/>
          <w:color w:val="auto"/>
          <w:szCs w:val="24"/>
          <w:highlight w:val="none"/>
        </w:rPr>
        <w:t>或</w:t>
      </w:r>
      <w:r>
        <w:rPr>
          <w:rFonts w:ascii="Times New Roman" w:hAnsi="Times New Roman"/>
          <w:color w:val="auto"/>
          <w:szCs w:val="21"/>
          <w:highlight w:val="none"/>
        </w:rPr>
        <w:t>专用合同条款另行约定的时间内向卖方出具合同设备的质量保证期届满证书。</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8.4 在合同第6.4.2项情形下，如在</w:t>
      </w:r>
      <w:r>
        <w:rPr>
          <w:rStyle w:val="36"/>
          <w:rFonts w:ascii="Times New Roman" w:hAnsi="Times New Roman"/>
          <w:color w:val="auto"/>
          <w:highlight w:val="none"/>
        </w:rPr>
        <w:t>验收款支付函</w:t>
      </w:r>
      <w:r>
        <w:rPr>
          <w:rFonts w:ascii="Times New Roman" w:hAnsi="Times New Roman"/>
          <w:color w:val="auto"/>
          <w:szCs w:val="21"/>
          <w:highlight w:val="none"/>
        </w:rPr>
        <w:t>签署后12个月内由于买方原因合同设备仍未能达到技术性能考核指标，则买卖双方应在该12个月届满后7日内</w:t>
      </w:r>
      <w:r>
        <w:rPr>
          <w:rFonts w:ascii="Times New Roman" w:hAnsi="Times New Roman"/>
          <w:color w:val="auto"/>
          <w:szCs w:val="24"/>
          <w:highlight w:val="none"/>
        </w:rPr>
        <w:t>或</w:t>
      </w:r>
      <w:r>
        <w:rPr>
          <w:rFonts w:ascii="Times New Roman" w:hAnsi="Times New Roman"/>
          <w:color w:val="auto"/>
          <w:szCs w:val="21"/>
          <w:highlight w:val="none"/>
        </w:rPr>
        <w:t>专用合同条款另行约定的时间内签署结清款支付函。</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8.5 在合同第6.4.3项情形下，如在</w:t>
      </w:r>
      <w:r>
        <w:rPr>
          <w:rStyle w:val="36"/>
          <w:rFonts w:ascii="Times New Roman" w:hAnsi="Times New Roman"/>
          <w:color w:val="auto"/>
          <w:highlight w:val="none"/>
        </w:rPr>
        <w:t>验收款支付函</w:t>
      </w:r>
      <w:r>
        <w:rPr>
          <w:rFonts w:ascii="Times New Roman" w:hAnsi="Times New Roman"/>
          <w:color w:val="auto"/>
          <w:szCs w:val="21"/>
          <w:highlight w:val="none"/>
        </w:rPr>
        <w:t>签署后6个月内由于买方原因合同设备仍未进行考核或仍未达到技术性能考核指标，则买卖双方应在该6个月届满后7日内</w:t>
      </w:r>
      <w:r>
        <w:rPr>
          <w:rFonts w:ascii="Times New Roman" w:hAnsi="Times New Roman"/>
          <w:color w:val="auto"/>
          <w:szCs w:val="24"/>
          <w:highlight w:val="none"/>
        </w:rPr>
        <w:t>或</w:t>
      </w:r>
      <w:r>
        <w:rPr>
          <w:rFonts w:ascii="Times New Roman" w:hAnsi="Times New Roman"/>
          <w:color w:val="auto"/>
          <w:szCs w:val="21"/>
          <w:highlight w:val="none"/>
        </w:rPr>
        <w:t>专用合同条款另行约定的时间内签署结清款支付函。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8.6 在第8.4款和第8.5款情形下，卖方也可单方签署结清款支付函提交买方，如果买方在收到卖方签署的结清款支付函后14日内未向卖方提出书面异议，则结清款支付函自签署之日起生效。</w:t>
      </w:r>
    </w:p>
    <w:p>
      <w:pPr>
        <w:pStyle w:val="3"/>
        <w:rPr>
          <w:rFonts w:ascii="Times New Roman" w:hAnsi="Times New Roman"/>
          <w:color w:val="auto"/>
          <w:szCs w:val="21"/>
          <w:highlight w:val="none"/>
        </w:rPr>
      </w:pPr>
      <w:bookmarkStart w:id="461" w:name="_Toc21785"/>
      <w:bookmarkStart w:id="462" w:name="_Toc491883208"/>
      <w:bookmarkStart w:id="463" w:name="_Toc482188754"/>
      <w:r>
        <w:rPr>
          <w:rFonts w:ascii="Times New Roman" w:hAnsi="Times New Roman"/>
          <w:color w:val="auto"/>
          <w:highlight w:val="none"/>
        </w:rPr>
        <w:t>9. 质保期服务</w:t>
      </w:r>
      <w:bookmarkEnd w:id="461"/>
      <w:bookmarkEnd w:id="462"/>
      <w:bookmarkEnd w:id="463"/>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9.1 卖方应为质保期服务配备充足的技术人员、工具和备件并保证提供的联系方式畅通。除专用合同条款和（或）供货要求等合同文件另有约定外，卖方应在收到买方通知后24小时内做出响应，如需卖方到合同设备现场，卖方应在收到买方通知后48小时内到达，并在到达后7日内解决合同设备的故障（重大故障除外）。如果卖方未在上述时间内作出响应，则买方有权自行或委托他人解决相关问题或查找和解决合同设备的故障，卖方应承担由此发生的全部费用。</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9.2 如卖方技术人员需到合同设备现场进行质保期服务，则买方应免费为卖方技术人员提供工作条件及便利，包括但不限于必要的办公场所、技术资料及出入许可等。除专用合同条款另有约定外，卖方技术人员的交通、食宿费用由卖方承担。卖方技术人员应遵守买方施工现场的各项规章制度和安全操作规程，并服从买方的现场管理。</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9.3 如果任何技术人员不合格，买方有权要求卖方撤换，因撤换而产生的费用应由卖方承担。在不影响质保期服务并且征得买方同意的条件下，卖方也可自负费用更换其技术人员。</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9.4 除专用合同条款另有约定外，卖方应就在施工现场进行质保期服务的情况进行记录，记载合同设备故障发生的时间、原因及解决情况等，由买方签字确认，并在质量保证期结束后提交给买方。</w:t>
      </w:r>
    </w:p>
    <w:p>
      <w:pPr>
        <w:pStyle w:val="3"/>
        <w:rPr>
          <w:rFonts w:ascii="Times New Roman" w:hAnsi="Times New Roman"/>
          <w:bCs/>
          <w:color w:val="auto"/>
          <w:szCs w:val="32"/>
          <w:highlight w:val="none"/>
        </w:rPr>
      </w:pPr>
      <w:bookmarkStart w:id="464" w:name="_Toc482188755"/>
      <w:bookmarkStart w:id="465" w:name="_Toc27279"/>
      <w:bookmarkStart w:id="466" w:name="_Toc491883209"/>
      <w:r>
        <w:rPr>
          <w:rFonts w:ascii="Times New Roman" w:hAnsi="Times New Roman"/>
          <w:bCs/>
          <w:color w:val="auto"/>
          <w:szCs w:val="32"/>
          <w:highlight w:val="none"/>
        </w:rPr>
        <w:t xml:space="preserve">10. </w:t>
      </w:r>
      <w:bookmarkEnd w:id="464"/>
      <w:r>
        <w:rPr>
          <w:rFonts w:ascii="Times New Roman" w:hAnsi="Times New Roman"/>
          <w:bCs/>
          <w:color w:val="auto"/>
          <w:szCs w:val="32"/>
          <w:highlight w:val="none"/>
        </w:rPr>
        <w:t>履约保证金</w:t>
      </w:r>
      <w:bookmarkEnd w:id="465"/>
      <w:bookmarkEnd w:id="466"/>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除专用合同条款另有约定外，履约保证金自合同生效之日起生效，在合同设备验收证书或</w:t>
      </w:r>
      <w:r>
        <w:rPr>
          <w:rStyle w:val="36"/>
          <w:rFonts w:ascii="Times New Roman" w:hAnsi="Times New Roman"/>
          <w:color w:val="auto"/>
          <w:highlight w:val="none"/>
        </w:rPr>
        <w:t>验收款支付函</w:t>
      </w:r>
      <w:r>
        <w:rPr>
          <w:rFonts w:ascii="Times New Roman" w:hAnsi="Times New Roman"/>
          <w:color w:val="auto"/>
          <w:szCs w:val="21"/>
          <w:highlight w:val="none"/>
        </w:rPr>
        <w:t>签署之日起28日后失效。如果卖方不履行合同约定的义务或其履行不符合合同的约定，买方有权扣划相应金额的履约保证金。</w:t>
      </w:r>
    </w:p>
    <w:p>
      <w:pPr>
        <w:pStyle w:val="3"/>
        <w:rPr>
          <w:rFonts w:ascii="Times New Roman" w:hAnsi="Times New Roman"/>
          <w:bCs/>
          <w:color w:val="auto"/>
          <w:szCs w:val="32"/>
          <w:highlight w:val="none"/>
        </w:rPr>
      </w:pPr>
      <w:bookmarkStart w:id="467" w:name="_Toc491883210"/>
      <w:bookmarkStart w:id="468" w:name="_Toc32522"/>
      <w:bookmarkStart w:id="469" w:name="_Toc482188756"/>
      <w:r>
        <w:rPr>
          <w:rFonts w:ascii="Times New Roman" w:hAnsi="Times New Roman"/>
          <w:bCs/>
          <w:color w:val="auto"/>
          <w:szCs w:val="32"/>
          <w:highlight w:val="none"/>
        </w:rPr>
        <w:t>11. 保证</w:t>
      </w:r>
      <w:bookmarkEnd w:id="467"/>
      <w:bookmarkEnd w:id="468"/>
      <w:bookmarkEnd w:id="469"/>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11.1 卖方保证其具有完全的能力履行本合同项下的全部义务。</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11.2卖方保证其所提供的合同设备及对合同的履行符合所有应适用的法律、行政法规、地方性法规、自治条例和单行条例、规章及其他规范性文件的强制性规定。</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11.3 卖方保证其对合同设备的销售不损害任何第三方的合法权益和社会公众利益。任何第三方不会因卖方原因而基于所有权、抵押权、</w:t>
      </w:r>
      <w:bookmarkStart w:id="470" w:name="_Toc22234"/>
      <w:r>
        <w:rPr>
          <w:rFonts w:ascii="Times New Roman" w:hAnsi="Times New Roman"/>
          <w:color w:val="auto"/>
          <w:szCs w:val="21"/>
          <w:highlight w:val="none"/>
        </w:rPr>
        <w:t>留置权或其他任何权利或事由</w:t>
      </w:r>
      <w:bookmarkEnd w:id="470"/>
      <w:r>
        <w:rPr>
          <w:rFonts w:ascii="Times New Roman" w:hAnsi="Times New Roman"/>
          <w:color w:val="auto"/>
          <w:szCs w:val="21"/>
          <w:highlight w:val="none"/>
        </w:rPr>
        <w:t>对合同设备主张权利。</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11.4 卖方保证合同设备符合合同约定的规格、标准、技术性能考核指标等，能够安全和稳定地运行，且合同设备（包括全部部件）全新、完整、未使用过，除非专用合同条款和（或）供货要求等合同文件另有约定。</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11.5 卖方保证，卖方所提供的技术资料完整、清晰、准确，符合合同约定并且能够满足合同设备的安装、调试、考核、操作以及维修和保养的需要。</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11.6 卖方保证合同范围内提供的备品备件能够满足合同设备在质量保证期结束前正常运行及维修的需要，如在质量保证期结束前因卖方原因出现备品备件短缺影响合同设备正常运行的，卖方应免费提供。</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11.7 除专用合同条款和（或）供货要求等合同文件另有约定外，如果在合同设备设计使用寿命期内发生合同项下备品备件停止生产的情况，卖方应事先将拟停止生产的计划通知买方，使买方有足够的时间考虑备品备件的需求量。根据买方要求，卖方应：</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（1）以不高于同期市场价格或其向任何第三方销售同类产品的价格提供合同设备正常运行所需的全部备品备件。或</w:t>
      </w:r>
    </w:p>
    <w:p>
      <w:pPr>
        <w:spacing w:line="360" w:lineRule="auto"/>
        <w:ind w:firstLine="480" w:firstLineChars="200"/>
        <w:rPr>
          <w:rFonts w:ascii="Times New Roman" w:hAnsi="Times New Roman"/>
          <w:color w:val="auto"/>
          <w:szCs w:val="24"/>
          <w:highlight w:val="none"/>
        </w:rPr>
      </w:pPr>
      <w:r>
        <w:rPr>
          <w:rFonts w:ascii="Times New Roman" w:hAnsi="Times New Roman"/>
          <w:color w:val="auto"/>
          <w:szCs w:val="21"/>
          <w:highlight w:val="none"/>
        </w:rPr>
        <w:t>（2）免费提供可供买方或第三方制造停产备品备件所需的全部技术资料，以便买方持续获得上述备品备件以满足合同设备在寿命期内正常运行的需要。卖方保证</w:t>
      </w:r>
      <w:r>
        <w:rPr>
          <w:rFonts w:ascii="Times New Roman" w:hAnsi="Times New Roman"/>
          <w:color w:val="auto"/>
          <w:szCs w:val="24"/>
          <w:highlight w:val="none"/>
        </w:rPr>
        <w:t>买方或买方委托的第三方制造及买方使用这些备品备件不侵犯任何人的知识产权。</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11.8 卖方保证，在合同设备设计使用寿命期内，如果卖方发现合同设备由于设计、制造、标识等原因存在足以危及人身、财产安全的缺陷，卖方将及时通知买方并及时采取修正或者补充标识、修理、更换等措施消除缺陷。</w:t>
      </w:r>
      <w:bookmarkStart w:id="471" w:name="_Toc6654"/>
    </w:p>
    <w:bookmarkEnd w:id="471"/>
    <w:p>
      <w:pPr>
        <w:pStyle w:val="3"/>
        <w:rPr>
          <w:rFonts w:ascii="Times New Roman" w:hAnsi="Times New Roman"/>
          <w:bCs/>
          <w:color w:val="auto"/>
          <w:szCs w:val="32"/>
          <w:highlight w:val="none"/>
        </w:rPr>
      </w:pPr>
      <w:bookmarkStart w:id="472" w:name="_Toc482188757"/>
      <w:bookmarkStart w:id="473" w:name="_Toc14390"/>
      <w:bookmarkStart w:id="474" w:name="_Toc491883211"/>
      <w:r>
        <w:rPr>
          <w:rFonts w:ascii="Times New Roman" w:hAnsi="Times New Roman"/>
          <w:bCs/>
          <w:color w:val="auto"/>
          <w:szCs w:val="32"/>
          <w:highlight w:val="none"/>
        </w:rPr>
        <w:t>12. 知识产权</w:t>
      </w:r>
      <w:bookmarkEnd w:id="472"/>
      <w:bookmarkEnd w:id="473"/>
      <w:bookmarkEnd w:id="474"/>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12.1 买方在履行合同过程中提供给卖方的全部图纸、文件和其他含有数据和信息的资料，其知识产权属于买方。</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12.2 除专用合同条款另有约定外，买方不因签署和履行合同而享有卖方在履行合同过程中提供给买方的图纸、文件、配套软件、电子辅助程序和其他含有数据和信息的资料的知识产权。 </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12.3 如合同设备涉及知识产权，则卖方保证买方在使用合同设备过程中免于受到第三方提出的有关知识产权侵权的主张、索赔或诉讼的伤害。</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12.4 如果买方收到任何第三方有关知识产权的主张、索赔或诉讼，卖方在收到买方通知后，应以买方名义并在买方的协助下，自负费用处理与第三方的索赔或诉讼，并赔偿买方因此发生的费用和遭受的损失。除专用合同条款另有约定外，如果卖方拒绝处理前述索赔或诉讼或在收到买方通知后28日内未作表示，买方可以自己的名义进行这些索赔或诉讼，因此发生的费用和遭受的损失均应由卖方承担。</w:t>
      </w:r>
    </w:p>
    <w:p>
      <w:pPr>
        <w:pStyle w:val="3"/>
        <w:rPr>
          <w:rFonts w:ascii="Times New Roman" w:hAnsi="Times New Roman"/>
          <w:bCs/>
          <w:color w:val="auto"/>
          <w:szCs w:val="32"/>
          <w:highlight w:val="none"/>
        </w:rPr>
      </w:pPr>
      <w:bookmarkStart w:id="475" w:name="_Toc2377"/>
      <w:bookmarkStart w:id="476" w:name="_Toc482188758"/>
      <w:bookmarkStart w:id="477" w:name="_Toc491883212"/>
      <w:r>
        <w:rPr>
          <w:rFonts w:ascii="Times New Roman" w:hAnsi="Times New Roman"/>
          <w:color w:val="auto"/>
          <w:szCs w:val="21"/>
          <w:highlight w:val="none"/>
        </w:rPr>
        <w:t>13</w:t>
      </w:r>
      <w:r>
        <w:rPr>
          <w:rFonts w:ascii="Times New Roman" w:hAnsi="Times New Roman"/>
          <w:bCs/>
          <w:color w:val="auto"/>
          <w:szCs w:val="32"/>
          <w:highlight w:val="none"/>
        </w:rPr>
        <w:t>. 保密</w:t>
      </w:r>
      <w:bookmarkEnd w:id="475"/>
      <w:bookmarkEnd w:id="476"/>
      <w:bookmarkEnd w:id="477"/>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合同双方应对因履行合同而取得的另一方当事人的信息、资料等予以保密。未经另一方当事人书面同意，任何一方均不得为与履行合同无关的目的使用或向第三方披露另一方当事人提供的信息、资料。</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合同当事人的保密义务不适用于下列信息：</w:t>
      </w:r>
    </w:p>
    <w:p>
      <w:pPr>
        <w:numPr>
          <w:ilvl w:val="0"/>
          <w:numId w:val="2"/>
        </w:num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非因接受信息一方的过失现在或以后进入公共领域的信息；</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（2）接受信息一方当事人合法地从第三方获得并且据其善意了解第三方也不对此承担保密义务的信息；</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（3）法律或法律的执行要求披露的信息。</w:t>
      </w:r>
    </w:p>
    <w:p>
      <w:pPr>
        <w:pStyle w:val="3"/>
        <w:rPr>
          <w:rFonts w:ascii="Times New Roman" w:hAnsi="Times New Roman"/>
          <w:bCs/>
          <w:color w:val="auto"/>
          <w:szCs w:val="32"/>
          <w:highlight w:val="none"/>
        </w:rPr>
      </w:pPr>
      <w:bookmarkStart w:id="478" w:name="_Toc491883213"/>
      <w:bookmarkStart w:id="479" w:name="_Toc16122"/>
      <w:bookmarkStart w:id="480" w:name="_Toc482188759"/>
      <w:r>
        <w:rPr>
          <w:rFonts w:ascii="Times New Roman" w:hAnsi="Times New Roman"/>
          <w:bCs/>
          <w:color w:val="auto"/>
          <w:szCs w:val="32"/>
          <w:highlight w:val="none"/>
        </w:rPr>
        <w:t>14. 违约责任</w:t>
      </w:r>
      <w:bookmarkEnd w:id="478"/>
      <w:bookmarkEnd w:id="479"/>
      <w:bookmarkEnd w:id="480"/>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4"/>
          <w:highlight w:val="none"/>
        </w:rPr>
        <w:t>14.1</w:t>
      </w:r>
      <w:r>
        <w:rPr>
          <w:rFonts w:hint="default" w:ascii="Times New Roman" w:hAnsi="Times New Roman"/>
          <w:color w:val="auto"/>
          <w:szCs w:val="21"/>
          <w:highlight w:val="none"/>
        </w:rPr>
        <w:t>合同一方不履行合同义务、履行合同义务不符合约定或者违反合同项下所作保证的，应向对方承担继续履行、采取修理、更换、退货等补救措施或者赔偿损失等违约责任。</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4"/>
          <w:highlight w:val="none"/>
        </w:rPr>
        <w:t xml:space="preserve">14.2 </w:t>
      </w:r>
      <w:r>
        <w:rPr>
          <w:rFonts w:hint="default" w:ascii="Times New Roman" w:hAnsi="Times New Roman"/>
          <w:color w:val="auto"/>
          <w:highlight w:val="none"/>
        </w:rPr>
        <w:t>卖方未能按时交付合同</w:t>
      </w:r>
      <w:r>
        <w:rPr>
          <w:rFonts w:hint="default" w:ascii="Times New Roman" w:hAnsi="Times New Roman"/>
          <w:color w:val="auto"/>
          <w:szCs w:val="21"/>
          <w:highlight w:val="none"/>
        </w:rPr>
        <w:t>设备（包括仅迟延交付技术资料但足以导致合同设备安装、调试、考核、验收工作推迟的）的，应向买方支付迟延交付违约金。除专用合同条款另有约定外，迟延交付违约金的计算方法如下：</w:t>
      </w:r>
    </w:p>
    <w:p>
      <w:pPr>
        <w:spacing w:line="360" w:lineRule="auto"/>
        <w:ind w:left="0" w:leftChars="0"/>
        <w:rPr>
          <w:rFonts w:ascii="Times New Roman" w:hAnsi="Times New Roman"/>
          <w:color w:val="auto"/>
          <w:szCs w:val="21"/>
          <w:highlight w:val="none"/>
        </w:rPr>
      </w:pPr>
      <w:r>
        <w:rPr>
          <w:rFonts w:hint="default" w:ascii="Times New Roman" w:hAnsi="Times New Roman"/>
          <w:color w:val="auto"/>
          <w:szCs w:val="21"/>
          <w:highlight w:val="none"/>
        </w:rPr>
        <w:t>（</w:t>
      </w:r>
      <w:r>
        <w:rPr>
          <w:rFonts w:ascii="Times New Roman" w:hAnsi="Times New Roman"/>
          <w:color w:val="auto"/>
          <w:szCs w:val="21"/>
          <w:highlight w:val="none"/>
        </w:rPr>
        <w:t>1</w:t>
      </w:r>
      <w:r>
        <w:rPr>
          <w:rFonts w:hint="default" w:ascii="Times New Roman" w:hAnsi="Times New Roman"/>
          <w:color w:val="auto"/>
          <w:szCs w:val="21"/>
          <w:highlight w:val="none"/>
        </w:rPr>
        <w:t>）从迟交的第一周到第四周，每周迟延交付违约金为迟交合同设备价格的</w:t>
      </w:r>
      <w:r>
        <w:rPr>
          <w:rFonts w:ascii="Times New Roman" w:hAnsi="Times New Roman"/>
          <w:color w:val="auto"/>
          <w:szCs w:val="21"/>
          <w:highlight w:val="none"/>
        </w:rPr>
        <w:t>0.5%</w:t>
      </w:r>
      <w:r>
        <w:rPr>
          <w:rFonts w:hint="default" w:ascii="Times New Roman" w:hAnsi="Times New Roman"/>
          <w:color w:val="auto"/>
          <w:szCs w:val="21"/>
          <w:highlight w:val="none"/>
        </w:rPr>
        <w:t>；</w:t>
      </w:r>
    </w:p>
    <w:p>
      <w:pPr>
        <w:spacing w:line="360" w:lineRule="auto"/>
        <w:ind w:left="0" w:leftChars="0"/>
        <w:rPr>
          <w:rFonts w:ascii="Times New Roman" w:hAnsi="Times New Roman"/>
          <w:color w:val="auto"/>
          <w:szCs w:val="21"/>
          <w:highlight w:val="none"/>
        </w:rPr>
      </w:pPr>
      <w:r>
        <w:rPr>
          <w:rFonts w:hint="default" w:ascii="Times New Roman" w:hAnsi="Times New Roman"/>
          <w:color w:val="auto"/>
          <w:szCs w:val="21"/>
          <w:highlight w:val="none"/>
        </w:rPr>
        <w:t>（</w:t>
      </w:r>
      <w:r>
        <w:rPr>
          <w:rFonts w:ascii="Times New Roman" w:hAnsi="Times New Roman"/>
          <w:color w:val="auto"/>
          <w:szCs w:val="21"/>
          <w:highlight w:val="none"/>
        </w:rPr>
        <w:t>2</w:t>
      </w:r>
      <w:r>
        <w:rPr>
          <w:rFonts w:hint="default" w:ascii="Times New Roman" w:hAnsi="Times New Roman"/>
          <w:color w:val="auto"/>
          <w:szCs w:val="21"/>
          <w:highlight w:val="none"/>
        </w:rPr>
        <w:t>）从迟交的第五周到第八周，每周迟延交付违约金为迟交合同设备价格的</w:t>
      </w:r>
      <w:r>
        <w:rPr>
          <w:rFonts w:ascii="Times New Roman" w:hAnsi="Times New Roman"/>
          <w:color w:val="auto"/>
          <w:szCs w:val="21"/>
          <w:highlight w:val="none"/>
        </w:rPr>
        <w:t>1%</w:t>
      </w:r>
      <w:r>
        <w:rPr>
          <w:rFonts w:hint="default" w:ascii="Times New Roman" w:hAnsi="Times New Roman"/>
          <w:color w:val="auto"/>
          <w:szCs w:val="21"/>
          <w:highlight w:val="none"/>
        </w:rPr>
        <w:t>；</w:t>
      </w:r>
    </w:p>
    <w:p>
      <w:pPr>
        <w:spacing w:line="360" w:lineRule="auto"/>
        <w:ind w:left="0" w:leftChars="0"/>
        <w:rPr>
          <w:rFonts w:ascii="Times New Roman" w:hAnsi="Times New Roman"/>
          <w:color w:val="auto"/>
          <w:szCs w:val="21"/>
          <w:highlight w:val="none"/>
        </w:rPr>
      </w:pPr>
      <w:r>
        <w:rPr>
          <w:rFonts w:hint="default" w:ascii="Times New Roman" w:hAnsi="Times New Roman"/>
          <w:color w:val="auto"/>
          <w:szCs w:val="21"/>
          <w:highlight w:val="none"/>
        </w:rPr>
        <w:t>（</w:t>
      </w:r>
      <w:r>
        <w:rPr>
          <w:rFonts w:ascii="Times New Roman" w:hAnsi="Times New Roman"/>
          <w:color w:val="auto"/>
          <w:szCs w:val="21"/>
          <w:highlight w:val="none"/>
        </w:rPr>
        <w:t>3</w:t>
      </w:r>
      <w:r>
        <w:rPr>
          <w:rFonts w:hint="default" w:ascii="Times New Roman" w:hAnsi="Times New Roman"/>
          <w:color w:val="auto"/>
          <w:szCs w:val="21"/>
          <w:highlight w:val="none"/>
        </w:rPr>
        <w:t>）从迟交第九周起，每周迟延交付违约金为迟交合同设备价格的</w:t>
      </w:r>
      <w:r>
        <w:rPr>
          <w:rFonts w:ascii="Times New Roman" w:hAnsi="Times New Roman"/>
          <w:color w:val="auto"/>
          <w:szCs w:val="21"/>
          <w:highlight w:val="none"/>
        </w:rPr>
        <w:t>1.5%</w:t>
      </w:r>
      <w:r>
        <w:rPr>
          <w:rFonts w:hint="default" w:ascii="Times New Roman" w:hAnsi="Times New Roman"/>
          <w:color w:val="auto"/>
          <w:szCs w:val="21"/>
          <w:highlight w:val="none"/>
        </w:rPr>
        <w:t>。</w:t>
      </w:r>
    </w:p>
    <w:p>
      <w:pPr>
        <w:spacing w:line="360" w:lineRule="auto"/>
        <w:ind w:firstLine="480" w:firstLineChars="200"/>
        <w:rPr>
          <w:rFonts w:ascii="Times New Roman" w:hAnsi="Times New Roman"/>
          <w:color w:val="auto"/>
          <w:szCs w:val="21"/>
          <w:highlight w:val="none"/>
        </w:rPr>
      </w:pPr>
      <w:r>
        <w:rPr>
          <w:rFonts w:hint="default" w:ascii="Times New Roman" w:hAnsi="Times New Roman"/>
          <w:color w:val="auto"/>
          <w:szCs w:val="21"/>
          <w:highlight w:val="none"/>
        </w:rPr>
        <w:t>在计算迟延交付违约金时，迟交不足一周的按一周计算。迟延交付违约金的总额不得超过合同价格的</w:t>
      </w:r>
      <w:r>
        <w:rPr>
          <w:rFonts w:ascii="Times New Roman" w:hAnsi="Times New Roman"/>
          <w:color w:val="auto"/>
          <w:szCs w:val="21"/>
          <w:highlight w:val="none"/>
        </w:rPr>
        <w:t>10%</w:t>
      </w:r>
      <w:r>
        <w:rPr>
          <w:rFonts w:hint="default" w:ascii="Times New Roman" w:hAnsi="Times New Roman"/>
          <w:color w:val="auto"/>
          <w:szCs w:val="21"/>
          <w:highlight w:val="none"/>
        </w:rPr>
        <w:t>。</w:t>
      </w:r>
    </w:p>
    <w:p>
      <w:pPr>
        <w:spacing w:line="360" w:lineRule="auto"/>
        <w:ind w:firstLine="480" w:firstLineChars="200"/>
        <w:rPr>
          <w:rFonts w:ascii="Times New Roman" w:hAnsi="Times New Roman"/>
          <w:color w:val="auto"/>
          <w:szCs w:val="21"/>
          <w:highlight w:val="none"/>
        </w:rPr>
      </w:pPr>
      <w:r>
        <w:rPr>
          <w:rFonts w:hint="default" w:ascii="Times New Roman" w:hAnsi="Times New Roman"/>
          <w:color w:val="auto"/>
          <w:szCs w:val="21"/>
          <w:highlight w:val="none"/>
        </w:rPr>
        <w:t>迟延交付违约金的支付不能免除卖方继续交付相关合同设备的义务，但如迟延交付必然导致合同设备安装、调试、考核、验收工作推迟的，相关工作应相应顺延。</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4"/>
          <w:highlight w:val="none"/>
        </w:rPr>
        <w:t>14.3</w:t>
      </w:r>
      <w:r>
        <w:rPr>
          <w:rFonts w:hint="default" w:ascii="Times New Roman" w:hAnsi="Times New Roman"/>
          <w:color w:val="auto"/>
          <w:highlight w:val="none"/>
        </w:rPr>
        <w:t>买方未能按合同约定支付合同价款的，应向卖方支付延迟付款违约金</w:t>
      </w:r>
      <w:r>
        <w:rPr>
          <w:rFonts w:hint="default" w:ascii="Times New Roman" w:hAnsi="Times New Roman"/>
          <w:color w:val="auto"/>
          <w:szCs w:val="21"/>
          <w:highlight w:val="none"/>
        </w:rPr>
        <w:t>。除专用合同条款另有约定外，迟延付款违约金的计算方法如下：</w:t>
      </w:r>
    </w:p>
    <w:p>
      <w:pPr>
        <w:spacing w:line="360" w:lineRule="auto"/>
        <w:ind w:left="0" w:leftChars="0"/>
        <w:rPr>
          <w:rFonts w:ascii="Times New Roman" w:hAnsi="Times New Roman"/>
          <w:color w:val="auto"/>
          <w:szCs w:val="21"/>
          <w:highlight w:val="none"/>
        </w:rPr>
      </w:pPr>
      <w:r>
        <w:rPr>
          <w:rFonts w:hint="default" w:ascii="Times New Roman" w:hAnsi="Times New Roman"/>
          <w:color w:val="auto"/>
          <w:szCs w:val="21"/>
          <w:highlight w:val="none"/>
        </w:rPr>
        <w:t>（</w:t>
      </w:r>
      <w:r>
        <w:rPr>
          <w:rFonts w:ascii="Times New Roman" w:hAnsi="Times New Roman"/>
          <w:color w:val="auto"/>
          <w:szCs w:val="21"/>
          <w:highlight w:val="none"/>
        </w:rPr>
        <w:t>1</w:t>
      </w:r>
      <w:r>
        <w:rPr>
          <w:rFonts w:hint="default" w:ascii="Times New Roman" w:hAnsi="Times New Roman"/>
          <w:color w:val="auto"/>
          <w:szCs w:val="21"/>
          <w:highlight w:val="none"/>
        </w:rPr>
        <w:t>）从迟付的第一周到第四周，每周迟延付款违约金为迟延付款金额的</w:t>
      </w:r>
      <w:r>
        <w:rPr>
          <w:rFonts w:ascii="Times New Roman" w:hAnsi="Times New Roman"/>
          <w:color w:val="auto"/>
          <w:szCs w:val="21"/>
          <w:highlight w:val="none"/>
        </w:rPr>
        <w:t>0.5%</w:t>
      </w:r>
      <w:r>
        <w:rPr>
          <w:rFonts w:hint="default" w:ascii="Times New Roman" w:hAnsi="Times New Roman"/>
          <w:color w:val="auto"/>
          <w:szCs w:val="21"/>
          <w:highlight w:val="none"/>
        </w:rPr>
        <w:t>；</w:t>
      </w:r>
    </w:p>
    <w:p>
      <w:pPr>
        <w:spacing w:line="360" w:lineRule="auto"/>
        <w:ind w:left="0" w:leftChars="0"/>
        <w:rPr>
          <w:rFonts w:ascii="Times New Roman" w:hAnsi="Times New Roman"/>
          <w:color w:val="auto"/>
          <w:szCs w:val="21"/>
          <w:highlight w:val="none"/>
        </w:rPr>
      </w:pPr>
      <w:r>
        <w:rPr>
          <w:rFonts w:hint="default" w:ascii="Times New Roman" w:hAnsi="Times New Roman"/>
          <w:color w:val="auto"/>
          <w:szCs w:val="21"/>
          <w:highlight w:val="none"/>
        </w:rPr>
        <w:t>（</w:t>
      </w:r>
      <w:r>
        <w:rPr>
          <w:rFonts w:ascii="Times New Roman" w:hAnsi="Times New Roman"/>
          <w:color w:val="auto"/>
          <w:szCs w:val="21"/>
          <w:highlight w:val="none"/>
        </w:rPr>
        <w:t>2</w:t>
      </w:r>
      <w:r>
        <w:rPr>
          <w:rFonts w:hint="default" w:ascii="Times New Roman" w:hAnsi="Times New Roman"/>
          <w:color w:val="auto"/>
          <w:szCs w:val="21"/>
          <w:highlight w:val="none"/>
        </w:rPr>
        <w:t>）从迟付的第五周到第八周，每周迟延付款违约金为迟延付款金额的</w:t>
      </w:r>
      <w:r>
        <w:rPr>
          <w:rFonts w:ascii="Times New Roman" w:hAnsi="Times New Roman"/>
          <w:color w:val="auto"/>
          <w:szCs w:val="21"/>
          <w:highlight w:val="none"/>
        </w:rPr>
        <w:t>1%</w:t>
      </w:r>
      <w:r>
        <w:rPr>
          <w:rFonts w:hint="default" w:ascii="Times New Roman" w:hAnsi="Times New Roman"/>
          <w:color w:val="auto"/>
          <w:szCs w:val="21"/>
          <w:highlight w:val="none"/>
        </w:rPr>
        <w:t>；</w:t>
      </w:r>
    </w:p>
    <w:p>
      <w:pPr>
        <w:spacing w:line="360" w:lineRule="auto"/>
        <w:ind w:left="0" w:leftChars="0"/>
        <w:rPr>
          <w:rFonts w:ascii="Times New Roman" w:hAnsi="Times New Roman"/>
          <w:color w:val="auto"/>
          <w:szCs w:val="21"/>
          <w:highlight w:val="none"/>
        </w:rPr>
      </w:pPr>
      <w:r>
        <w:rPr>
          <w:rFonts w:hint="default" w:ascii="Times New Roman" w:hAnsi="Times New Roman"/>
          <w:color w:val="auto"/>
          <w:szCs w:val="21"/>
          <w:highlight w:val="none"/>
        </w:rPr>
        <w:t>（</w:t>
      </w:r>
      <w:r>
        <w:rPr>
          <w:rFonts w:ascii="Times New Roman" w:hAnsi="Times New Roman"/>
          <w:color w:val="auto"/>
          <w:szCs w:val="21"/>
          <w:highlight w:val="none"/>
        </w:rPr>
        <w:t>3</w:t>
      </w:r>
      <w:r>
        <w:rPr>
          <w:rFonts w:hint="default" w:ascii="Times New Roman" w:hAnsi="Times New Roman"/>
          <w:color w:val="auto"/>
          <w:szCs w:val="21"/>
          <w:highlight w:val="none"/>
        </w:rPr>
        <w:t>）从迟付第九周起，每周迟延付款违约金为迟延付款金额的</w:t>
      </w:r>
      <w:r>
        <w:rPr>
          <w:rFonts w:ascii="Times New Roman" w:hAnsi="Times New Roman"/>
          <w:color w:val="auto"/>
          <w:szCs w:val="21"/>
          <w:highlight w:val="none"/>
        </w:rPr>
        <w:t>1.5%</w:t>
      </w:r>
      <w:r>
        <w:rPr>
          <w:rFonts w:hint="default" w:ascii="Times New Roman" w:hAnsi="Times New Roman"/>
          <w:color w:val="auto"/>
          <w:szCs w:val="21"/>
          <w:highlight w:val="none"/>
        </w:rPr>
        <w:t>。</w:t>
      </w:r>
    </w:p>
    <w:p>
      <w:pPr>
        <w:spacing w:line="360" w:lineRule="auto"/>
        <w:ind w:firstLine="480" w:firstLineChars="200"/>
        <w:rPr>
          <w:rFonts w:ascii="Times New Roman" w:hAnsi="Times New Roman"/>
          <w:color w:val="auto"/>
          <w:szCs w:val="21"/>
          <w:highlight w:val="none"/>
        </w:rPr>
      </w:pPr>
      <w:r>
        <w:rPr>
          <w:rFonts w:hint="default" w:ascii="Times New Roman" w:hAnsi="Times New Roman"/>
          <w:color w:val="auto"/>
          <w:szCs w:val="21"/>
          <w:highlight w:val="none"/>
        </w:rPr>
        <w:t>在计算迟延付款违约金时，迟付不足一周的按一周计算。迟延付款违约金的总额不得超过合同价格的</w:t>
      </w:r>
      <w:r>
        <w:rPr>
          <w:rFonts w:ascii="Times New Roman" w:hAnsi="Times New Roman"/>
          <w:color w:val="auto"/>
          <w:szCs w:val="21"/>
          <w:highlight w:val="none"/>
        </w:rPr>
        <w:t>10%</w:t>
      </w:r>
      <w:r>
        <w:rPr>
          <w:rFonts w:hint="default" w:ascii="Times New Roman" w:hAnsi="Times New Roman"/>
          <w:color w:val="auto"/>
          <w:szCs w:val="21"/>
          <w:highlight w:val="none"/>
        </w:rPr>
        <w:t>。</w:t>
      </w:r>
    </w:p>
    <w:p>
      <w:pPr>
        <w:pStyle w:val="3"/>
        <w:rPr>
          <w:rFonts w:ascii="Times New Roman" w:hAnsi="Times New Roman"/>
          <w:bCs/>
          <w:color w:val="auto"/>
          <w:szCs w:val="32"/>
          <w:highlight w:val="none"/>
        </w:rPr>
      </w:pPr>
      <w:bookmarkStart w:id="481" w:name="_Toc1821"/>
      <w:bookmarkStart w:id="482" w:name="_Toc482188760"/>
      <w:bookmarkStart w:id="483" w:name="_Toc491883214"/>
      <w:r>
        <w:rPr>
          <w:rFonts w:ascii="Times New Roman" w:hAnsi="Times New Roman"/>
          <w:bCs/>
          <w:color w:val="auto"/>
          <w:szCs w:val="32"/>
          <w:highlight w:val="none"/>
        </w:rPr>
        <w:t>15. 合同的解除</w:t>
      </w:r>
      <w:bookmarkEnd w:id="481"/>
      <w:bookmarkEnd w:id="482"/>
      <w:bookmarkEnd w:id="483"/>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除专用合同条款另有约定外，</w:t>
      </w:r>
      <w:r>
        <w:rPr>
          <w:rFonts w:ascii="Times New Roman" w:hAnsi="Times New Roman"/>
          <w:color w:val="auto"/>
          <w:highlight w:val="none"/>
        </w:rPr>
        <w:t>有下述情形之一，当事人可</w:t>
      </w:r>
      <w:r>
        <w:rPr>
          <w:rFonts w:ascii="Times New Roman" w:hAnsi="Times New Roman"/>
          <w:color w:val="auto"/>
          <w:szCs w:val="21"/>
          <w:highlight w:val="none"/>
        </w:rPr>
        <w:t>发出书面通知全部或部分地解除合同</w:t>
      </w:r>
      <w:r>
        <w:rPr>
          <w:rFonts w:ascii="Times New Roman" w:hAnsi="Times New Roman"/>
          <w:color w:val="auto"/>
          <w:highlight w:val="none"/>
        </w:rPr>
        <w:t>，</w:t>
      </w:r>
      <w:r>
        <w:rPr>
          <w:rFonts w:ascii="Times New Roman" w:hAnsi="Times New Roman"/>
          <w:color w:val="auto"/>
          <w:szCs w:val="21"/>
          <w:highlight w:val="none"/>
        </w:rPr>
        <w:t>合同自通知到达对方时全部或部分地解除：</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（1）卖方迟延交付合同设备超过3个月；</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2）合同设备由于卖方原因三次考核均未能达到技术性能考核指标或在合同约定了或双方在考核中另行达成了最低技术性能考核指标时均未能达到最低技术性能考核指标，且买卖双方未就合同的后续履行协商达成一致；</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（3）买方迟延付款超过3个月；</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w:t>
      </w:r>
      <w:r>
        <w:rPr>
          <w:rFonts w:hint="default" w:ascii="Times New Roman" w:hAnsi="Times New Roman"/>
          <w:color w:val="auto"/>
          <w:szCs w:val="21"/>
          <w:highlight w:val="none"/>
        </w:rPr>
        <w:t>合同</w:t>
      </w:r>
      <w:r>
        <w:rPr>
          <w:rFonts w:ascii="Times New Roman" w:hAnsi="Times New Roman"/>
          <w:color w:val="auto"/>
          <w:szCs w:val="21"/>
          <w:highlight w:val="none"/>
        </w:rPr>
        <w:t>一方当事人未能履行合同项下任何其它义务（细微义务除外），或在未事先征得另一方当事人同意的情况下，从事任何可能在实质上不利影响其履行合同能力的活动，经另一方当事人书面通知后14日内或在专用合同条款约定的其他期限内未能对其行为作出</w:t>
      </w:r>
      <w:bookmarkStart w:id="484" w:name="_Toc369531680"/>
      <w:bookmarkStart w:id="485" w:name="_Toc31629"/>
      <w:r>
        <w:rPr>
          <w:rFonts w:ascii="Times New Roman" w:hAnsi="Times New Roman"/>
          <w:color w:val="auto"/>
          <w:szCs w:val="21"/>
          <w:highlight w:val="none"/>
        </w:rPr>
        <w:t>补救；</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5</w:t>
      </w:r>
      <w:r>
        <w:rPr>
          <w:rFonts w:ascii="Times New Roman" w:hAnsi="Times New Roman"/>
          <w:color w:val="auto"/>
          <w:szCs w:val="21"/>
          <w:highlight w:val="none"/>
        </w:rPr>
        <w:t>）合同一方当事人出现破产、清算、资不抵债、成为失信被执行人等可能丧失履约能力的情形，且未能提供令对方满意的履约保证金。</w:t>
      </w:r>
    </w:p>
    <w:bookmarkEnd w:id="484"/>
    <w:bookmarkEnd w:id="485"/>
    <w:p>
      <w:pPr>
        <w:pStyle w:val="3"/>
        <w:rPr>
          <w:rFonts w:ascii="Times New Roman" w:hAnsi="Times New Roman"/>
          <w:bCs/>
          <w:color w:val="auto"/>
          <w:szCs w:val="32"/>
          <w:highlight w:val="none"/>
        </w:rPr>
      </w:pPr>
      <w:bookmarkStart w:id="486" w:name="_Toc1854"/>
      <w:bookmarkStart w:id="487" w:name="_Toc491883215"/>
      <w:bookmarkStart w:id="488" w:name="_Toc482188761"/>
      <w:r>
        <w:rPr>
          <w:rFonts w:ascii="Times New Roman" w:hAnsi="Times New Roman"/>
          <w:bCs/>
          <w:color w:val="auto"/>
          <w:szCs w:val="32"/>
          <w:highlight w:val="none"/>
        </w:rPr>
        <w:t>16. 不可抗力</w:t>
      </w:r>
      <w:bookmarkEnd w:id="486"/>
      <w:bookmarkEnd w:id="487"/>
      <w:bookmarkEnd w:id="488"/>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16.1 如果任何一方当事人受到不能预见、不能避免且不能克服的不可抗力事件的影响，例如战争、严重的火灾、台风、地震、洪水和专用合同条款约定的其他情形，而无法履行合同项下的任何义务，则受影响的一方当事人应立即将此类事件的发生通知另一方当事人，并应在不可抗力事件发生后28日内将有关当局或机构出具的证明文件提交给另一方当事人。</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16.2 受不可抗力事件影响的一方当事人对于不可抗力事件导致的任何合同义务的迟延履行或不能履行不承担违</w:t>
      </w:r>
      <w:bookmarkStart w:id="489" w:name="_Toc369531672"/>
      <w:bookmarkStart w:id="490" w:name="_Toc6667"/>
      <w:r>
        <w:rPr>
          <w:rFonts w:ascii="Times New Roman" w:hAnsi="Times New Roman"/>
          <w:color w:val="auto"/>
          <w:szCs w:val="21"/>
          <w:highlight w:val="none"/>
        </w:rPr>
        <w:t>约责任。但该方</w:t>
      </w:r>
      <w:bookmarkEnd w:id="489"/>
      <w:r>
        <w:rPr>
          <w:rFonts w:ascii="Times New Roman" w:hAnsi="Times New Roman"/>
          <w:color w:val="auto"/>
          <w:szCs w:val="21"/>
          <w:highlight w:val="none"/>
        </w:rPr>
        <w:t>当事</w:t>
      </w:r>
      <w:bookmarkEnd w:id="490"/>
      <w:r>
        <w:rPr>
          <w:rFonts w:ascii="Times New Roman" w:hAnsi="Times New Roman"/>
          <w:color w:val="auto"/>
          <w:szCs w:val="21"/>
          <w:highlight w:val="none"/>
        </w:rPr>
        <w:t>人</w:t>
      </w:r>
      <w:bookmarkStart w:id="491" w:name="_Toc369531673"/>
      <w:bookmarkStart w:id="492" w:name="_Toc28096"/>
      <w:r>
        <w:rPr>
          <w:rFonts w:ascii="Times New Roman" w:hAnsi="Times New Roman"/>
          <w:color w:val="auto"/>
          <w:szCs w:val="21"/>
          <w:highlight w:val="none"/>
        </w:rPr>
        <w:t>应尽快将</w:t>
      </w:r>
      <w:bookmarkEnd w:id="491"/>
      <w:r>
        <w:rPr>
          <w:rFonts w:ascii="Times New Roman" w:hAnsi="Times New Roman"/>
          <w:color w:val="auto"/>
          <w:szCs w:val="21"/>
          <w:highlight w:val="none"/>
        </w:rPr>
        <w:t>不可</w:t>
      </w:r>
      <w:bookmarkEnd w:id="492"/>
      <w:r>
        <w:rPr>
          <w:rFonts w:ascii="Times New Roman" w:hAnsi="Times New Roman"/>
          <w:color w:val="auto"/>
          <w:szCs w:val="21"/>
          <w:highlight w:val="none"/>
        </w:rPr>
        <w:t>抗力事件结束或消除的情况通知另一方当事人。</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16.3 双方当事人应在不可抗力事件结束或其影响消除后立即继续履行其合同义务，合同期限也应相应顺延。除专用合同条款另有约定外，如果不可抗力事件的影响持续超过140日，则任何一方当事人均有权以书面通知解除合同。</w:t>
      </w:r>
    </w:p>
    <w:p>
      <w:pPr>
        <w:pStyle w:val="3"/>
        <w:rPr>
          <w:rFonts w:ascii="Times New Roman" w:hAnsi="Times New Roman"/>
          <w:bCs/>
          <w:color w:val="auto"/>
          <w:szCs w:val="32"/>
          <w:highlight w:val="none"/>
        </w:rPr>
      </w:pPr>
      <w:bookmarkStart w:id="493" w:name="_Toc491883216"/>
      <w:bookmarkStart w:id="494" w:name="_Toc173"/>
      <w:bookmarkStart w:id="495" w:name="_Toc482188762"/>
      <w:r>
        <w:rPr>
          <w:rFonts w:ascii="Times New Roman" w:hAnsi="Times New Roman"/>
          <w:bCs/>
          <w:color w:val="auto"/>
          <w:szCs w:val="32"/>
          <w:highlight w:val="none"/>
        </w:rPr>
        <w:t>17. 争议的解决</w:t>
      </w:r>
      <w:bookmarkEnd w:id="493"/>
      <w:bookmarkEnd w:id="494"/>
      <w:bookmarkEnd w:id="495"/>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shd w:val="clear" w:color="auto" w:fill="FFFFFF"/>
        </w:rPr>
        <w:t>因</w:t>
      </w:r>
      <w:r>
        <w:rPr>
          <w:rFonts w:hint="default" w:ascii="Times New Roman" w:hAnsi="Times New Roman"/>
          <w:color w:val="auto"/>
          <w:highlight w:val="none"/>
          <w:shd w:val="clear" w:color="auto" w:fill="FFFFFF"/>
        </w:rPr>
        <w:t>本</w:t>
      </w:r>
      <w:r>
        <w:rPr>
          <w:rFonts w:ascii="Times New Roman" w:hAnsi="Times New Roman"/>
          <w:color w:val="auto"/>
          <w:highlight w:val="none"/>
          <w:shd w:val="clear" w:color="auto" w:fill="FFFFFF"/>
        </w:rPr>
        <w:t>合同引起的或与</w:t>
      </w:r>
      <w:r>
        <w:rPr>
          <w:rFonts w:hint="default" w:ascii="Times New Roman" w:hAnsi="Times New Roman"/>
          <w:color w:val="auto"/>
          <w:highlight w:val="none"/>
          <w:shd w:val="clear" w:color="auto" w:fill="FFFFFF"/>
        </w:rPr>
        <w:t>本</w:t>
      </w:r>
      <w:r>
        <w:rPr>
          <w:rFonts w:ascii="Times New Roman" w:hAnsi="Times New Roman"/>
          <w:color w:val="auto"/>
          <w:highlight w:val="none"/>
          <w:shd w:val="clear" w:color="auto" w:fill="FFFFFF"/>
        </w:rPr>
        <w:t>合同有关的任何争议,</w:t>
      </w:r>
      <w:r>
        <w:rPr>
          <w:rFonts w:ascii="Times New Roman" w:hAnsi="Times New Roman"/>
          <w:color w:val="auto"/>
          <w:szCs w:val="21"/>
          <w:highlight w:val="none"/>
        </w:rPr>
        <w:t>双方可通过友好协商解决。友好协商解决不成的，可在专用合同条款中约定下列一种方式解决：</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（1）向约定的仲裁委员会申请仲裁；</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（2）向有管辖权的人民法院提起诉讼。</w:t>
      </w:r>
    </w:p>
    <w:p>
      <w:pPr>
        <w:spacing w:line="360" w:lineRule="auto"/>
        <w:ind w:firstLine="480" w:firstLineChars="200"/>
        <w:rPr>
          <w:rFonts w:ascii="Times New Roman" w:hAnsi="Times New Roman"/>
          <w:color w:val="auto"/>
          <w:highlight w:val="none"/>
        </w:rPr>
      </w:pPr>
    </w:p>
    <w:p>
      <w:pPr>
        <w:rPr>
          <w:rFonts w:ascii="Times New Roman" w:hAnsi="Times New Roman"/>
          <w:color w:val="auto"/>
          <w:highlight w:val="none"/>
        </w:rPr>
      </w:pPr>
      <w:r>
        <w:rPr>
          <w:rFonts w:ascii="Times New Roman" w:hAnsi="Times New Roman"/>
          <w:color w:val="auto"/>
          <w:highlight w:val="none"/>
        </w:rPr>
        <w:br w:type="page"/>
      </w:r>
    </w:p>
    <w:p>
      <w:pPr>
        <w:pStyle w:val="3"/>
        <w:ind w:firstLine="642" w:firstLineChars="200"/>
        <w:jc w:val="center"/>
        <w:rPr>
          <w:rFonts w:ascii="Times New Roman" w:hAnsi="Times New Roman"/>
          <w:color w:val="auto"/>
          <w:highlight w:val="none"/>
        </w:rPr>
      </w:pPr>
      <w:bookmarkStart w:id="496" w:name="_Toc491883217"/>
      <w:bookmarkStart w:id="497" w:name="_Toc23708"/>
      <w:r>
        <w:rPr>
          <w:rFonts w:ascii="Times New Roman" w:hAnsi="Times New Roman"/>
          <w:color w:val="auto"/>
          <w:highlight w:val="none"/>
        </w:rPr>
        <w:t>第二节</w:t>
      </w:r>
      <w:r>
        <w:rPr>
          <w:rFonts w:hint="eastAsia" w:ascii="Times New Roman" w:hAnsi="Times New Roman"/>
          <w:color w:val="auto"/>
          <w:highlight w:val="none"/>
          <w:lang w:val="en-US" w:eastAsia="zh-CN"/>
        </w:rPr>
        <w:t xml:space="preserve"> </w:t>
      </w:r>
      <w:r>
        <w:rPr>
          <w:rFonts w:ascii="Times New Roman" w:hAnsi="Times New Roman"/>
          <w:color w:val="auto"/>
          <w:highlight w:val="none"/>
        </w:rPr>
        <w:t>专用合同条款</w:t>
      </w:r>
      <w:bookmarkEnd w:id="496"/>
      <w:bookmarkEnd w:id="497"/>
      <w:r>
        <w:rPr>
          <w:rFonts w:hint="default" w:ascii="Times New Roman" w:hAnsi="Times New Roman" w:eastAsia="黑体" w:cs="Times New Roman"/>
          <w:b w:val="0"/>
          <w:color w:val="auto"/>
          <w:sz w:val="32"/>
          <w:szCs w:val="32"/>
          <w:highlight w:val="none"/>
          <w:vertAlign w:val="superscript"/>
        </w:rPr>
        <w:footnoteReference w:id="22"/>
      </w:r>
    </w:p>
    <w:p>
      <w:pPr>
        <w:ind w:firstLine="105"/>
        <w:rPr>
          <w:rFonts w:ascii="Times New Roman" w:hAnsi="Times New Roman"/>
          <w:color w:val="auto"/>
          <w:highlight w:val="none"/>
        </w:rPr>
      </w:pPr>
      <w:r>
        <w:rPr>
          <w:rFonts w:ascii="Times New Roman" w:hAnsi="Times New Roman"/>
          <w:color w:val="auto"/>
          <w:highlight w:val="none"/>
        </w:rPr>
        <w:br w:type="page"/>
      </w:r>
    </w:p>
    <w:p>
      <w:pPr>
        <w:pStyle w:val="3"/>
        <w:ind w:firstLine="642" w:firstLineChars="200"/>
        <w:jc w:val="center"/>
        <w:rPr>
          <w:rFonts w:ascii="Times New Roman" w:hAnsi="Times New Roman"/>
          <w:color w:val="auto"/>
          <w:highlight w:val="none"/>
        </w:rPr>
      </w:pPr>
      <w:bookmarkStart w:id="498" w:name="_Toc491883218"/>
      <w:bookmarkStart w:id="499" w:name="_Toc3853"/>
      <w:r>
        <w:rPr>
          <w:rFonts w:ascii="Times New Roman" w:hAnsi="Times New Roman"/>
          <w:color w:val="auto"/>
          <w:highlight w:val="none"/>
        </w:rPr>
        <w:t>第三节</w:t>
      </w:r>
      <w:r>
        <w:rPr>
          <w:rFonts w:hint="eastAsia" w:ascii="Times New Roman" w:hAnsi="Times New Roman"/>
          <w:color w:val="auto"/>
          <w:highlight w:val="none"/>
          <w:lang w:val="en-US" w:eastAsia="zh-CN"/>
        </w:rPr>
        <w:t xml:space="preserve"> </w:t>
      </w:r>
      <w:r>
        <w:rPr>
          <w:rFonts w:ascii="Times New Roman" w:hAnsi="Times New Roman"/>
          <w:color w:val="auto"/>
          <w:highlight w:val="none"/>
        </w:rPr>
        <w:t>合同附件格式</w:t>
      </w:r>
      <w:bookmarkEnd w:id="498"/>
      <w:bookmarkEnd w:id="499"/>
    </w:p>
    <w:p>
      <w:pPr>
        <w:pStyle w:val="4"/>
        <w:ind w:firstLine="137"/>
        <w:jc w:val="left"/>
        <w:rPr>
          <w:rFonts w:ascii="Times New Roman" w:hAnsi="Times New Roman"/>
          <w:color w:val="auto"/>
          <w:highlight w:val="none"/>
        </w:rPr>
      </w:pPr>
      <w:r>
        <w:rPr>
          <w:rFonts w:ascii="Times New Roman" w:hAnsi="Times New Roman"/>
          <w:color w:val="auto"/>
          <w:highlight w:val="none"/>
        </w:rPr>
        <w:br w:type="page"/>
      </w:r>
      <w:bookmarkStart w:id="500" w:name="_Toc2094"/>
      <w:bookmarkStart w:id="501" w:name="_Toc491883219"/>
      <w:r>
        <w:rPr>
          <w:rFonts w:ascii="Times New Roman" w:hAnsi="Times New Roman"/>
          <w:color w:val="auto"/>
          <w:highlight w:val="none"/>
        </w:rPr>
        <w:t>附件一：合同协议书</w:t>
      </w:r>
      <w:bookmarkEnd w:id="500"/>
      <w:bookmarkEnd w:id="501"/>
    </w:p>
    <w:p>
      <w:pPr>
        <w:spacing w:line="400" w:lineRule="exact"/>
        <w:rPr>
          <w:rFonts w:ascii="Times New Roman" w:hAnsi="Times New Roman"/>
          <w:color w:val="auto"/>
          <w:highlight w:val="none"/>
        </w:rPr>
      </w:pPr>
    </w:p>
    <w:p>
      <w:pPr>
        <w:spacing w:line="440" w:lineRule="exact"/>
        <w:jc w:val="center"/>
        <w:rPr>
          <w:rFonts w:ascii="Times New Roman" w:hAnsi="Times New Roman" w:eastAsia="黑体"/>
          <w:color w:val="auto"/>
          <w:sz w:val="28"/>
          <w:highlight w:val="none"/>
        </w:rPr>
      </w:pPr>
      <w:r>
        <w:rPr>
          <w:rFonts w:ascii="Times New Roman" w:hAnsi="Times New Roman" w:eastAsia="黑体"/>
          <w:color w:val="auto"/>
          <w:sz w:val="28"/>
          <w:highlight w:val="none"/>
        </w:rPr>
        <w:t>合同协议书</w:t>
      </w:r>
    </w:p>
    <w:p>
      <w:pPr>
        <w:spacing w:line="440" w:lineRule="exact"/>
        <w:rPr>
          <w:rFonts w:ascii="Times New Roman" w:hAnsi="Times New Roman"/>
          <w:color w:val="auto"/>
          <w:highlight w:val="none"/>
        </w:rPr>
      </w:pPr>
    </w:p>
    <w:p>
      <w:pPr>
        <w:spacing w:line="440" w:lineRule="exact"/>
        <w:ind w:firstLine="410" w:firstLineChars="171"/>
        <w:rPr>
          <w:rFonts w:ascii="Times New Roman" w:hAnsi="Times New Roman"/>
          <w:color w:val="auto"/>
          <w:szCs w:val="21"/>
          <w:highlight w:val="none"/>
        </w:rPr>
      </w:pPr>
      <w:r>
        <w:rPr>
          <w:rFonts w:ascii="Times New Roman" w:hAnsi="Times New Roman"/>
          <w:color w:val="auto"/>
          <w:szCs w:val="21"/>
          <w:highlight w:val="none"/>
          <w:u w:val="single"/>
        </w:rPr>
        <w:t xml:space="preserve">                   </w:t>
      </w:r>
      <w:r>
        <w:rPr>
          <w:rFonts w:ascii="Times New Roman" w:hAnsi="Times New Roman"/>
          <w:color w:val="auto"/>
          <w:szCs w:val="21"/>
          <w:highlight w:val="none"/>
        </w:rPr>
        <w:t>（买方名称，以下简称</w:t>
      </w:r>
      <w:r>
        <w:rPr>
          <w:rFonts w:hint="eastAsia" w:ascii="宋体" w:hAnsi="宋体" w:eastAsia="宋体" w:cs="宋体"/>
          <w:color w:val="auto"/>
          <w:szCs w:val="21"/>
          <w:highlight w:val="none"/>
        </w:rPr>
        <w:t>“</w:t>
      </w:r>
      <w:r>
        <w:rPr>
          <w:rFonts w:ascii="Times New Roman" w:hAnsi="Times New Roman"/>
          <w:color w:val="auto"/>
          <w:szCs w:val="21"/>
          <w:highlight w:val="none"/>
        </w:rPr>
        <w:t>买方</w:t>
      </w:r>
      <w:r>
        <w:rPr>
          <w:rFonts w:hint="eastAsia" w:ascii="宋体" w:hAnsi="宋体" w:eastAsia="宋体" w:cs="宋体"/>
          <w:color w:val="auto"/>
          <w:szCs w:val="21"/>
          <w:highlight w:val="none"/>
        </w:rPr>
        <w:t>”</w:t>
      </w:r>
      <w:r>
        <w:rPr>
          <w:rFonts w:ascii="Times New Roman" w:hAnsi="Times New Roman"/>
          <w:color w:val="auto"/>
          <w:szCs w:val="21"/>
          <w:highlight w:val="none"/>
        </w:rPr>
        <w:t>）为获得</w:t>
      </w:r>
      <w:r>
        <w:rPr>
          <w:rFonts w:ascii="Times New Roman" w:hAnsi="Times New Roman"/>
          <w:color w:val="auto"/>
          <w:szCs w:val="21"/>
          <w:highlight w:val="none"/>
          <w:u w:val="single"/>
        </w:rPr>
        <w:t xml:space="preserve">                </w:t>
      </w:r>
      <w:r>
        <w:rPr>
          <w:rFonts w:ascii="Times New Roman" w:hAnsi="Times New Roman"/>
          <w:color w:val="auto"/>
          <w:szCs w:val="21"/>
          <w:highlight w:val="none"/>
        </w:rPr>
        <w:t>（项目名称）合同设备和技术服务和质保期服务，已接受</w:t>
      </w:r>
      <w:r>
        <w:rPr>
          <w:rFonts w:ascii="Times New Roman" w:hAnsi="Times New Roman"/>
          <w:color w:val="auto"/>
          <w:szCs w:val="21"/>
          <w:highlight w:val="none"/>
          <w:u w:val="single"/>
        </w:rPr>
        <w:t xml:space="preserve">                    </w:t>
      </w:r>
      <w:r>
        <w:rPr>
          <w:rFonts w:ascii="Times New Roman" w:hAnsi="Times New Roman"/>
          <w:color w:val="auto"/>
          <w:szCs w:val="21"/>
          <w:highlight w:val="none"/>
        </w:rPr>
        <w:t>（卖方名称，以下简称</w:t>
      </w:r>
      <w:r>
        <w:rPr>
          <w:rFonts w:hint="eastAsia" w:ascii="宋体" w:hAnsi="宋体" w:eastAsia="宋体" w:cs="宋体"/>
          <w:color w:val="auto"/>
          <w:szCs w:val="21"/>
          <w:highlight w:val="none"/>
        </w:rPr>
        <w:t>“</w:t>
      </w:r>
      <w:r>
        <w:rPr>
          <w:rFonts w:ascii="Times New Roman" w:hAnsi="Times New Roman"/>
          <w:color w:val="auto"/>
          <w:szCs w:val="21"/>
          <w:highlight w:val="none"/>
        </w:rPr>
        <w:t>卖方</w:t>
      </w:r>
      <w:r>
        <w:rPr>
          <w:rFonts w:hint="eastAsia" w:ascii="宋体" w:hAnsi="宋体" w:eastAsia="宋体" w:cs="宋体"/>
          <w:color w:val="auto"/>
          <w:szCs w:val="21"/>
          <w:highlight w:val="none"/>
        </w:rPr>
        <w:t>”</w:t>
      </w:r>
      <w:r>
        <w:rPr>
          <w:rFonts w:ascii="Times New Roman" w:hAnsi="Times New Roman"/>
          <w:color w:val="auto"/>
          <w:szCs w:val="21"/>
          <w:highlight w:val="none"/>
        </w:rPr>
        <w:t>）为提供上述合同设备和技术服务和质保期服务所作的投标，买方和卖方共同达成如下协议：</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 本协议书与下列文件一起构成合同文件：</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（1）中标通知书；</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（2）投标函；</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（3）商务和技术偏差表；</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（4）专用合同条款；</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（5）通用合同条款；</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6</w:t>
      </w:r>
      <w:r>
        <w:rPr>
          <w:rFonts w:ascii="Times New Roman" w:hAnsi="Times New Roman"/>
          <w:color w:val="auto"/>
          <w:szCs w:val="21"/>
          <w:highlight w:val="none"/>
        </w:rPr>
        <w:t>）供货要求；</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7</w:t>
      </w:r>
      <w:r>
        <w:rPr>
          <w:rFonts w:ascii="Times New Roman" w:hAnsi="Times New Roman"/>
          <w:color w:val="auto"/>
          <w:szCs w:val="21"/>
          <w:highlight w:val="none"/>
        </w:rPr>
        <w:t>）分项报价表；</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8</w:t>
      </w:r>
      <w:r>
        <w:rPr>
          <w:rFonts w:ascii="Times New Roman" w:hAnsi="Times New Roman"/>
          <w:color w:val="auto"/>
          <w:szCs w:val="21"/>
          <w:highlight w:val="none"/>
        </w:rPr>
        <w:t>）中标设备技术性能指标的详细描述；</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9</w:t>
      </w:r>
      <w:r>
        <w:rPr>
          <w:rFonts w:ascii="Times New Roman" w:hAnsi="Times New Roman"/>
          <w:color w:val="auto"/>
          <w:szCs w:val="21"/>
          <w:highlight w:val="none"/>
        </w:rPr>
        <w:t>）技术服务和质保期服务计划；</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（10）其他合同文件。</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2. 上述合同文件互相补充和解释。如果合同文件之间存在矛盾或不一致之处，以上述文件的排列顺序在先者为准。</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3. 签约合同价：人民币（大写）</w:t>
      </w:r>
      <w:r>
        <w:rPr>
          <w:rFonts w:ascii="Times New Roman" w:hAnsi="Times New Roman"/>
          <w:color w:val="auto"/>
          <w:highlight w:val="none"/>
          <w:u w:val="single"/>
        </w:rPr>
        <w:t xml:space="preserve">              </w:t>
      </w:r>
      <w:r>
        <w:rPr>
          <w:rFonts w:ascii="Times New Roman" w:hAnsi="Times New Roman"/>
          <w:color w:val="auto"/>
          <w:szCs w:val="21"/>
          <w:highlight w:val="none"/>
        </w:rPr>
        <w:t>（¥</w:t>
      </w:r>
      <w:r>
        <w:rPr>
          <w:rFonts w:ascii="Times New Roman" w:hAnsi="Times New Roman"/>
          <w:color w:val="auto"/>
          <w:highlight w:val="none"/>
          <w:u w:val="single"/>
        </w:rPr>
        <w:t xml:space="preserve">              </w:t>
      </w:r>
      <w:r>
        <w:rPr>
          <w:rFonts w:ascii="Times New Roman" w:hAnsi="Times New Roman"/>
          <w:color w:val="auto"/>
          <w:szCs w:val="21"/>
          <w:highlight w:val="none"/>
        </w:rPr>
        <w:t>）。</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4. 卖方承诺保证完全按照合同约定提供合同设备和技术服务和质保期服务并修补缺陷。</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5. 买方承诺保证按照合同约定的条件、时间和方式向卖方支付合同价款。</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6. 本合同协议书一式</w:t>
      </w:r>
      <w:r>
        <w:rPr>
          <w:rFonts w:ascii="Times New Roman" w:hAnsi="Times New Roman"/>
          <w:color w:val="auto"/>
          <w:highlight w:val="none"/>
          <w:u w:val="single"/>
        </w:rPr>
        <w:t xml:space="preserve">       </w:t>
      </w:r>
      <w:r>
        <w:rPr>
          <w:rFonts w:ascii="Times New Roman" w:hAnsi="Times New Roman"/>
          <w:color w:val="auto"/>
          <w:szCs w:val="21"/>
          <w:highlight w:val="none"/>
        </w:rPr>
        <w:t>份，合同双方各执</w:t>
      </w:r>
      <w:r>
        <w:rPr>
          <w:rFonts w:ascii="Times New Roman" w:hAnsi="Times New Roman"/>
          <w:color w:val="auto"/>
          <w:highlight w:val="none"/>
          <w:u w:val="single"/>
        </w:rPr>
        <w:t xml:space="preserve">       </w:t>
      </w:r>
      <w:r>
        <w:rPr>
          <w:rFonts w:ascii="Times New Roman" w:hAnsi="Times New Roman"/>
          <w:color w:val="auto"/>
          <w:szCs w:val="21"/>
          <w:highlight w:val="none"/>
        </w:rPr>
        <w:t>份。</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7. 合同未尽事宜，双方另行签订补充协议，补充协议是合同的组成部分。</w:t>
      </w:r>
    </w:p>
    <w:p>
      <w:pPr>
        <w:adjustRightInd w:val="0"/>
        <w:snapToGrid w:val="0"/>
        <w:rPr>
          <w:rFonts w:ascii="Times New Roman" w:hAnsi="Times New Roman"/>
          <w:color w:val="auto"/>
          <w:szCs w:val="21"/>
          <w:highlight w:val="none"/>
        </w:rPr>
      </w:pPr>
    </w:p>
    <w:p>
      <w:pPr>
        <w:spacing w:line="240" w:lineRule="auto"/>
        <w:ind w:firstLine="0" w:firstLineChars="0"/>
        <w:rPr>
          <w:rFonts w:ascii="Times New Roman" w:hAnsi="Times New Roman" w:cs="Times New Roman"/>
          <w:color w:val="auto"/>
          <w:szCs w:val="21"/>
          <w:highlight w:val="none"/>
        </w:rPr>
      </w:pPr>
      <w:r>
        <w:rPr>
          <w:rFonts w:ascii="Times New Roman" w:hAnsi="Times New Roman" w:cs="Times New Roman"/>
          <w:color w:val="auto"/>
          <w:szCs w:val="21"/>
          <w:highlight w:val="none"/>
        </w:rPr>
        <w:br w:type="page"/>
      </w:r>
    </w:p>
    <w:p>
      <w:pPr>
        <w:tabs>
          <w:tab w:val="left" w:pos="4395"/>
        </w:tabs>
        <w:spacing w:line="440" w:lineRule="exact"/>
        <w:ind w:firstLine="1920" w:firstLineChars="800"/>
        <w:rPr>
          <w:rFonts w:ascii="Times New Roman" w:hAnsi="Times New Roman"/>
          <w:color w:val="auto"/>
          <w:szCs w:val="21"/>
          <w:highlight w:val="none"/>
        </w:rPr>
      </w:pPr>
      <w:r>
        <w:rPr>
          <w:rFonts w:ascii="Times New Roman" w:hAnsi="Times New Roman"/>
          <w:color w:val="auto"/>
          <w:szCs w:val="21"/>
          <w:highlight w:val="none"/>
        </w:rPr>
        <w:t>买方：</w:t>
      </w:r>
      <w:r>
        <w:rPr>
          <w:rFonts w:ascii="Times New Roman" w:hAnsi="Times New Roman"/>
          <w:color w:val="auto"/>
          <w:highlight w:val="none"/>
          <w:u w:val="single"/>
        </w:rPr>
        <w:t xml:space="preserve">         </w:t>
      </w:r>
      <w:r>
        <w:rPr>
          <w:rFonts w:hint="default" w:ascii="Times New Roman" w:hAnsi="Times New Roman" w:cs="Times New Roman"/>
          <w:color w:val="auto"/>
          <w:highlight w:val="none"/>
          <w:u w:val="single"/>
          <w:lang w:val="en-US" w:eastAsia="zh-CN"/>
        </w:rPr>
        <w:t xml:space="preserve">        </w:t>
      </w:r>
      <w:r>
        <w:rPr>
          <w:rFonts w:ascii="Times New Roman" w:hAnsi="Times New Roman"/>
          <w:color w:val="auto"/>
          <w:highlight w:val="none"/>
          <w:u w:val="single"/>
        </w:rPr>
        <w:t xml:space="preserve">       </w:t>
      </w:r>
      <w:r>
        <w:rPr>
          <w:rFonts w:hint="default" w:ascii="Times New Roman" w:hAnsi="Times New Roman" w:cs="Times New Roman"/>
          <w:color w:val="auto"/>
          <w:highlight w:val="none"/>
          <w:u w:val="single"/>
          <w:lang w:val="en-US" w:eastAsia="zh-CN"/>
        </w:rPr>
        <w:t xml:space="preserve">   </w:t>
      </w:r>
      <w:r>
        <w:rPr>
          <w:rFonts w:ascii="Times New Roman" w:hAnsi="Times New Roman"/>
          <w:color w:val="auto"/>
          <w:highlight w:val="none"/>
          <w:u w:val="single"/>
        </w:rPr>
        <w:t xml:space="preserve">        </w:t>
      </w:r>
      <w:r>
        <w:rPr>
          <w:rFonts w:ascii="Times New Roman" w:hAnsi="Times New Roman"/>
          <w:color w:val="auto"/>
          <w:szCs w:val="21"/>
          <w:highlight w:val="none"/>
        </w:rPr>
        <w:t>（盖单位章）</w:t>
      </w:r>
      <w:r>
        <w:rPr>
          <w:rFonts w:ascii="Times New Roman" w:hAnsi="Times New Roman"/>
          <w:color w:val="auto"/>
          <w:szCs w:val="21"/>
          <w:highlight w:val="none"/>
        </w:rPr>
        <w:tab/>
      </w:r>
    </w:p>
    <w:p>
      <w:pPr>
        <w:tabs>
          <w:tab w:val="left" w:pos="4395"/>
        </w:tabs>
        <w:spacing w:line="440" w:lineRule="exact"/>
        <w:ind w:firstLine="1920" w:firstLineChars="800"/>
        <w:rPr>
          <w:rFonts w:ascii="Times New Roman" w:hAnsi="Times New Roman"/>
          <w:color w:val="auto"/>
          <w:szCs w:val="21"/>
          <w:highlight w:val="none"/>
        </w:rPr>
      </w:pPr>
      <w:r>
        <w:rPr>
          <w:rFonts w:ascii="Times New Roman" w:hAnsi="Times New Roman"/>
          <w:color w:val="auto"/>
          <w:szCs w:val="21"/>
          <w:highlight w:val="none"/>
        </w:rPr>
        <w:t>法定代表人（单位负责人）或其委托代理人：</w:t>
      </w:r>
      <w:r>
        <w:rPr>
          <w:rFonts w:ascii="Times New Roman" w:hAnsi="Times New Roman"/>
          <w:color w:val="auto"/>
          <w:highlight w:val="none"/>
          <w:u w:val="single"/>
        </w:rPr>
        <w:t xml:space="preserve">         </w:t>
      </w:r>
      <w:r>
        <w:rPr>
          <w:rFonts w:ascii="Times New Roman" w:hAnsi="Times New Roman"/>
          <w:color w:val="auto"/>
          <w:szCs w:val="21"/>
          <w:highlight w:val="none"/>
        </w:rPr>
        <w:t>（签字）</w:t>
      </w:r>
    </w:p>
    <w:p>
      <w:pPr>
        <w:spacing w:line="600" w:lineRule="exact"/>
        <w:ind w:firstLine="4867" w:firstLineChars="2028"/>
        <w:rPr>
          <w:rFonts w:ascii="Times New Roman" w:hAnsi="Times New Roman"/>
          <w:color w:val="auto"/>
          <w:szCs w:val="21"/>
          <w:highlight w:val="none"/>
        </w:rPr>
      </w:pPr>
      <w:r>
        <w:rPr>
          <w:rFonts w:ascii="Times New Roman" w:hAnsi="Times New Roman"/>
          <w:color w:val="auto"/>
          <w:szCs w:val="21"/>
          <w:highlight w:val="none"/>
        </w:rPr>
        <w:tab/>
      </w:r>
      <w:r>
        <w:rPr>
          <w:rFonts w:ascii="Times New Roman" w:hAnsi="Times New Roman"/>
          <w:color w:val="auto"/>
          <w:highlight w:val="none"/>
          <w:u w:val="single"/>
        </w:rPr>
        <w:t xml:space="preserve">       </w:t>
      </w:r>
      <w:r>
        <w:rPr>
          <w:rFonts w:ascii="Times New Roman" w:hAnsi="Times New Roman"/>
          <w:color w:val="auto"/>
          <w:highlight w:val="none"/>
        </w:rPr>
        <w:t>年</w:t>
      </w:r>
      <w:r>
        <w:rPr>
          <w:rFonts w:ascii="Times New Roman" w:hAnsi="Times New Roman"/>
          <w:color w:val="auto"/>
          <w:highlight w:val="none"/>
          <w:u w:val="single"/>
        </w:rPr>
        <w:t xml:space="preserve">       </w:t>
      </w:r>
      <w:r>
        <w:rPr>
          <w:rFonts w:ascii="Times New Roman" w:hAnsi="Times New Roman"/>
          <w:color w:val="auto"/>
          <w:highlight w:val="none"/>
        </w:rPr>
        <w:t>月</w:t>
      </w:r>
      <w:r>
        <w:rPr>
          <w:rFonts w:ascii="Times New Roman" w:hAnsi="Times New Roman"/>
          <w:color w:val="auto"/>
          <w:highlight w:val="none"/>
          <w:u w:val="single"/>
        </w:rPr>
        <w:t xml:space="preserve">       </w:t>
      </w:r>
      <w:r>
        <w:rPr>
          <w:rFonts w:ascii="Times New Roman" w:hAnsi="Times New Roman"/>
          <w:color w:val="auto"/>
          <w:highlight w:val="none"/>
        </w:rPr>
        <w:t>日</w:t>
      </w:r>
    </w:p>
    <w:p>
      <w:pPr>
        <w:tabs>
          <w:tab w:val="left" w:pos="4395"/>
        </w:tabs>
        <w:spacing w:line="440" w:lineRule="exact"/>
        <w:rPr>
          <w:rFonts w:ascii="Times New Roman" w:hAnsi="Times New Roman"/>
          <w:color w:val="auto"/>
          <w:szCs w:val="21"/>
          <w:highlight w:val="none"/>
        </w:rPr>
      </w:pPr>
    </w:p>
    <w:p>
      <w:pPr>
        <w:tabs>
          <w:tab w:val="left" w:pos="4395"/>
        </w:tabs>
        <w:spacing w:line="440" w:lineRule="exact"/>
        <w:rPr>
          <w:rFonts w:ascii="Times New Roman" w:hAnsi="Times New Roman"/>
          <w:color w:val="auto"/>
          <w:szCs w:val="21"/>
          <w:highlight w:val="none"/>
        </w:rPr>
      </w:pPr>
    </w:p>
    <w:p>
      <w:pPr>
        <w:tabs>
          <w:tab w:val="left" w:pos="4395"/>
        </w:tabs>
        <w:spacing w:line="440" w:lineRule="exact"/>
        <w:ind w:firstLine="1920" w:firstLineChars="800"/>
        <w:rPr>
          <w:rFonts w:ascii="Times New Roman" w:hAnsi="Times New Roman"/>
          <w:color w:val="auto"/>
          <w:szCs w:val="21"/>
          <w:highlight w:val="none"/>
        </w:rPr>
      </w:pPr>
      <w:r>
        <w:rPr>
          <w:rFonts w:ascii="Times New Roman" w:hAnsi="Times New Roman"/>
          <w:color w:val="auto"/>
          <w:szCs w:val="21"/>
          <w:highlight w:val="none"/>
        </w:rPr>
        <w:t>卖方：</w:t>
      </w:r>
      <w:r>
        <w:rPr>
          <w:rFonts w:ascii="Times New Roman" w:hAnsi="Times New Roman"/>
          <w:color w:val="auto"/>
          <w:highlight w:val="none"/>
          <w:u w:val="single"/>
        </w:rPr>
        <w:t xml:space="preserve">                   </w:t>
      </w:r>
      <w:r>
        <w:rPr>
          <w:rFonts w:hint="default" w:ascii="Times New Roman" w:hAnsi="Times New Roman" w:cs="Times New Roman"/>
          <w:color w:val="auto"/>
          <w:highlight w:val="none"/>
          <w:u w:val="single"/>
          <w:lang w:val="en-US" w:eastAsia="zh-CN"/>
        </w:rPr>
        <w:t xml:space="preserve">         </w:t>
      </w:r>
      <w:r>
        <w:rPr>
          <w:rFonts w:ascii="Times New Roman" w:hAnsi="Times New Roman"/>
          <w:color w:val="auto"/>
          <w:highlight w:val="none"/>
          <w:u w:val="single"/>
        </w:rPr>
        <w:t xml:space="preserve">        </w:t>
      </w:r>
      <w:r>
        <w:rPr>
          <w:rFonts w:ascii="Times New Roman" w:hAnsi="Times New Roman"/>
          <w:color w:val="auto"/>
          <w:szCs w:val="21"/>
          <w:highlight w:val="none"/>
        </w:rPr>
        <w:t>（盖单位章）</w:t>
      </w:r>
    </w:p>
    <w:p>
      <w:pPr>
        <w:tabs>
          <w:tab w:val="left" w:pos="4395"/>
        </w:tabs>
        <w:spacing w:line="440" w:lineRule="exact"/>
        <w:ind w:firstLine="1920" w:firstLineChars="800"/>
        <w:rPr>
          <w:rFonts w:ascii="Times New Roman" w:hAnsi="Times New Roman"/>
          <w:color w:val="auto"/>
          <w:szCs w:val="21"/>
          <w:highlight w:val="none"/>
        </w:rPr>
      </w:pPr>
      <w:r>
        <w:rPr>
          <w:rFonts w:ascii="Times New Roman" w:hAnsi="Times New Roman"/>
          <w:color w:val="auto"/>
          <w:szCs w:val="21"/>
          <w:highlight w:val="none"/>
        </w:rPr>
        <w:t>法定代表人（单位负责人）或其委托代理人：</w:t>
      </w:r>
      <w:r>
        <w:rPr>
          <w:rFonts w:ascii="Times New Roman" w:hAnsi="Times New Roman"/>
          <w:color w:val="auto"/>
          <w:highlight w:val="none"/>
          <w:u w:val="single"/>
        </w:rPr>
        <w:t xml:space="preserve">          </w:t>
      </w:r>
      <w:r>
        <w:rPr>
          <w:rFonts w:ascii="Times New Roman" w:hAnsi="Times New Roman"/>
          <w:color w:val="auto"/>
          <w:szCs w:val="21"/>
          <w:highlight w:val="none"/>
        </w:rPr>
        <w:t>（签字）</w:t>
      </w:r>
    </w:p>
    <w:p>
      <w:pPr>
        <w:spacing w:line="600" w:lineRule="exact"/>
        <w:ind w:firstLine="4867" w:firstLineChars="2028"/>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hAnsi="Times New Roman"/>
          <w:color w:val="auto"/>
          <w:highlight w:val="none"/>
        </w:rPr>
        <w:t>年</w:t>
      </w:r>
      <w:r>
        <w:rPr>
          <w:rFonts w:ascii="Times New Roman" w:hAnsi="Times New Roman"/>
          <w:color w:val="auto"/>
          <w:highlight w:val="none"/>
          <w:u w:val="single"/>
        </w:rPr>
        <w:t xml:space="preserve">       </w:t>
      </w:r>
      <w:r>
        <w:rPr>
          <w:rFonts w:ascii="Times New Roman" w:hAnsi="Times New Roman"/>
          <w:color w:val="auto"/>
          <w:highlight w:val="none"/>
        </w:rPr>
        <w:t>月</w:t>
      </w:r>
      <w:r>
        <w:rPr>
          <w:rFonts w:ascii="Times New Roman" w:hAnsi="Times New Roman"/>
          <w:color w:val="auto"/>
          <w:highlight w:val="none"/>
          <w:u w:val="single"/>
        </w:rPr>
        <w:t xml:space="preserve">       </w:t>
      </w:r>
      <w:r>
        <w:rPr>
          <w:rFonts w:ascii="Times New Roman" w:hAnsi="Times New Roman"/>
          <w:color w:val="auto"/>
          <w:highlight w:val="none"/>
        </w:rPr>
        <w:t>日</w:t>
      </w:r>
    </w:p>
    <w:p>
      <w:pPr>
        <w:adjustRightInd w:val="0"/>
        <w:snapToGrid w:val="0"/>
        <w:rPr>
          <w:rFonts w:ascii="Times New Roman" w:hAnsi="Times New Roman"/>
          <w:color w:val="auto"/>
          <w:szCs w:val="21"/>
          <w:highlight w:val="none"/>
        </w:rPr>
      </w:pPr>
      <w:r>
        <w:rPr>
          <w:rFonts w:ascii="Times New Roman" w:hAnsi="Times New Roman"/>
          <w:color w:val="auto"/>
          <w:szCs w:val="21"/>
          <w:highlight w:val="none"/>
        </w:rPr>
        <w:br w:type="page"/>
      </w:r>
    </w:p>
    <w:p>
      <w:pPr>
        <w:pStyle w:val="4"/>
        <w:ind w:firstLine="137"/>
        <w:rPr>
          <w:rFonts w:ascii="Times New Roman" w:hAnsi="Times New Roman"/>
          <w:color w:val="auto"/>
          <w:highlight w:val="none"/>
        </w:rPr>
      </w:pPr>
      <w:bookmarkStart w:id="502" w:name="_Toc481"/>
      <w:bookmarkStart w:id="503" w:name="_Toc491883220"/>
      <w:r>
        <w:rPr>
          <w:rFonts w:ascii="Times New Roman" w:hAnsi="Times New Roman"/>
          <w:color w:val="auto"/>
          <w:highlight w:val="none"/>
        </w:rPr>
        <w:t>附件二：履约保证金格式</w:t>
      </w:r>
      <w:bookmarkEnd w:id="502"/>
      <w:bookmarkEnd w:id="503"/>
    </w:p>
    <w:p>
      <w:pPr>
        <w:spacing w:line="440" w:lineRule="exact"/>
        <w:rPr>
          <w:rFonts w:ascii="Times New Roman" w:hAnsi="Times New Roman"/>
          <w:color w:val="auto"/>
          <w:szCs w:val="21"/>
          <w:highlight w:val="none"/>
        </w:rPr>
      </w:pPr>
      <w:r>
        <w:rPr>
          <w:rFonts w:ascii="Times New Roman" w:hAnsi="Times New Roman"/>
          <w:color w:val="auto"/>
          <w:szCs w:val="21"/>
          <w:highlight w:val="none"/>
        </w:rPr>
        <w:t>如采用银行保函，格式如下。</w:t>
      </w:r>
    </w:p>
    <w:p>
      <w:pPr>
        <w:spacing w:line="440" w:lineRule="exact"/>
        <w:ind w:firstLine="0" w:firstLineChars="0"/>
        <w:jc w:val="center"/>
        <w:rPr>
          <w:rFonts w:ascii="Times New Roman" w:hAnsi="Times New Roman" w:eastAsia="黑体"/>
          <w:color w:val="auto"/>
          <w:sz w:val="28"/>
          <w:highlight w:val="none"/>
        </w:rPr>
      </w:pPr>
      <w:r>
        <w:rPr>
          <w:rFonts w:ascii="Times New Roman" w:hAnsi="Times New Roman" w:eastAsia="黑体"/>
          <w:color w:val="auto"/>
          <w:sz w:val="28"/>
          <w:highlight w:val="none"/>
        </w:rPr>
        <w:t>履约保证金</w:t>
      </w:r>
    </w:p>
    <w:p>
      <w:pPr>
        <w:spacing w:line="440" w:lineRule="exact"/>
        <w:rPr>
          <w:rFonts w:ascii="Times New Roman" w:hAnsi="Times New Roman"/>
          <w:color w:val="auto"/>
          <w:highlight w:val="none"/>
          <w:u w:val="single"/>
        </w:rPr>
      </w:pPr>
    </w:p>
    <w:p>
      <w:pPr>
        <w:spacing w:line="440" w:lineRule="exact"/>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hAnsi="Times New Roman"/>
          <w:color w:val="auto"/>
          <w:highlight w:val="none"/>
        </w:rPr>
        <w:t>（买方名称）：</w:t>
      </w:r>
    </w:p>
    <w:p>
      <w:pPr>
        <w:spacing w:line="440" w:lineRule="exact"/>
        <w:rPr>
          <w:rFonts w:ascii="Times New Roman" w:hAnsi="Times New Roman"/>
          <w:color w:val="auto"/>
          <w:szCs w:val="21"/>
          <w:highlight w:val="none"/>
        </w:rPr>
      </w:pP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鉴于（买方名称，以下简称</w:t>
      </w:r>
      <w:r>
        <w:rPr>
          <w:rFonts w:hint="eastAsia" w:ascii="宋体" w:hAnsi="宋体" w:eastAsia="宋体" w:cs="宋体"/>
          <w:color w:val="auto"/>
          <w:highlight w:val="none"/>
        </w:rPr>
        <w:t>“</w:t>
      </w:r>
      <w:r>
        <w:rPr>
          <w:rFonts w:ascii="Times New Roman" w:hAnsi="Times New Roman"/>
          <w:color w:val="auto"/>
          <w:highlight w:val="none"/>
        </w:rPr>
        <w:t>买方</w:t>
      </w:r>
      <w:r>
        <w:rPr>
          <w:rFonts w:hint="eastAsia" w:ascii="宋体" w:hAnsi="宋体" w:eastAsia="宋体" w:cs="宋体"/>
          <w:color w:val="auto"/>
          <w:highlight w:val="none"/>
        </w:rPr>
        <w:t>”</w:t>
      </w:r>
      <w:r>
        <w:rPr>
          <w:rFonts w:ascii="Times New Roman" w:hAnsi="Times New Roman"/>
          <w:color w:val="auto"/>
          <w:highlight w:val="none"/>
        </w:rPr>
        <w:t>）接受（</w:t>
      </w:r>
      <w:r>
        <w:rPr>
          <w:rFonts w:ascii="Times New Roman" w:hAnsi="Times New Roman"/>
          <w:color w:val="auto"/>
          <w:szCs w:val="21"/>
          <w:highlight w:val="none"/>
        </w:rPr>
        <w:t>卖方</w:t>
      </w:r>
      <w:r>
        <w:rPr>
          <w:rFonts w:ascii="Times New Roman" w:hAnsi="Times New Roman"/>
          <w:color w:val="auto"/>
          <w:highlight w:val="none"/>
        </w:rPr>
        <w:t>名称，以下</w:t>
      </w:r>
      <w:r>
        <w:rPr>
          <w:rFonts w:ascii="Times New Roman" w:hAnsi="Times New Roman"/>
          <w:color w:val="auto"/>
          <w:szCs w:val="21"/>
          <w:highlight w:val="none"/>
        </w:rPr>
        <w:t>称</w:t>
      </w:r>
      <w:r>
        <w:rPr>
          <w:rFonts w:hint="eastAsia" w:ascii="宋体" w:hAnsi="宋体" w:eastAsia="宋体" w:cs="宋体"/>
          <w:color w:val="auto"/>
          <w:szCs w:val="21"/>
          <w:highlight w:val="none"/>
        </w:rPr>
        <w:t>“</w:t>
      </w:r>
      <w:r>
        <w:rPr>
          <w:rFonts w:ascii="Times New Roman" w:hAnsi="Times New Roman"/>
          <w:color w:val="auto"/>
          <w:szCs w:val="21"/>
          <w:highlight w:val="none"/>
        </w:rPr>
        <w:t>卖方</w:t>
      </w:r>
      <w:r>
        <w:rPr>
          <w:rFonts w:hint="eastAsia" w:ascii="宋体" w:hAnsi="宋体" w:eastAsia="宋体" w:cs="宋体"/>
          <w:color w:val="auto"/>
          <w:szCs w:val="21"/>
          <w:highlight w:val="none"/>
        </w:rPr>
        <w:t>”</w:t>
      </w:r>
      <w:r>
        <w:rPr>
          <w:rFonts w:ascii="Times New Roman" w:hAnsi="Times New Roman"/>
          <w:color w:val="auto"/>
          <w:highlight w:val="none"/>
        </w:rPr>
        <w:t>）于</w:t>
      </w:r>
      <w:r>
        <w:rPr>
          <w:rFonts w:ascii="Times New Roman" w:hAnsi="Times New Roman"/>
          <w:color w:val="auto"/>
          <w:highlight w:val="none"/>
          <w:u w:val="single"/>
        </w:rPr>
        <w:t xml:space="preserve">       </w:t>
      </w:r>
      <w:r>
        <w:rPr>
          <w:rFonts w:ascii="Times New Roman" w:hAnsi="Times New Roman"/>
          <w:color w:val="auto"/>
          <w:highlight w:val="none"/>
        </w:rPr>
        <w:t>年</w:t>
      </w:r>
      <w:r>
        <w:rPr>
          <w:rFonts w:ascii="Times New Roman" w:hAnsi="Times New Roman"/>
          <w:color w:val="auto"/>
          <w:highlight w:val="none"/>
          <w:u w:val="single"/>
        </w:rPr>
        <w:t xml:space="preserve">       </w:t>
      </w:r>
      <w:r>
        <w:rPr>
          <w:rFonts w:ascii="Times New Roman" w:hAnsi="Times New Roman"/>
          <w:color w:val="auto"/>
          <w:highlight w:val="none"/>
        </w:rPr>
        <w:t>月</w:t>
      </w:r>
    </w:p>
    <w:p>
      <w:pPr>
        <w:spacing w:line="440" w:lineRule="exact"/>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hAnsi="Times New Roman"/>
          <w:color w:val="auto"/>
          <w:highlight w:val="none"/>
        </w:rPr>
        <w:t>日参加</w:t>
      </w:r>
      <w:r>
        <w:rPr>
          <w:rFonts w:ascii="Times New Roman" w:hAnsi="Times New Roman"/>
          <w:color w:val="auto"/>
          <w:highlight w:val="none"/>
          <w:u w:val="single"/>
        </w:rPr>
        <w:t xml:space="preserve">                     </w:t>
      </w:r>
      <w:r>
        <w:rPr>
          <w:rFonts w:hint="default" w:ascii="Times New Roman" w:hAnsi="Times New Roman"/>
          <w:color w:val="auto"/>
          <w:highlight w:val="none"/>
        </w:rPr>
        <w:t>（项目名称）</w:t>
      </w:r>
      <w:r>
        <w:rPr>
          <w:rFonts w:ascii="Times New Roman" w:hAnsi="Times New Roman"/>
          <w:color w:val="auto"/>
          <w:highlight w:val="none"/>
        </w:rPr>
        <w:t>设备采购招标项目的投标。我方愿意无条件地、不可撤销地就</w:t>
      </w:r>
      <w:r>
        <w:rPr>
          <w:rFonts w:ascii="Times New Roman" w:hAnsi="Times New Roman"/>
          <w:color w:val="auto"/>
          <w:szCs w:val="21"/>
          <w:highlight w:val="none"/>
        </w:rPr>
        <w:t>卖方</w:t>
      </w:r>
      <w:r>
        <w:rPr>
          <w:rFonts w:ascii="Times New Roman" w:hAnsi="Times New Roman"/>
          <w:color w:val="auto"/>
          <w:highlight w:val="none"/>
        </w:rPr>
        <w:t>履行与你方订立的合同，向你方提供担保。</w:t>
      </w: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1. 担保金额人民币（大写）</w:t>
      </w:r>
      <w:r>
        <w:rPr>
          <w:rFonts w:ascii="Times New Roman" w:hAnsi="Times New Roman"/>
          <w:color w:val="auto"/>
          <w:highlight w:val="none"/>
          <w:u w:val="single"/>
        </w:rPr>
        <w:t xml:space="preserve">              </w:t>
      </w:r>
      <w:r>
        <w:rPr>
          <w:rFonts w:ascii="Times New Roman" w:hAnsi="Times New Roman"/>
          <w:color w:val="auto"/>
          <w:highlight w:val="none"/>
        </w:rPr>
        <w:t>（¥）</w:t>
      </w:r>
      <w:r>
        <w:rPr>
          <w:rFonts w:ascii="Times New Roman" w:hAnsi="Times New Roman"/>
          <w:color w:val="auto"/>
          <w:highlight w:val="none"/>
          <w:u w:val="single"/>
        </w:rPr>
        <w:t xml:space="preserve">              </w:t>
      </w:r>
      <w:r>
        <w:rPr>
          <w:rFonts w:ascii="Times New Roman" w:hAnsi="Times New Roman"/>
          <w:color w:val="auto"/>
          <w:highlight w:val="none"/>
        </w:rPr>
        <w:t>。</w:t>
      </w: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2. 担保</w:t>
      </w:r>
      <w:r>
        <w:rPr>
          <w:rFonts w:ascii="Times New Roman" w:hAnsi="Times New Roman"/>
          <w:color w:val="auto"/>
          <w:szCs w:val="21"/>
          <w:highlight w:val="none"/>
        </w:rPr>
        <w:t>有效期</w:t>
      </w:r>
      <w:r>
        <w:rPr>
          <w:rFonts w:ascii="Times New Roman" w:hAnsi="Times New Roman"/>
          <w:color w:val="auto"/>
          <w:highlight w:val="none"/>
        </w:rPr>
        <w:t>自买方与</w:t>
      </w:r>
      <w:r>
        <w:rPr>
          <w:rFonts w:ascii="Times New Roman" w:hAnsi="Times New Roman"/>
          <w:color w:val="auto"/>
          <w:szCs w:val="21"/>
          <w:highlight w:val="none"/>
        </w:rPr>
        <w:t>卖方</w:t>
      </w:r>
      <w:r>
        <w:rPr>
          <w:rFonts w:ascii="Times New Roman" w:hAnsi="Times New Roman"/>
          <w:color w:val="auto"/>
          <w:highlight w:val="none"/>
        </w:rPr>
        <w:t>签订的合同生效之日起至合同设备验收证书或验收款支付函签署之日起28日后失效。</w:t>
      </w: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3. 在本担保有效期内，</w:t>
      </w:r>
      <w:r>
        <w:rPr>
          <w:rFonts w:ascii="Times New Roman" w:hAnsi="Times New Roman"/>
          <w:color w:val="auto"/>
          <w:szCs w:val="21"/>
          <w:highlight w:val="none"/>
        </w:rPr>
        <w:t>如果卖方不履行合同约定的义务或其履行不符合合同的约定，</w:t>
      </w:r>
      <w:r>
        <w:rPr>
          <w:rFonts w:ascii="Times New Roman" w:hAnsi="Times New Roman"/>
          <w:color w:val="auto"/>
          <w:highlight w:val="none"/>
        </w:rPr>
        <w:t>我方在收到你方以书面形式提出的在担保金额内的赔偿要求后，在7日内无条件支付。</w:t>
      </w: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4. 买方和</w:t>
      </w:r>
      <w:r>
        <w:rPr>
          <w:rFonts w:ascii="Times New Roman" w:hAnsi="Times New Roman"/>
          <w:color w:val="auto"/>
          <w:szCs w:val="21"/>
          <w:highlight w:val="none"/>
        </w:rPr>
        <w:t>卖方</w:t>
      </w:r>
      <w:r>
        <w:rPr>
          <w:rFonts w:ascii="Times New Roman" w:hAnsi="Times New Roman"/>
          <w:color w:val="auto"/>
          <w:highlight w:val="none"/>
        </w:rPr>
        <w:t>变更合同时，无论我方是否收到该变更，我方承担本担保规定的义务不变。</w:t>
      </w:r>
    </w:p>
    <w:p>
      <w:pPr>
        <w:spacing w:line="440" w:lineRule="exact"/>
        <w:rPr>
          <w:rFonts w:ascii="Times New Roman" w:hAnsi="Times New Roman"/>
          <w:color w:val="auto"/>
          <w:highlight w:val="none"/>
        </w:rPr>
      </w:pPr>
    </w:p>
    <w:p>
      <w:pPr>
        <w:spacing w:line="600" w:lineRule="exact"/>
        <w:ind w:firstLine="1440" w:firstLineChars="600"/>
        <w:rPr>
          <w:rFonts w:ascii="Times New Roman" w:hAnsi="Times New Roman"/>
          <w:color w:val="auto"/>
          <w:highlight w:val="none"/>
        </w:rPr>
      </w:pPr>
      <w:r>
        <w:rPr>
          <w:rFonts w:hint="default" w:ascii="Times New Roman" w:hAnsi="Times New Roman"/>
          <w:color w:val="auto"/>
          <w:highlight w:val="none"/>
        </w:rPr>
        <w:t>担保人名称</w:t>
      </w:r>
      <w:r>
        <w:rPr>
          <w:rFonts w:ascii="Times New Roman" w:hAnsi="Times New Roman"/>
          <w:color w:val="auto"/>
          <w:highlight w:val="none"/>
        </w:rPr>
        <w:t xml:space="preserve"> ：</w:t>
      </w:r>
      <w:r>
        <w:rPr>
          <w:rFonts w:ascii="Times New Roman" w:hAnsi="Times New Roman"/>
          <w:color w:val="auto"/>
          <w:highlight w:val="none"/>
          <w:u w:val="single"/>
        </w:rPr>
        <w:t xml:space="preserve">                                      </w:t>
      </w:r>
      <w:r>
        <w:rPr>
          <w:rFonts w:ascii="Times New Roman" w:hAnsi="Times New Roman"/>
          <w:color w:val="auto"/>
          <w:highlight w:val="none"/>
        </w:rPr>
        <w:t>（盖单位章）</w:t>
      </w:r>
    </w:p>
    <w:p>
      <w:pPr>
        <w:spacing w:line="600" w:lineRule="exact"/>
        <w:ind w:firstLine="1440" w:firstLineChars="600"/>
        <w:rPr>
          <w:rFonts w:ascii="Times New Roman" w:hAnsi="Times New Roman"/>
          <w:color w:val="auto"/>
          <w:highlight w:val="none"/>
        </w:rPr>
      </w:pPr>
      <w:r>
        <w:rPr>
          <w:rFonts w:ascii="Times New Roman" w:hAnsi="Times New Roman"/>
          <w:color w:val="auto"/>
          <w:highlight w:val="none"/>
        </w:rPr>
        <w:t>法定代表人（单位负责人）或其委托代理人：</w:t>
      </w:r>
      <w:r>
        <w:rPr>
          <w:rFonts w:ascii="Times New Roman" w:hAnsi="Times New Roman"/>
          <w:color w:val="auto"/>
          <w:highlight w:val="none"/>
          <w:u w:val="single"/>
        </w:rPr>
        <w:t xml:space="preserve">              </w:t>
      </w:r>
      <w:r>
        <w:rPr>
          <w:rFonts w:ascii="Times New Roman" w:hAnsi="Times New Roman"/>
          <w:color w:val="auto"/>
          <w:highlight w:val="none"/>
        </w:rPr>
        <w:t>（签字）</w:t>
      </w:r>
    </w:p>
    <w:p>
      <w:pPr>
        <w:spacing w:line="600" w:lineRule="exact"/>
        <w:ind w:firstLine="2640" w:firstLineChars="1100"/>
        <w:rPr>
          <w:rFonts w:ascii="Times New Roman" w:hAnsi="Times New Roman"/>
          <w:color w:val="auto"/>
          <w:highlight w:val="none"/>
        </w:rPr>
      </w:pPr>
      <w:r>
        <w:rPr>
          <w:rFonts w:ascii="Times New Roman" w:hAnsi="Times New Roman"/>
          <w:color w:val="auto"/>
          <w:highlight w:val="none"/>
        </w:rPr>
        <w:t>地    址：</w:t>
      </w:r>
      <w:r>
        <w:rPr>
          <w:rFonts w:ascii="Times New Roman" w:hAnsi="Times New Roman"/>
          <w:color w:val="auto"/>
          <w:highlight w:val="none"/>
          <w:u w:val="single"/>
        </w:rPr>
        <w:t xml:space="preserve">                                                  </w:t>
      </w:r>
    </w:p>
    <w:p>
      <w:pPr>
        <w:spacing w:line="600" w:lineRule="exact"/>
        <w:ind w:firstLine="2640" w:firstLineChars="1100"/>
        <w:rPr>
          <w:rFonts w:ascii="Times New Roman" w:hAnsi="Times New Roman"/>
          <w:color w:val="auto"/>
          <w:highlight w:val="none"/>
        </w:rPr>
      </w:pPr>
      <w:r>
        <w:rPr>
          <w:rFonts w:ascii="Times New Roman" w:hAnsi="Times New Roman"/>
          <w:color w:val="auto"/>
          <w:highlight w:val="none"/>
        </w:rPr>
        <w:t>邮政编码：</w:t>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 xml:space="preserve">              </w:t>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 xml:space="preserve">          </w:t>
      </w:r>
    </w:p>
    <w:p>
      <w:pPr>
        <w:spacing w:line="600" w:lineRule="exact"/>
        <w:ind w:firstLine="2640" w:firstLineChars="1100"/>
        <w:rPr>
          <w:rFonts w:ascii="Times New Roman" w:hAnsi="Times New Roman"/>
          <w:color w:val="auto"/>
          <w:highlight w:val="none"/>
        </w:rPr>
      </w:pPr>
      <w:r>
        <w:rPr>
          <w:rFonts w:ascii="Times New Roman" w:hAnsi="Times New Roman"/>
          <w:color w:val="auto"/>
          <w:highlight w:val="none"/>
        </w:rPr>
        <w:t>电    话：</w:t>
      </w:r>
      <w:r>
        <w:rPr>
          <w:rFonts w:ascii="Times New Roman" w:hAnsi="Times New Roman"/>
          <w:color w:val="auto"/>
          <w:highlight w:val="none"/>
          <w:u w:val="single"/>
        </w:rPr>
        <w:t xml:space="preserve">                                                  </w:t>
      </w:r>
    </w:p>
    <w:p>
      <w:pPr>
        <w:topLinePunct w:val="0"/>
        <w:spacing w:line="600" w:lineRule="exact"/>
        <w:ind w:right="0" w:rightChars="0" w:firstLine="2640" w:firstLineChars="1100"/>
        <w:jc w:val="left"/>
        <w:rPr>
          <w:rFonts w:hint="default" w:ascii="Times New Roman" w:hAnsi="Times New Roman" w:eastAsia="宋体" w:cs="Times New Roman"/>
          <w:color w:val="auto"/>
          <w:sz w:val="21"/>
          <w:szCs w:val="22"/>
          <w:highlight w:val="none"/>
        </w:rPr>
      </w:pPr>
      <w:r>
        <w:rPr>
          <w:rFonts w:ascii="Times New Roman" w:hAnsi="Times New Roman"/>
          <w:color w:val="auto"/>
          <w:highlight w:val="none"/>
          <w:u w:val="none"/>
        </w:rPr>
        <w:t xml:space="preserve">       </w:t>
      </w:r>
      <w:r>
        <w:rPr>
          <w:rFonts w:ascii="Times New Roman" w:hAnsi="Times New Roman"/>
          <w:color w:val="auto"/>
          <w:highlight w:val="none"/>
        </w:rPr>
        <w:t>年</w:t>
      </w:r>
      <w:r>
        <w:rPr>
          <w:rFonts w:ascii="Times New Roman" w:hAnsi="Times New Roman"/>
          <w:color w:val="auto"/>
          <w:highlight w:val="none"/>
          <w:u w:val="none"/>
        </w:rPr>
        <w:t xml:space="preserve">       </w:t>
      </w:r>
      <w:r>
        <w:rPr>
          <w:rFonts w:ascii="Times New Roman" w:hAnsi="Times New Roman"/>
          <w:color w:val="auto"/>
          <w:highlight w:val="none"/>
        </w:rPr>
        <w:t>月</w:t>
      </w:r>
      <w:r>
        <w:rPr>
          <w:rFonts w:ascii="Times New Roman" w:hAnsi="Times New Roman"/>
          <w:color w:val="auto"/>
          <w:highlight w:val="none"/>
          <w:u w:val="none"/>
        </w:rPr>
        <w:t xml:space="preserve">       </w:t>
      </w:r>
      <w:r>
        <w:rPr>
          <w:rFonts w:ascii="Times New Roman" w:hAnsi="Times New Roman"/>
          <w:color w:val="auto"/>
          <w:highlight w:val="none"/>
        </w:rPr>
        <w:t>日</w:t>
      </w:r>
      <w:bookmarkStart w:id="504" w:name="_Toc179632787"/>
      <w:bookmarkStart w:id="505" w:name="_Toc247085853"/>
      <w:bookmarkStart w:id="506" w:name="_Toc246997081"/>
      <w:bookmarkStart w:id="507" w:name="_Toc246996338"/>
      <w:bookmarkStart w:id="508" w:name="_Toc247527798"/>
      <w:bookmarkStart w:id="509" w:name="_Toc144974578"/>
      <w:bookmarkStart w:id="510" w:name="_Toc152042549"/>
      <w:bookmarkStart w:id="511" w:name="_Toc300835199"/>
      <w:bookmarkStart w:id="512" w:name="_Toc144974829"/>
      <w:bookmarkStart w:id="513" w:name="_Toc152042388"/>
      <w:bookmarkStart w:id="514" w:name="_Toc184635122"/>
      <w:bookmarkStart w:id="515" w:name="_Toc247514197"/>
      <w:bookmarkStart w:id="516" w:name="_Toc152045610"/>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pageBreakBefore w:val="0"/>
        <w:kinsoku/>
        <w:wordWrap w:val="0"/>
        <w:bidi w:val="0"/>
        <w:spacing w:before="0" w:after="120" w:afterLines="50" w:line="240" w:lineRule="atLeast"/>
        <w:jc w:val="both"/>
        <w:outlineLvl w:val="9"/>
        <w:rPr>
          <w:rFonts w:hint="default" w:ascii="Times New Roman" w:hAnsi="Times New Roman" w:eastAsia="黑体" w:cs="Times New Roman"/>
          <w:b w:val="0"/>
          <w:color w:val="auto"/>
          <w:sz w:val="42"/>
          <w:szCs w:val="42"/>
          <w:highlight w:val="none"/>
        </w:rPr>
      </w:pPr>
    </w:p>
    <w:p>
      <w:pPr>
        <w:rPr>
          <w:rFonts w:ascii="Times New Roman" w:hAnsi="Times New Roman"/>
          <w:color w:val="auto"/>
          <w:highlight w:val="none"/>
        </w:rPr>
      </w:pPr>
    </w:p>
    <w:p>
      <w:pPr>
        <w:rPr>
          <w:rFonts w:ascii="Times New Roman" w:hAnsi="Times New Roman"/>
          <w:color w:val="auto"/>
          <w:highlight w:val="none"/>
        </w:rPr>
      </w:pPr>
    </w:p>
    <w:p>
      <w:pPr>
        <w:rPr>
          <w:rFonts w:ascii="Times New Roman" w:hAnsi="Times New Roman"/>
          <w:color w:val="auto"/>
          <w:highlight w:val="none"/>
        </w:rPr>
      </w:pPr>
    </w:p>
    <w:p>
      <w:pPr>
        <w:topLinePunct/>
        <w:spacing w:line="440" w:lineRule="exact"/>
        <w:ind w:right="36" w:rightChars="15"/>
        <w:jc w:val="both"/>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pStyle w:val="10"/>
        <w:rPr>
          <w:rFonts w:hint="default" w:ascii="Times New Roman" w:hAnsi="Times New Roman" w:eastAsia="黑体" w:cs="Times New Roman"/>
          <w:color w:val="auto"/>
          <w:sz w:val="29"/>
          <w:szCs w:val="29"/>
          <w:highlight w:val="none"/>
        </w:rPr>
      </w:pPr>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topLinePunct/>
        <w:spacing w:line="240" w:lineRule="atLeast"/>
        <w:ind w:right="36" w:rightChars="15" w:firstLine="0" w:firstLineChars="0"/>
        <w:jc w:val="center"/>
        <w:outlineLvl w:val="0"/>
        <w:rPr>
          <w:rFonts w:hint="default" w:ascii="Times New Roman" w:hAnsi="Times New Roman" w:eastAsia="黑体" w:cs="Times New Roman"/>
          <w:color w:val="auto"/>
          <w:sz w:val="56"/>
          <w:szCs w:val="56"/>
          <w:highlight w:val="none"/>
        </w:rPr>
      </w:pPr>
      <w:bookmarkStart w:id="517" w:name="_Toc25139"/>
      <w:r>
        <w:rPr>
          <w:rFonts w:hint="default" w:ascii="Times New Roman" w:hAnsi="Times New Roman" w:eastAsia="黑体" w:cs="Times New Roman"/>
          <w:color w:val="auto"/>
          <w:sz w:val="56"/>
          <w:szCs w:val="56"/>
          <w:highlight w:val="none"/>
        </w:rPr>
        <w:t>第</w:t>
      </w:r>
      <w:r>
        <w:rPr>
          <w:rFonts w:hint="default" w:ascii="Times New Roman" w:hAnsi="Times New Roman" w:eastAsia="黑体" w:cs="Times New Roman"/>
          <w:color w:val="auto"/>
          <w:sz w:val="56"/>
          <w:szCs w:val="56"/>
          <w:highlight w:val="none"/>
          <w:lang w:val="en-US" w:eastAsia="zh-CN"/>
        </w:rPr>
        <w:t>四</w:t>
      </w:r>
      <w:r>
        <w:rPr>
          <w:rFonts w:hint="default" w:ascii="Times New Roman" w:hAnsi="Times New Roman" w:eastAsia="黑体" w:cs="Times New Roman"/>
          <w:color w:val="auto"/>
          <w:sz w:val="56"/>
          <w:szCs w:val="56"/>
          <w:highlight w:val="none"/>
        </w:rPr>
        <w:t>章  合同条款及格式</w:t>
      </w:r>
      <w:r>
        <w:rPr>
          <w:rStyle w:val="37"/>
          <w:rFonts w:hint="default" w:ascii="Times New Roman" w:hAnsi="Times New Roman" w:eastAsia="黑体" w:cs="Times New Roman"/>
          <w:color w:val="auto"/>
          <w:sz w:val="56"/>
          <w:szCs w:val="56"/>
          <w:highlight w:val="none"/>
        </w:rPr>
        <w:footnoteReference w:id="23"/>
      </w:r>
      <w:bookmarkEnd w:id="517"/>
    </w:p>
    <w:p>
      <w:pPr>
        <w:topLinePunct w:val="0"/>
        <w:spacing w:line="240" w:lineRule="auto"/>
        <w:ind w:right="0" w:rightChars="0"/>
        <w:jc w:val="left"/>
        <w:rPr>
          <w:rFonts w:hint="default" w:ascii="Times New Roman" w:hAnsi="Times New Roman" w:eastAsia="黑体" w:cs="Times New Roman"/>
          <w:color w:val="auto"/>
          <w:sz w:val="56"/>
          <w:szCs w:val="56"/>
          <w:highlight w:val="none"/>
        </w:rPr>
      </w:pPr>
      <w:r>
        <w:rPr>
          <w:rFonts w:hint="default" w:ascii="Times New Roman" w:hAnsi="Times New Roman" w:eastAsia="黑体" w:cs="Times New Roman"/>
          <w:color w:val="auto"/>
          <w:sz w:val="56"/>
          <w:szCs w:val="56"/>
          <w:highlight w:val="none"/>
        </w:rPr>
        <w:br w:type="page"/>
      </w:r>
    </w:p>
    <w:p>
      <w:pPr>
        <w:pStyle w:val="3"/>
        <w:jc w:val="center"/>
        <w:rPr>
          <w:rFonts w:ascii="Times New Roman" w:hAnsi="Times New Roman"/>
          <w:color w:val="auto"/>
          <w:highlight w:val="none"/>
        </w:rPr>
      </w:pPr>
      <w:bookmarkStart w:id="518" w:name="_Toc492288471"/>
      <w:bookmarkStart w:id="519" w:name="_Toc8943"/>
      <w:r>
        <w:rPr>
          <w:rFonts w:ascii="Times New Roman" w:hAnsi="Times New Roman"/>
          <w:color w:val="auto"/>
          <w:highlight w:val="none"/>
        </w:rPr>
        <w:t>第一节</w:t>
      </w:r>
      <w:r>
        <w:rPr>
          <w:rFonts w:hint="eastAsia" w:ascii="Times New Roman" w:hAnsi="Times New Roman"/>
          <w:color w:val="auto"/>
          <w:highlight w:val="none"/>
          <w:lang w:val="en-US" w:eastAsia="zh-CN"/>
        </w:rPr>
        <w:t xml:space="preserve"> </w:t>
      </w:r>
      <w:r>
        <w:rPr>
          <w:rFonts w:ascii="Times New Roman" w:hAnsi="Times New Roman"/>
          <w:color w:val="auto"/>
          <w:highlight w:val="none"/>
        </w:rPr>
        <w:t>通用合同条款</w:t>
      </w:r>
      <w:bookmarkEnd w:id="518"/>
      <w:bookmarkEnd w:id="519"/>
    </w:p>
    <w:p>
      <w:pPr>
        <w:pStyle w:val="3"/>
        <w:ind w:firstLine="105"/>
        <w:rPr>
          <w:rFonts w:ascii="Times New Roman" w:hAnsi="Times New Roman"/>
          <w:bCs/>
          <w:color w:val="auto"/>
          <w:szCs w:val="32"/>
          <w:highlight w:val="none"/>
        </w:rPr>
      </w:pPr>
      <w:bookmarkStart w:id="520" w:name="_Toc7635"/>
      <w:bookmarkStart w:id="521" w:name="_Toc492288472"/>
      <w:r>
        <w:rPr>
          <w:rFonts w:ascii="Times New Roman" w:hAnsi="Times New Roman"/>
          <w:bCs/>
          <w:color w:val="auto"/>
          <w:szCs w:val="32"/>
          <w:highlight w:val="none"/>
        </w:rPr>
        <w:t>1. 一般约定</w:t>
      </w:r>
      <w:bookmarkEnd w:id="520"/>
      <w:bookmarkEnd w:id="521"/>
    </w:p>
    <w:p>
      <w:pPr>
        <w:keepNext/>
        <w:keepLines/>
        <w:spacing w:before="157" w:beforeLines="50" w:after="157" w:afterLines="50" w:line="240" w:lineRule="auto"/>
        <w:ind w:firstLine="137"/>
        <w:outlineLvl w:val="2"/>
        <w:rPr>
          <w:rFonts w:ascii="Times New Roman" w:hAnsi="Times New Roman"/>
          <w:color w:val="auto"/>
          <w:highlight w:val="none"/>
        </w:rPr>
      </w:pPr>
      <w:bookmarkStart w:id="522" w:name="_Toc492288473"/>
      <w:bookmarkStart w:id="523" w:name="_Toc3919"/>
      <w:r>
        <w:rPr>
          <w:rFonts w:ascii="Times New Roman" w:hAnsi="Times New Roman"/>
          <w:color w:val="auto"/>
          <w:highlight w:val="none"/>
        </w:rPr>
        <w:t xml:space="preserve">1.1 </w:t>
      </w:r>
      <w:r>
        <w:rPr>
          <w:rFonts w:hint="default" w:ascii="Times New Roman" w:hAnsi="Times New Roman"/>
          <w:color w:val="auto"/>
          <w:highlight w:val="none"/>
        </w:rPr>
        <w:t>词语定义</w:t>
      </w:r>
      <w:bookmarkEnd w:id="522"/>
      <w:bookmarkEnd w:id="523"/>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除专用合同条款另有约定外，合同中的下列词语应具有本款所赋予的含义。</w:t>
      </w:r>
    </w:p>
    <w:p>
      <w:pPr>
        <w:spacing w:line="360" w:lineRule="auto"/>
        <w:ind w:firstLine="481" w:firstLineChars="200"/>
        <w:rPr>
          <w:rFonts w:ascii="Times New Roman" w:hAnsi="Times New Roman"/>
          <w:b/>
          <w:color w:val="auto"/>
          <w:highlight w:val="none"/>
        </w:rPr>
      </w:pPr>
      <w:r>
        <w:rPr>
          <w:rFonts w:ascii="Times New Roman" w:hAnsi="Times New Roman"/>
          <w:b/>
          <w:color w:val="auto"/>
          <w:highlight w:val="none"/>
        </w:rPr>
        <w:t xml:space="preserve">1.1.1 </w:t>
      </w:r>
      <w:r>
        <w:rPr>
          <w:rFonts w:hint="default" w:ascii="Times New Roman" w:hAnsi="Times New Roman"/>
          <w:b/>
          <w:color w:val="auto"/>
          <w:highlight w:val="none"/>
        </w:rPr>
        <w:t>合同</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1.1.1.1 </w:t>
      </w:r>
      <w:r>
        <w:rPr>
          <w:rFonts w:hint="default" w:ascii="Times New Roman" w:hAnsi="Times New Roman"/>
          <w:color w:val="auto"/>
          <w:highlight w:val="none"/>
        </w:rPr>
        <w:t>合同文件（或称合同）：指合同协议书、中标通知书、投标函、商务和技术偏差表、专用合同条款、通用合同条款、供货要求、分项报价表、</w:t>
      </w:r>
      <w:r>
        <w:rPr>
          <w:rFonts w:ascii="Times New Roman" w:hAnsi="Times New Roman"/>
          <w:color w:val="auto"/>
          <w:highlight w:val="none"/>
        </w:rPr>
        <w:t>中标材料质量标准的详细描述</w:t>
      </w:r>
      <w:r>
        <w:rPr>
          <w:rFonts w:hint="default" w:ascii="Times New Roman" w:hAnsi="Times New Roman"/>
          <w:color w:val="auto"/>
          <w:highlight w:val="none"/>
        </w:rPr>
        <w:t>、</w:t>
      </w:r>
      <w:r>
        <w:rPr>
          <w:rFonts w:ascii="Times New Roman" w:hAnsi="Times New Roman"/>
          <w:color w:val="auto"/>
          <w:highlight w:val="none"/>
        </w:rPr>
        <w:t>相关服务计划</w:t>
      </w:r>
      <w:r>
        <w:rPr>
          <w:rFonts w:hint="default" w:ascii="Times New Roman" w:hAnsi="Times New Roman"/>
          <w:color w:val="auto"/>
          <w:highlight w:val="none"/>
        </w:rPr>
        <w:t>，以及其他构成合同组成部分的文件。</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1.1.1.2 </w:t>
      </w:r>
      <w:r>
        <w:rPr>
          <w:rFonts w:hint="default" w:ascii="Times New Roman" w:hAnsi="Times New Roman"/>
          <w:color w:val="auto"/>
          <w:highlight w:val="none"/>
        </w:rPr>
        <w:t>合同协议书：指买方和卖方共同签署的合同协议书。</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1.1.1.3 </w:t>
      </w:r>
      <w:r>
        <w:rPr>
          <w:rFonts w:hint="default" w:ascii="Times New Roman" w:hAnsi="Times New Roman"/>
          <w:color w:val="auto"/>
          <w:highlight w:val="none"/>
        </w:rPr>
        <w:t>中标通知书：指买方通知卖方中标的函件。</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1.1.1.4 </w:t>
      </w:r>
      <w:r>
        <w:rPr>
          <w:rFonts w:hint="default" w:ascii="Times New Roman" w:hAnsi="Times New Roman"/>
          <w:color w:val="auto"/>
          <w:highlight w:val="none"/>
        </w:rPr>
        <w:t>投标函：指由卖方填写并签署的，名为</w:t>
      </w:r>
      <w:r>
        <w:rPr>
          <w:rFonts w:hint="eastAsia" w:ascii="宋体" w:hAnsi="宋体" w:eastAsia="宋体" w:cs="宋体"/>
          <w:color w:val="auto"/>
          <w:highlight w:val="none"/>
        </w:rPr>
        <w:t>“</w:t>
      </w:r>
      <w:r>
        <w:rPr>
          <w:rFonts w:hint="default" w:ascii="Times New Roman" w:hAnsi="Times New Roman"/>
          <w:color w:val="auto"/>
          <w:highlight w:val="none"/>
        </w:rPr>
        <w:t>投标函</w:t>
      </w:r>
      <w:r>
        <w:rPr>
          <w:rFonts w:hint="eastAsia" w:ascii="宋体" w:hAnsi="宋体" w:eastAsia="宋体" w:cs="宋体"/>
          <w:color w:val="auto"/>
          <w:highlight w:val="none"/>
        </w:rPr>
        <w:t>”</w:t>
      </w:r>
      <w:r>
        <w:rPr>
          <w:rFonts w:hint="default" w:ascii="Times New Roman" w:hAnsi="Times New Roman"/>
          <w:color w:val="auto"/>
          <w:highlight w:val="none"/>
        </w:rPr>
        <w:t>的函件。</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1.1.1.5 </w:t>
      </w:r>
      <w:r>
        <w:rPr>
          <w:rFonts w:hint="default" w:ascii="Times New Roman" w:hAnsi="Times New Roman"/>
          <w:color w:val="auto"/>
          <w:highlight w:val="none"/>
        </w:rPr>
        <w:t>商务和技术偏差表：指卖方投标文件中的商务和技术偏差表。</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1.1.1.6 </w:t>
      </w:r>
      <w:r>
        <w:rPr>
          <w:rFonts w:hint="default" w:ascii="Times New Roman" w:hAnsi="Times New Roman"/>
          <w:color w:val="auto"/>
          <w:highlight w:val="none"/>
        </w:rPr>
        <w:t>供货要求：指合同文件中名为</w:t>
      </w:r>
      <w:r>
        <w:rPr>
          <w:rFonts w:hint="eastAsia" w:ascii="宋体" w:hAnsi="宋体" w:eastAsia="宋体" w:cs="宋体"/>
          <w:color w:val="auto"/>
          <w:highlight w:val="none"/>
        </w:rPr>
        <w:t>“</w:t>
      </w:r>
      <w:r>
        <w:rPr>
          <w:rFonts w:hint="default" w:ascii="Times New Roman" w:hAnsi="Times New Roman"/>
          <w:color w:val="auto"/>
          <w:highlight w:val="none"/>
        </w:rPr>
        <w:t>供货要求</w:t>
      </w:r>
      <w:r>
        <w:rPr>
          <w:rFonts w:hint="eastAsia" w:ascii="宋体" w:hAnsi="宋体" w:eastAsia="宋体" w:cs="宋体"/>
          <w:color w:val="auto"/>
          <w:highlight w:val="none"/>
        </w:rPr>
        <w:t>”</w:t>
      </w:r>
      <w:r>
        <w:rPr>
          <w:rFonts w:hint="default" w:ascii="Times New Roman" w:hAnsi="Times New Roman"/>
          <w:color w:val="auto"/>
          <w:highlight w:val="none"/>
        </w:rPr>
        <w:t>的文件。</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1.1.1.7 </w:t>
      </w:r>
      <w:r>
        <w:rPr>
          <w:rFonts w:hint="default" w:ascii="Times New Roman" w:hAnsi="Times New Roman"/>
          <w:color w:val="auto"/>
          <w:highlight w:val="none"/>
        </w:rPr>
        <w:t>中标材料质量标准的详细描述：指卖方投标文件中的投标材料质量标准的详细描述。</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1.1.1.8 </w:t>
      </w:r>
      <w:r>
        <w:rPr>
          <w:rFonts w:hint="default" w:ascii="Times New Roman" w:hAnsi="Times New Roman"/>
          <w:color w:val="auto"/>
          <w:highlight w:val="none"/>
        </w:rPr>
        <w:t>相关服务计划：指卖方投标文件中的相关服务计划。</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1.1.1.9 </w:t>
      </w:r>
      <w:r>
        <w:rPr>
          <w:rFonts w:hint="default" w:ascii="Times New Roman" w:hAnsi="Times New Roman"/>
          <w:color w:val="auto"/>
          <w:highlight w:val="none"/>
        </w:rPr>
        <w:t>分项报价表：指卖方投标文件中的分项报价表。</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1.1.1.10 </w:t>
      </w:r>
      <w:r>
        <w:rPr>
          <w:rFonts w:hint="default" w:ascii="Times New Roman" w:hAnsi="Times New Roman"/>
          <w:color w:val="auto"/>
          <w:highlight w:val="none"/>
        </w:rPr>
        <w:t>其他合同文件：指经合同双方当事人确认构成合同文件的其他文件。</w:t>
      </w:r>
    </w:p>
    <w:p>
      <w:pPr>
        <w:spacing w:line="360" w:lineRule="auto"/>
        <w:ind w:firstLine="481" w:firstLineChars="200"/>
        <w:rPr>
          <w:rFonts w:ascii="Times New Roman" w:hAnsi="Times New Roman"/>
          <w:b/>
          <w:color w:val="auto"/>
          <w:highlight w:val="none"/>
        </w:rPr>
      </w:pPr>
      <w:r>
        <w:rPr>
          <w:rFonts w:ascii="Times New Roman" w:hAnsi="Times New Roman"/>
          <w:b/>
          <w:color w:val="auto"/>
          <w:highlight w:val="none"/>
        </w:rPr>
        <w:t xml:space="preserve">1.1.2 </w:t>
      </w:r>
      <w:r>
        <w:rPr>
          <w:rFonts w:hint="default" w:ascii="Times New Roman" w:hAnsi="Times New Roman"/>
          <w:b/>
          <w:color w:val="auto"/>
          <w:highlight w:val="none"/>
        </w:rPr>
        <w:t>合同当事人</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1.1.2.1 </w:t>
      </w:r>
      <w:r>
        <w:rPr>
          <w:rFonts w:hint="default" w:ascii="Times New Roman" w:hAnsi="Times New Roman"/>
          <w:color w:val="auto"/>
          <w:highlight w:val="none"/>
        </w:rPr>
        <w:t>合同当事人：指买方和（或）卖方。</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1.1.2.2 </w:t>
      </w:r>
      <w:r>
        <w:rPr>
          <w:rFonts w:hint="default" w:ascii="Times New Roman" w:hAnsi="Times New Roman"/>
          <w:color w:val="auto"/>
          <w:highlight w:val="none"/>
        </w:rPr>
        <w:t>买方：指与卖方签订合同协议书，购买合同材料和相关服务的当事人，及其合法继承人。</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1.1.2.3 </w:t>
      </w:r>
      <w:r>
        <w:rPr>
          <w:rFonts w:hint="default" w:ascii="Times New Roman" w:hAnsi="Times New Roman"/>
          <w:color w:val="auto"/>
          <w:highlight w:val="none"/>
        </w:rPr>
        <w:t>卖方：指与买方签订合同协议书，提供合同材料和相关服务的当事人，及其合法继承人。</w:t>
      </w:r>
    </w:p>
    <w:p>
      <w:pPr>
        <w:spacing w:line="360" w:lineRule="auto"/>
        <w:ind w:firstLine="481" w:firstLineChars="200"/>
        <w:rPr>
          <w:rFonts w:ascii="Times New Roman" w:hAnsi="Times New Roman"/>
          <w:b/>
          <w:color w:val="auto"/>
          <w:highlight w:val="none"/>
        </w:rPr>
      </w:pPr>
      <w:r>
        <w:rPr>
          <w:rFonts w:ascii="Times New Roman" w:hAnsi="Times New Roman"/>
          <w:b/>
          <w:color w:val="auto"/>
          <w:highlight w:val="none"/>
        </w:rPr>
        <w:t xml:space="preserve">1.1.3 </w:t>
      </w:r>
      <w:r>
        <w:rPr>
          <w:rFonts w:hint="default" w:ascii="Times New Roman" w:hAnsi="Times New Roman"/>
          <w:b/>
          <w:color w:val="auto"/>
          <w:highlight w:val="none"/>
        </w:rPr>
        <w:t>合同价格</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1.1.3.1</w:t>
      </w:r>
      <w:r>
        <w:rPr>
          <w:rFonts w:hint="default" w:ascii="Times New Roman" w:hAnsi="Times New Roman"/>
          <w:color w:val="auto"/>
          <w:highlight w:val="none"/>
        </w:rPr>
        <w:t xml:space="preserve"> </w:t>
      </w:r>
      <w:r>
        <w:rPr>
          <w:rFonts w:ascii="Times New Roman" w:hAnsi="Times New Roman"/>
          <w:color w:val="auto"/>
          <w:highlight w:val="none"/>
        </w:rPr>
        <w:t>签约合同价：是签订合同时合同协议书中写明的合同总金额。</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1.1.3.2</w:t>
      </w:r>
      <w:r>
        <w:rPr>
          <w:rFonts w:hint="default" w:ascii="Times New Roman" w:hAnsi="Times New Roman"/>
          <w:color w:val="auto"/>
          <w:highlight w:val="none"/>
        </w:rPr>
        <w:t xml:space="preserve"> </w:t>
      </w:r>
      <w:r>
        <w:rPr>
          <w:rFonts w:ascii="Times New Roman" w:hAnsi="Times New Roman"/>
          <w:color w:val="auto"/>
          <w:highlight w:val="none"/>
        </w:rPr>
        <w:t>合同价格：指卖方按合同约定履行了全部合同义务后，买方应付给卖方的金额。</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1.1.4 </w:t>
      </w:r>
      <w:r>
        <w:rPr>
          <w:rFonts w:hint="default" w:ascii="Times New Roman" w:hAnsi="Times New Roman"/>
          <w:color w:val="auto"/>
          <w:highlight w:val="none"/>
        </w:rPr>
        <w:t>合同材料：指卖方按合同约定应向买方提供的材料及技术资料，或其中任何一部分。</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1.1.5 </w:t>
      </w:r>
      <w:r>
        <w:rPr>
          <w:rFonts w:hint="default" w:ascii="Times New Roman" w:hAnsi="Times New Roman"/>
          <w:color w:val="auto"/>
          <w:highlight w:val="none"/>
        </w:rPr>
        <w:t>技术资料：指各种纸质及电子载体的与合同材料检验、使用、修补等有关的技术指标、规格、图纸和说明文件。</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1.1.6 </w:t>
      </w:r>
      <w:r>
        <w:rPr>
          <w:rFonts w:hint="default" w:ascii="Times New Roman" w:hAnsi="Times New Roman"/>
          <w:color w:val="auto"/>
          <w:highlight w:val="none"/>
        </w:rPr>
        <w:t>验收：指合同材料经检验合格后，买方做出接受合同材料的确认。</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1.1.7 </w:t>
      </w:r>
      <w:r>
        <w:rPr>
          <w:rFonts w:hint="default" w:ascii="Times New Roman" w:hAnsi="Times New Roman"/>
          <w:color w:val="auto"/>
          <w:highlight w:val="none"/>
        </w:rPr>
        <w:t>相关服务：是指在质量保证期届满前卖方提供的与合同材料有关的辅助服务，包括简单加工、解决合同材料存在的质量问题，以及为买方检验、使用和修补合同材料进行的技术指导、培训、协助等。</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1.1.8 </w:t>
      </w:r>
      <w:r>
        <w:rPr>
          <w:rFonts w:hint="default" w:ascii="Times New Roman" w:hAnsi="Times New Roman"/>
          <w:color w:val="auto"/>
          <w:highlight w:val="none"/>
        </w:rPr>
        <w:t>质量保证期：指合同材料验收后，卖方按合同约定保证合同材料正常使用，并负责解决合同材料存在的任何质量问题的期限。</w:t>
      </w:r>
    </w:p>
    <w:p>
      <w:pPr>
        <w:spacing w:line="360" w:lineRule="auto"/>
        <w:ind w:firstLine="481" w:firstLineChars="200"/>
        <w:rPr>
          <w:rFonts w:ascii="Times New Roman" w:hAnsi="Times New Roman"/>
          <w:b/>
          <w:color w:val="auto"/>
          <w:highlight w:val="none"/>
        </w:rPr>
      </w:pPr>
      <w:r>
        <w:rPr>
          <w:rFonts w:ascii="Times New Roman" w:hAnsi="Times New Roman"/>
          <w:b/>
          <w:color w:val="auto"/>
          <w:highlight w:val="none"/>
        </w:rPr>
        <w:t xml:space="preserve">1.1.9 </w:t>
      </w:r>
      <w:r>
        <w:rPr>
          <w:rFonts w:hint="default" w:ascii="Times New Roman" w:hAnsi="Times New Roman"/>
          <w:b/>
          <w:color w:val="auto"/>
          <w:highlight w:val="none"/>
        </w:rPr>
        <w:t>工程</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1.1.9.1 </w:t>
      </w:r>
      <w:r>
        <w:rPr>
          <w:rFonts w:hint="default" w:ascii="Times New Roman" w:hAnsi="Times New Roman"/>
          <w:color w:val="auto"/>
          <w:highlight w:val="none"/>
        </w:rPr>
        <w:t>工程：指在专用合同条款中指明的，使用合同材料的工程。</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1.1.9.2 </w:t>
      </w:r>
      <w:r>
        <w:rPr>
          <w:rFonts w:hint="default" w:ascii="Times New Roman" w:hAnsi="Times New Roman"/>
          <w:color w:val="auto"/>
          <w:highlight w:val="none"/>
        </w:rPr>
        <w:t>施工场地（或称工地、施工现场）：指专用合同条款中指明的工程所在场所。</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1.1.10 </w:t>
      </w:r>
      <w:r>
        <w:rPr>
          <w:rFonts w:hint="default" w:ascii="Times New Roman" w:hAnsi="Times New Roman"/>
          <w:color w:val="auto"/>
          <w:highlight w:val="none"/>
        </w:rPr>
        <w:t>天（或称日）：除特别指明外，指日历天。合同中按天计算时间的，开始当天不计入，从次日开始计算。合同约定的期间的最后一天是星期日或者其他法定休假日的，以休假日的次日为期间的最后一天。</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1.1.11 </w:t>
      </w:r>
      <w:r>
        <w:rPr>
          <w:rFonts w:hint="default" w:ascii="Times New Roman" w:hAnsi="Times New Roman"/>
          <w:color w:val="auto"/>
          <w:highlight w:val="none"/>
        </w:rPr>
        <w:t>月：按照公历月计算。合同中按月计算时间的，开始当天不计入，从次日开始计算。合同约定的期间的最后一天是星期日或者其他法定休假日的，以休假日的次日为期间的最后一天。</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1.1.12 </w:t>
      </w:r>
      <w:r>
        <w:rPr>
          <w:rFonts w:hint="default" w:ascii="Times New Roman" w:hAnsi="Times New Roman"/>
          <w:color w:val="auto"/>
          <w:highlight w:val="none"/>
        </w:rPr>
        <w:t>书面形式：指合同文件、信件和数据电文（包括电报、电传、传真、电子数据交换和电子邮件）等可以有形地表现所载内容的形式。</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 xml:space="preserve">1.1.13 </w:t>
      </w:r>
      <w:r>
        <w:rPr>
          <w:rFonts w:hint="default" w:ascii="Times New Roman" w:hAnsi="Times New Roman"/>
          <w:color w:val="auto"/>
          <w:highlight w:val="none"/>
        </w:rPr>
        <w:t>不可抗力：是指任何一方当事人不能预见、不能避免并不能克服的自然灾害和社会性突发事件，如地震、海啸、瘟疫、水灾、骚乱、暴动、战争和专用合同条款约定的其</w:t>
      </w:r>
      <w:r>
        <w:rPr>
          <w:rFonts w:ascii="Times New Roman" w:hAnsi="Times New Roman"/>
          <w:color w:val="auto"/>
          <w:highlight w:val="none"/>
        </w:rPr>
        <w:t>他情形。</w:t>
      </w:r>
    </w:p>
    <w:p>
      <w:pPr>
        <w:spacing w:line="240" w:lineRule="auto"/>
        <w:ind w:firstLine="137"/>
        <w:outlineLvl w:val="2"/>
        <w:rPr>
          <w:rFonts w:ascii="Times New Roman" w:hAnsi="Times New Roman"/>
          <w:color w:val="auto"/>
          <w:highlight w:val="none"/>
        </w:rPr>
      </w:pPr>
      <w:bookmarkStart w:id="524" w:name="_Toc492288474"/>
      <w:bookmarkStart w:id="525" w:name="_Toc2063"/>
      <w:r>
        <w:rPr>
          <w:rFonts w:ascii="Times New Roman" w:hAnsi="Times New Roman"/>
          <w:color w:val="auto"/>
          <w:highlight w:val="none"/>
        </w:rPr>
        <w:t xml:space="preserve">1.2 </w:t>
      </w:r>
      <w:r>
        <w:rPr>
          <w:rFonts w:hint="default" w:ascii="Times New Roman" w:hAnsi="Times New Roman"/>
          <w:color w:val="auto"/>
          <w:highlight w:val="none"/>
        </w:rPr>
        <w:t>语言文字</w:t>
      </w:r>
      <w:bookmarkEnd w:id="524"/>
      <w:bookmarkEnd w:id="525"/>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合同使用的语言文字为中文。专用术语使用外文的，应附有中文注释。</w:t>
      </w:r>
    </w:p>
    <w:p>
      <w:pPr>
        <w:spacing w:line="240" w:lineRule="auto"/>
        <w:ind w:firstLine="137"/>
        <w:outlineLvl w:val="2"/>
        <w:rPr>
          <w:rFonts w:ascii="Times New Roman" w:hAnsi="Times New Roman"/>
          <w:color w:val="auto"/>
          <w:highlight w:val="none"/>
        </w:rPr>
      </w:pPr>
      <w:bookmarkStart w:id="526" w:name="_Toc6948"/>
      <w:bookmarkStart w:id="527" w:name="_Toc492288475"/>
      <w:r>
        <w:rPr>
          <w:rFonts w:ascii="Times New Roman" w:hAnsi="Times New Roman"/>
          <w:color w:val="auto"/>
          <w:highlight w:val="none"/>
        </w:rPr>
        <w:t xml:space="preserve">1.3 </w:t>
      </w:r>
      <w:r>
        <w:rPr>
          <w:rFonts w:hint="default" w:ascii="Times New Roman" w:hAnsi="Times New Roman"/>
          <w:color w:val="auto"/>
          <w:highlight w:val="none"/>
        </w:rPr>
        <w:t>合同文件的优先顺序</w:t>
      </w:r>
      <w:bookmarkEnd w:id="526"/>
      <w:bookmarkEnd w:id="527"/>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组成合同的各项文件应互相解释，互为说明。除专用合同条款另有约定外，解释合同文件的优先顺序如下：</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（1）合同协议书；</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（2）中标通知书；</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（3）投标函；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（4）商务和技术偏差表；</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（5）专用合同条款；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（6）通用合同条款；</w:t>
      </w:r>
    </w:p>
    <w:p>
      <w:pPr>
        <w:spacing w:line="360" w:lineRule="auto"/>
        <w:ind w:firstLine="480" w:firstLineChars="200"/>
        <w:rPr>
          <w:rFonts w:ascii="Times New Roman" w:hAnsi="Times New Roman"/>
          <w:color w:val="auto"/>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7</w:t>
      </w:r>
      <w:r>
        <w:rPr>
          <w:rFonts w:ascii="Times New Roman" w:hAnsi="Times New Roman"/>
          <w:color w:val="auto"/>
          <w:szCs w:val="21"/>
          <w:highlight w:val="none"/>
        </w:rPr>
        <w:t>）</w:t>
      </w:r>
      <w:r>
        <w:rPr>
          <w:rFonts w:ascii="Times New Roman" w:hAnsi="Times New Roman"/>
          <w:color w:val="auto"/>
          <w:highlight w:val="none"/>
        </w:rPr>
        <w:t>供货要求；</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rPr>
        <w:t>8</w:t>
      </w:r>
      <w:r>
        <w:rPr>
          <w:rFonts w:ascii="Times New Roman" w:hAnsi="Times New Roman"/>
          <w:color w:val="auto"/>
          <w:highlight w:val="none"/>
        </w:rPr>
        <w:t>）分项报价表；</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rPr>
        <w:t>9</w:t>
      </w:r>
      <w:r>
        <w:rPr>
          <w:rFonts w:ascii="Times New Roman" w:hAnsi="Times New Roman"/>
          <w:color w:val="auto"/>
          <w:highlight w:val="none"/>
        </w:rPr>
        <w:t>）中标材料质量标准的详细描述；</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w:t>
      </w:r>
      <w:r>
        <w:rPr>
          <w:rFonts w:hint="default" w:ascii="Times New Roman" w:hAnsi="Times New Roman"/>
          <w:color w:val="auto"/>
          <w:highlight w:val="none"/>
        </w:rPr>
        <w:t>10</w:t>
      </w:r>
      <w:r>
        <w:rPr>
          <w:rFonts w:ascii="Times New Roman" w:hAnsi="Times New Roman"/>
          <w:color w:val="auto"/>
          <w:highlight w:val="none"/>
        </w:rPr>
        <w:t>）相关服务计划；</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（11）</w:t>
      </w:r>
      <w:r>
        <w:rPr>
          <w:rFonts w:ascii="Times New Roman" w:hAnsi="Times New Roman"/>
          <w:color w:val="auto"/>
          <w:highlight w:val="none"/>
        </w:rPr>
        <w:t>其他合同文件。</w:t>
      </w:r>
    </w:p>
    <w:p>
      <w:pPr>
        <w:spacing w:line="240" w:lineRule="auto"/>
        <w:ind w:firstLine="137"/>
        <w:outlineLvl w:val="2"/>
        <w:rPr>
          <w:rFonts w:ascii="Times New Roman" w:hAnsi="Times New Roman"/>
          <w:color w:val="auto"/>
          <w:highlight w:val="none"/>
        </w:rPr>
      </w:pPr>
      <w:bookmarkStart w:id="528" w:name="_Toc492288476"/>
      <w:bookmarkStart w:id="529" w:name="_Toc31517"/>
      <w:r>
        <w:rPr>
          <w:rFonts w:ascii="Times New Roman" w:hAnsi="Times New Roman"/>
          <w:color w:val="auto"/>
          <w:highlight w:val="none"/>
        </w:rPr>
        <w:t xml:space="preserve">1.4 </w:t>
      </w:r>
      <w:r>
        <w:rPr>
          <w:rFonts w:hint="default" w:ascii="Times New Roman" w:hAnsi="Times New Roman"/>
          <w:color w:val="auto"/>
          <w:highlight w:val="none"/>
        </w:rPr>
        <w:t>合同的生效及变更</w:t>
      </w:r>
      <w:bookmarkEnd w:id="528"/>
      <w:bookmarkEnd w:id="529"/>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 xml:space="preserve">1.4.1 </w:t>
      </w:r>
      <w:r>
        <w:rPr>
          <w:rFonts w:ascii="Times New Roman" w:hAnsi="Times New Roman"/>
          <w:color w:val="auto"/>
          <w:szCs w:val="21"/>
          <w:highlight w:val="none"/>
        </w:rPr>
        <w:t>除专用合同条款另有约定外，买方和卖方的法定代表人（单位负责人）或其授权代表在合同协议书上签字并加</w:t>
      </w:r>
      <w:r>
        <w:rPr>
          <w:rFonts w:ascii="Times New Roman" w:hAnsi="Times New Roman"/>
          <w:color w:val="auto"/>
          <w:highlight w:val="none"/>
        </w:rPr>
        <w:t>盖单位章</w:t>
      </w:r>
      <w:r>
        <w:rPr>
          <w:rFonts w:ascii="Times New Roman" w:hAnsi="Times New Roman"/>
          <w:color w:val="auto"/>
          <w:szCs w:val="21"/>
          <w:highlight w:val="none"/>
        </w:rPr>
        <w:t>后，合同生效。</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 xml:space="preserve">1.4.2 </w:t>
      </w:r>
      <w:r>
        <w:rPr>
          <w:rFonts w:ascii="Times New Roman" w:hAnsi="Times New Roman"/>
          <w:color w:val="auto"/>
          <w:szCs w:val="21"/>
          <w:highlight w:val="none"/>
        </w:rPr>
        <w:t>除专用合同条款另有约定外，</w:t>
      </w:r>
      <w:r>
        <w:rPr>
          <w:rFonts w:ascii="Times New Roman" w:hAnsi="Times New Roman"/>
          <w:color w:val="auto"/>
          <w:highlight w:val="none"/>
        </w:rPr>
        <w:t>在合同履行过程中，如需对合同进行变更，双方应签订书面协议，并经双方</w:t>
      </w:r>
      <w:r>
        <w:rPr>
          <w:rFonts w:ascii="Times New Roman" w:hAnsi="Times New Roman"/>
          <w:color w:val="auto"/>
          <w:szCs w:val="21"/>
          <w:highlight w:val="none"/>
        </w:rPr>
        <w:t>法定代表人（单位负责人）或其授权代表签字并加</w:t>
      </w:r>
      <w:r>
        <w:rPr>
          <w:rFonts w:ascii="Times New Roman" w:hAnsi="Times New Roman"/>
          <w:color w:val="auto"/>
          <w:highlight w:val="none"/>
        </w:rPr>
        <w:t>盖单位章</w:t>
      </w:r>
      <w:r>
        <w:rPr>
          <w:rFonts w:ascii="Times New Roman" w:hAnsi="Times New Roman"/>
          <w:color w:val="auto"/>
          <w:szCs w:val="21"/>
          <w:highlight w:val="none"/>
        </w:rPr>
        <w:t>后生效。</w:t>
      </w:r>
    </w:p>
    <w:p>
      <w:pPr>
        <w:spacing w:line="240" w:lineRule="auto"/>
        <w:ind w:firstLine="137"/>
        <w:outlineLvl w:val="2"/>
        <w:rPr>
          <w:rFonts w:ascii="Times New Roman" w:hAnsi="Times New Roman"/>
          <w:color w:val="auto"/>
          <w:highlight w:val="none"/>
        </w:rPr>
      </w:pPr>
      <w:bookmarkStart w:id="530" w:name="_Toc492288477"/>
      <w:bookmarkStart w:id="531" w:name="_Toc7159"/>
      <w:r>
        <w:rPr>
          <w:rFonts w:ascii="Times New Roman" w:hAnsi="Times New Roman"/>
          <w:color w:val="auto"/>
          <w:highlight w:val="none"/>
        </w:rPr>
        <w:t xml:space="preserve">1.5 </w:t>
      </w:r>
      <w:r>
        <w:rPr>
          <w:rFonts w:hint="default" w:ascii="Times New Roman" w:hAnsi="Times New Roman"/>
          <w:color w:val="auto"/>
          <w:highlight w:val="none"/>
        </w:rPr>
        <w:t>联络</w:t>
      </w:r>
      <w:bookmarkEnd w:id="530"/>
      <w:bookmarkEnd w:id="531"/>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1.5.1 买卖双方应就合同</w:t>
      </w:r>
      <w:r>
        <w:rPr>
          <w:rFonts w:hint="default" w:ascii="Times New Roman" w:hAnsi="Times New Roman"/>
          <w:color w:val="auto"/>
          <w:highlight w:val="none"/>
        </w:rPr>
        <w:t>履</w:t>
      </w:r>
      <w:r>
        <w:rPr>
          <w:rFonts w:ascii="Times New Roman" w:hAnsi="Times New Roman"/>
          <w:color w:val="auto"/>
          <w:highlight w:val="none"/>
        </w:rPr>
        <w:t>行中有关的事项及时进行联络，重要事项应通过书面形式进行联络。</w:t>
      </w:r>
    </w:p>
    <w:p>
      <w:pPr>
        <w:spacing w:line="360" w:lineRule="auto"/>
        <w:ind w:firstLine="480" w:firstLineChars="200"/>
        <w:rPr>
          <w:rFonts w:ascii="Times New Roman" w:hAnsi="Times New Roman"/>
          <w:b/>
          <w:bCs/>
          <w:color w:val="auto"/>
          <w:szCs w:val="28"/>
          <w:highlight w:val="none"/>
        </w:rPr>
      </w:pPr>
      <w:r>
        <w:rPr>
          <w:rFonts w:ascii="Times New Roman" w:hAnsi="Times New Roman"/>
          <w:color w:val="auto"/>
          <w:highlight w:val="none"/>
        </w:rPr>
        <w:t>1.5.2 买方可以安排监理等相关人员作为买方人员，与卖方进行联络或参加合同材料的检验和验收等。</w:t>
      </w:r>
    </w:p>
    <w:p>
      <w:pPr>
        <w:spacing w:line="240" w:lineRule="auto"/>
        <w:ind w:firstLine="137"/>
        <w:outlineLvl w:val="2"/>
        <w:rPr>
          <w:rFonts w:ascii="Times New Roman" w:hAnsi="Times New Roman"/>
          <w:color w:val="auto"/>
          <w:highlight w:val="none"/>
        </w:rPr>
      </w:pPr>
      <w:bookmarkStart w:id="532" w:name="_Toc492288478"/>
      <w:bookmarkStart w:id="533" w:name="_Toc4550"/>
      <w:r>
        <w:rPr>
          <w:rFonts w:ascii="Times New Roman" w:hAnsi="Times New Roman"/>
          <w:color w:val="auto"/>
          <w:highlight w:val="none"/>
        </w:rPr>
        <w:t xml:space="preserve">1.6 </w:t>
      </w:r>
      <w:r>
        <w:rPr>
          <w:rFonts w:hint="default" w:ascii="Times New Roman" w:hAnsi="Times New Roman"/>
          <w:color w:val="auto"/>
          <w:highlight w:val="none"/>
        </w:rPr>
        <w:t>联合体</w:t>
      </w:r>
      <w:bookmarkEnd w:id="532"/>
      <w:bookmarkEnd w:id="533"/>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1.6.1卖方为联合体的，</w:t>
      </w:r>
      <w:r>
        <w:rPr>
          <w:rFonts w:ascii="Times New Roman" w:hAnsi="Times New Roman"/>
          <w:color w:val="auto"/>
          <w:szCs w:val="21"/>
          <w:highlight w:val="none"/>
        </w:rPr>
        <w:t>联合体各方应当共同与买方签订合同，并向买方为履行合同承担连带责任。</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1.6.2</w:t>
      </w:r>
      <w:r>
        <w:rPr>
          <w:rFonts w:ascii="Times New Roman" w:hAnsi="Times New Roman"/>
          <w:color w:val="auto"/>
          <w:szCs w:val="21"/>
          <w:highlight w:val="none"/>
        </w:rPr>
        <w:t xml:space="preserve"> 在合同履行过程中，未经买方同意，不得修改联合体协议。</w:t>
      </w:r>
      <w:r>
        <w:rPr>
          <w:rFonts w:ascii="Times New Roman" w:hAnsi="Times New Roman"/>
          <w:color w:val="auto"/>
          <w:highlight w:val="none"/>
        </w:rPr>
        <w:t>联合体协议中关于联合体成员间权利义务的划分，并不影响或减损联合体各方应就履行合同向买方承担的连带责任。</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 xml:space="preserve">1.6.3 </w:t>
      </w:r>
      <w:r>
        <w:rPr>
          <w:rFonts w:ascii="Times New Roman" w:hAnsi="Times New Roman"/>
          <w:color w:val="auto"/>
          <w:szCs w:val="21"/>
          <w:highlight w:val="none"/>
        </w:rPr>
        <w:t>联合体牵头人代表联合体与买方联系，并接受指示，负责组织联合体各成员全面履行合同。除非专用合同条款另有约定，牵头人在履行合同中的所有行为均视为已获得联合体各方的授权。买方可将合同价款全部支付给牵头人并视为其已适当履行了付款义务。如牵头人的行为将构成对合同内容的变更，则牵头人须事先获得联合体各方的特别授权。</w:t>
      </w:r>
    </w:p>
    <w:p>
      <w:pPr>
        <w:spacing w:line="240" w:lineRule="auto"/>
        <w:ind w:firstLine="137"/>
        <w:outlineLvl w:val="2"/>
        <w:rPr>
          <w:rFonts w:ascii="Times New Roman" w:hAnsi="Times New Roman"/>
          <w:color w:val="auto"/>
          <w:highlight w:val="none"/>
        </w:rPr>
      </w:pPr>
      <w:bookmarkStart w:id="534" w:name="_Toc5944"/>
      <w:bookmarkStart w:id="535" w:name="_Toc492288479"/>
      <w:r>
        <w:rPr>
          <w:rFonts w:ascii="Times New Roman" w:hAnsi="Times New Roman"/>
          <w:color w:val="auto"/>
          <w:highlight w:val="none"/>
        </w:rPr>
        <w:t xml:space="preserve">1.7 </w:t>
      </w:r>
      <w:r>
        <w:rPr>
          <w:rFonts w:hint="default" w:ascii="Times New Roman" w:hAnsi="Times New Roman"/>
          <w:color w:val="auto"/>
          <w:highlight w:val="none"/>
        </w:rPr>
        <w:t>转让</w:t>
      </w:r>
      <w:bookmarkEnd w:id="534"/>
      <w:bookmarkEnd w:id="535"/>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未经对方当事人书面同意，合同任何一方均不得转让其在本合同项下的权利和（或）义务。</w:t>
      </w:r>
    </w:p>
    <w:p>
      <w:pPr>
        <w:spacing w:line="240" w:lineRule="auto"/>
        <w:ind w:firstLine="137"/>
        <w:outlineLvl w:val="2"/>
        <w:rPr>
          <w:rFonts w:ascii="Times New Roman" w:hAnsi="Times New Roman"/>
          <w:color w:val="auto"/>
          <w:highlight w:val="none"/>
        </w:rPr>
      </w:pPr>
      <w:bookmarkStart w:id="536" w:name="_Toc492288480"/>
      <w:bookmarkStart w:id="537" w:name="_Toc17014"/>
      <w:r>
        <w:rPr>
          <w:rFonts w:ascii="Times New Roman" w:hAnsi="Times New Roman"/>
          <w:color w:val="auto"/>
          <w:highlight w:val="none"/>
        </w:rPr>
        <w:t xml:space="preserve">1.8 </w:t>
      </w:r>
      <w:r>
        <w:rPr>
          <w:rFonts w:hint="default" w:ascii="Times New Roman" w:hAnsi="Times New Roman"/>
          <w:color w:val="auto"/>
          <w:highlight w:val="none"/>
        </w:rPr>
        <w:t>知识产权</w:t>
      </w:r>
      <w:bookmarkEnd w:id="536"/>
      <w:bookmarkEnd w:id="537"/>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1.8.1 合同材料或其中的技术资料涉及知识产权的，卖方保证买方免于受到任何知识产权侵权的主张、索赔或诉讼的伤害。</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1.8.2 如果买方收到任何第三方有关知识产权的主张、索赔或诉讼，卖方在收到买方通知后，应以买方名义处理与第三方的索赔或诉讼，并承担因此产生的费用以及给买方造成的损失。</w:t>
      </w:r>
    </w:p>
    <w:p>
      <w:pPr>
        <w:spacing w:line="240" w:lineRule="auto"/>
        <w:ind w:firstLine="137"/>
        <w:outlineLvl w:val="2"/>
        <w:rPr>
          <w:rFonts w:ascii="Times New Roman" w:hAnsi="Times New Roman"/>
          <w:color w:val="auto"/>
          <w:highlight w:val="none"/>
        </w:rPr>
      </w:pPr>
      <w:bookmarkStart w:id="538" w:name="_Toc492288481"/>
      <w:bookmarkStart w:id="539" w:name="_Toc32108"/>
      <w:r>
        <w:rPr>
          <w:rFonts w:ascii="Times New Roman" w:hAnsi="Times New Roman"/>
          <w:color w:val="auto"/>
          <w:highlight w:val="none"/>
        </w:rPr>
        <w:t xml:space="preserve">1.9 </w:t>
      </w:r>
      <w:r>
        <w:rPr>
          <w:rFonts w:hint="default" w:ascii="Times New Roman" w:hAnsi="Times New Roman"/>
          <w:color w:val="auto"/>
          <w:highlight w:val="none"/>
        </w:rPr>
        <w:t>保密</w:t>
      </w:r>
      <w:bookmarkEnd w:id="538"/>
      <w:bookmarkEnd w:id="539"/>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合同双方应对因履行合同而取得的另一方当事人的信息、资料等予以保密。未经另一方当事人书面同意，任何一方均不得为与履行合同无关的目的使用或向第三方披露另一方当事人提供的信息、资料。</w:t>
      </w:r>
    </w:p>
    <w:p>
      <w:pPr>
        <w:pStyle w:val="3"/>
        <w:rPr>
          <w:rFonts w:ascii="Times New Roman" w:hAnsi="Times New Roman"/>
          <w:bCs/>
          <w:color w:val="auto"/>
          <w:szCs w:val="32"/>
          <w:highlight w:val="none"/>
        </w:rPr>
      </w:pPr>
      <w:bookmarkStart w:id="540" w:name="_Toc492288482"/>
      <w:bookmarkStart w:id="541" w:name="_Toc2088"/>
      <w:r>
        <w:rPr>
          <w:rFonts w:ascii="Times New Roman" w:hAnsi="Times New Roman"/>
          <w:bCs/>
          <w:color w:val="auto"/>
          <w:szCs w:val="32"/>
          <w:highlight w:val="none"/>
        </w:rPr>
        <w:t>2. 合同范围</w:t>
      </w:r>
      <w:bookmarkEnd w:id="540"/>
      <w:bookmarkEnd w:id="541"/>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卖方应根据</w:t>
      </w:r>
      <w:r>
        <w:rPr>
          <w:rFonts w:ascii="Times New Roman" w:hAnsi="Times New Roman"/>
          <w:color w:val="auto"/>
          <w:szCs w:val="24"/>
          <w:highlight w:val="none"/>
        </w:rPr>
        <w:t>供货要求</w:t>
      </w:r>
      <w:r>
        <w:rPr>
          <w:rFonts w:hint="default" w:ascii="Times New Roman" w:hAnsi="Times New Roman"/>
          <w:color w:val="auto"/>
          <w:szCs w:val="24"/>
          <w:highlight w:val="none"/>
        </w:rPr>
        <w:t>、</w:t>
      </w:r>
      <w:r>
        <w:rPr>
          <w:rFonts w:hint="default" w:ascii="Times New Roman" w:hAnsi="Times New Roman"/>
          <w:color w:val="auto"/>
          <w:highlight w:val="none"/>
        </w:rPr>
        <w:t>中</w:t>
      </w:r>
      <w:r>
        <w:rPr>
          <w:rFonts w:ascii="Times New Roman" w:hAnsi="Times New Roman"/>
          <w:color w:val="auto"/>
          <w:highlight w:val="none"/>
        </w:rPr>
        <w:t>标材料质量标准的详细描述</w:t>
      </w:r>
      <w:r>
        <w:rPr>
          <w:rFonts w:ascii="Times New Roman" w:hAnsi="Times New Roman"/>
          <w:color w:val="auto"/>
          <w:szCs w:val="24"/>
          <w:highlight w:val="none"/>
        </w:rPr>
        <w:t>、</w:t>
      </w:r>
      <w:r>
        <w:rPr>
          <w:rFonts w:ascii="Times New Roman" w:hAnsi="Times New Roman"/>
          <w:color w:val="auto"/>
          <w:highlight w:val="none"/>
        </w:rPr>
        <w:t>相关服务计划</w:t>
      </w:r>
      <w:r>
        <w:rPr>
          <w:rFonts w:ascii="Times New Roman" w:hAnsi="Times New Roman"/>
          <w:color w:val="auto"/>
          <w:szCs w:val="21"/>
          <w:highlight w:val="none"/>
        </w:rPr>
        <w:t>等合同文件的约定向买方提供合同材料和相关服务。</w:t>
      </w:r>
    </w:p>
    <w:p>
      <w:pPr>
        <w:pStyle w:val="3"/>
        <w:rPr>
          <w:rFonts w:ascii="Times New Roman" w:hAnsi="Times New Roman"/>
          <w:bCs/>
          <w:color w:val="auto"/>
          <w:szCs w:val="32"/>
          <w:highlight w:val="none"/>
        </w:rPr>
      </w:pPr>
      <w:bookmarkStart w:id="542" w:name="_Toc8202"/>
      <w:bookmarkStart w:id="543" w:name="_Toc492288483"/>
      <w:r>
        <w:rPr>
          <w:rFonts w:ascii="Times New Roman" w:hAnsi="Times New Roman"/>
          <w:bCs/>
          <w:color w:val="auto"/>
          <w:szCs w:val="32"/>
          <w:highlight w:val="none"/>
        </w:rPr>
        <w:t>3. 合同价格与支付</w:t>
      </w:r>
      <w:bookmarkEnd w:id="542"/>
      <w:bookmarkEnd w:id="543"/>
    </w:p>
    <w:p>
      <w:pPr>
        <w:spacing w:line="240" w:lineRule="auto"/>
        <w:ind w:firstLine="137"/>
        <w:outlineLvl w:val="2"/>
        <w:rPr>
          <w:rFonts w:ascii="Times New Roman" w:hAnsi="Times New Roman"/>
          <w:color w:val="auto"/>
          <w:highlight w:val="none"/>
        </w:rPr>
      </w:pPr>
      <w:bookmarkStart w:id="544" w:name="_Toc492288484"/>
      <w:bookmarkStart w:id="545" w:name="_Toc12114"/>
      <w:r>
        <w:rPr>
          <w:rFonts w:ascii="Times New Roman" w:hAnsi="Times New Roman"/>
          <w:color w:val="auto"/>
          <w:highlight w:val="none"/>
        </w:rPr>
        <w:t xml:space="preserve">3.1 </w:t>
      </w:r>
      <w:r>
        <w:rPr>
          <w:rFonts w:hint="default" w:ascii="Times New Roman" w:hAnsi="Times New Roman"/>
          <w:color w:val="auto"/>
          <w:highlight w:val="none"/>
        </w:rPr>
        <w:t>合同价格</w:t>
      </w:r>
      <w:bookmarkEnd w:id="544"/>
      <w:bookmarkEnd w:id="545"/>
    </w:p>
    <w:p>
      <w:pPr>
        <w:spacing w:line="360" w:lineRule="auto"/>
        <w:ind w:firstLine="480" w:firstLineChars="200"/>
        <w:rPr>
          <w:rFonts w:ascii="Times New Roman" w:hAnsi="Times New Roman"/>
          <w:color w:val="auto"/>
          <w:kern w:val="0"/>
          <w:szCs w:val="21"/>
          <w:highlight w:val="none"/>
        </w:rPr>
      </w:pPr>
      <w:r>
        <w:rPr>
          <w:rFonts w:ascii="Times New Roman" w:hAnsi="Times New Roman"/>
          <w:color w:val="auto"/>
          <w:szCs w:val="21"/>
          <w:highlight w:val="none"/>
        </w:rPr>
        <w:t>3.1.1</w:t>
      </w:r>
      <w:r>
        <w:rPr>
          <w:rFonts w:hint="default" w:ascii="Times New Roman" w:hAnsi="Times New Roman"/>
          <w:color w:val="auto"/>
          <w:szCs w:val="21"/>
          <w:highlight w:val="none"/>
        </w:rPr>
        <w:t xml:space="preserve"> </w:t>
      </w:r>
      <w:r>
        <w:rPr>
          <w:rFonts w:ascii="Times New Roman" w:hAnsi="Times New Roman"/>
          <w:color w:val="auto"/>
          <w:szCs w:val="21"/>
          <w:highlight w:val="none"/>
        </w:rPr>
        <w:t>合同协议书中</w:t>
      </w:r>
      <w:r>
        <w:rPr>
          <w:rFonts w:ascii="Times New Roman" w:hAnsi="Times New Roman"/>
          <w:color w:val="auto"/>
          <w:kern w:val="0"/>
          <w:szCs w:val="21"/>
          <w:highlight w:val="none"/>
        </w:rPr>
        <w:t>载明的签约合同价包括卖方为完成合同全部义务应承担的一切成本、费用和支出以及卖方的合理利润</w:t>
      </w:r>
      <w:r>
        <w:rPr>
          <w:rFonts w:ascii="Times New Roman" w:hAnsi="Times New Roman"/>
          <w:color w:val="auto"/>
          <w:szCs w:val="21"/>
          <w:highlight w:val="none"/>
        </w:rPr>
        <w:t>。</w:t>
      </w:r>
    </w:p>
    <w:p>
      <w:pPr>
        <w:spacing w:line="360" w:lineRule="auto"/>
        <w:ind w:firstLine="480" w:firstLineChars="200"/>
        <w:rPr>
          <w:rFonts w:ascii="Times New Roman" w:hAnsi="Times New Roman"/>
          <w:color w:val="auto"/>
          <w:kern w:val="0"/>
          <w:szCs w:val="21"/>
          <w:highlight w:val="none"/>
        </w:rPr>
      </w:pPr>
      <w:r>
        <w:rPr>
          <w:rFonts w:ascii="Times New Roman" w:hAnsi="Times New Roman"/>
          <w:color w:val="auto"/>
          <w:kern w:val="0"/>
          <w:szCs w:val="21"/>
          <w:highlight w:val="none"/>
        </w:rPr>
        <w:t>3.1.2</w:t>
      </w:r>
      <w:r>
        <w:rPr>
          <w:rFonts w:hint="default" w:ascii="Times New Roman" w:hAnsi="Times New Roman"/>
          <w:color w:val="auto"/>
          <w:kern w:val="0"/>
          <w:szCs w:val="21"/>
          <w:highlight w:val="none"/>
        </w:rPr>
        <w:t xml:space="preserve"> </w:t>
      </w:r>
      <w:r>
        <w:rPr>
          <w:rFonts w:ascii="Times New Roman" w:hAnsi="Times New Roman"/>
          <w:color w:val="auto"/>
          <w:szCs w:val="21"/>
          <w:highlight w:val="none"/>
        </w:rPr>
        <w:t>除专用合同条款另有约定外，</w:t>
      </w:r>
      <w:r>
        <w:rPr>
          <w:rFonts w:hint="eastAsia" w:ascii="Times New Roman" w:hAnsi="Times New Roman"/>
          <w:color w:val="auto"/>
          <w:kern w:val="0"/>
          <w:szCs w:val="21"/>
          <w:highlight w:val="none"/>
          <w:lang w:eastAsia="zh-CN"/>
        </w:rPr>
        <w:t>交货期</w:t>
      </w:r>
      <w:r>
        <w:rPr>
          <w:rFonts w:ascii="Times New Roman" w:hAnsi="Times New Roman"/>
          <w:color w:val="auto"/>
          <w:kern w:val="0"/>
          <w:szCs w:val="21"/>
          <w:highlight w:val="none"/>
        </w:rPr>
        <w:t>不超过12个月的</w:t>
      </w:r>
      <w:r>
        <w:rPr>
          <w:rFonts w:ascii="Times New Roman" w:hAnsi="Times New Roman"/>
          <w:color w:val="auto"/>
          <w:szCs w:val="21"/>
          <w:highlight w:val="none"/>
        </w:rPr>
        <w:t>签约合同价为固定价格。</w:t>
      </w:r>
      <w:r>
        <w:rPr>
          <w:rFonts w:hint="eastAsia" w:ascii="Times New Roman" w:hAnsi="Times New Roman"/>
          <w:color w:val="auto"/>
          <w:kern w:val="0"/>
          <w:szCs w:val="21"/>
          <w:highlight w:val="none"/>
          <w:lang w:eastAsia="zh-CN"/>
        </w:rPr>
        <w:t>交货期</w:t>
      </w:r>
      <w:r>
        <w:rPr>
          <w:rFonts w:ascii="Times New Roman" w:hAnsi="Times New Roman"/>
          <w:color w:val="auto"/>
          <w:kern w:val="0"/>
          <w:szCs w:val="21"/>
          <w:highlight w:val="none"/>
        </w:rPr>
        <w:t>超过12个月且合同材料交付时材料价格变化超过专用合同条款约定的幅度的，双方应按照专用合同条款中约定的调整方法对合同价格进行调整。</w:t>
      </w:r>
    </w:p>
    <w:p>
      <w:pPr>
        <w:spacing w:line="240" w:lineRule="auto"/>
        <w:ind w:firstLine="137"/>
        <w:outlineLvl w:val="2"/>
        <w:rPr>
          <w:rFonts w:ascii="Times New Roman" w:hAnsi="Times New Roman"/>
          <w:color w:val="auto"/>
          <w:highlight w:val="none"/>
        </w:rPr>
      </w:pPr>
      <w:bookmarkStart w:id="546" w:name="_Toc16159"/>
      <w:bookmarkStart w:id="547" w:name="_Toc492288485"/>
      <w:r>
        <w:rPr>
          <w:rFonts w:ascii="Times New Roman" w:hAnsi="Times New Roman"/>
          <w:color w:val="auto"/>
          <w:highlight w:val="none"/>
        </w:rPr>
        <w:t xml:space="preserve">3.2 </w:t>
      </w:r>
      <w:r>
        <w:rPr>
          <w:rFonts w:hint="default" w:ascii="Times New Roman" w:hAnsi="Times New Roman"/>
          <w:color w:val="auto"/>
          <w:highlight w:val="none"/>
        </w:rPr>
        <w:t>合同价款的支付</w:t>
      </w:r>
      <w:bookmarkEnd w:id="546"/>
      <w:bookmarkEnd w:id="547"/>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除专用合同条款另有约定外，买方应通过以下方式和比例向卖方支付合同价款：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3.2.1预付款</w:t>
      </w:r>
    </w:p>
    <w:p>
      <w:pPr>
        <w:spacing w:line="360" w:lineRule="auto"/>
        <w:ind w:firstLine="480" w:firstLineChars="200"/>
        <w:rPr>
          <w:rStyle w:val="36"/>
          <w:rFonts w:ascii="Times New Roman" w:hAnsi="Times New Roman"/>
          <w:color w:val="auto"/>
          <w:highlight w:val="none"/>
        </w:rPr>
      </w:pPr>
      <w:r>
        <w:rPr>
          <w:rFonts w:ascii="Times New Roman" w:hAnsi="Times New Roman"/>
          <w:color w:val="auto"/>
          <w:szCs w:val="21"/>
          <w:highlight w:val="none"/>
        </w:rPr>
        <w:t>合同生效后，买方在收到卖方</w:t>
      </w:r>
      <w:r>
        <w:rPr>
          <w:rFonts w:ascii="Times New Roman" w:hAnsi="Times New Roman"/>
          <w:color w:val="auto"/>
          <w:szCs w:val="21"/>
          <w:highlight w:val="none"/>
          <w:lang w:val="zh-CN"/>
        </w:rPr>
        <w:t>开具</w:t>
      </w:r>
      <w:r>
        <w:rPr>
          <w:rFonts w:ascii="Times New Roman" w:hAnsi="Times New Roman"/>
          <w:color w:val="auto"/>
          <w:highlight w:val="none"/>
          <w:lang w:val="zh-CN"/>
        </w:rPr>
        <w:t>的</w:t>
      </w:r>
      <w:r>
        <w:rPr>
          <w:rFonts w:ascii="Times New Roman" w:hAnsi="Times New Roman"/>
          <w:color w:val="auto"/>
          <w:szCs w:val="21"/>
          <w:highlight w:val="none"/>
          <w:lang w:val="zh-CN"/>
        </w:rPr>
        <w:t>注明应付预付款金额的财务收据正本一份</w:t>
      </w:r>
      <w:r>
        <w:rPr>
          <w:rFonts w:ascii="Times New Roman" w:hAnsi="Times New Roman"/>
          <w:color w:val="auto"/>
          <w:szCs w:val="21"/>
          <w:highlight w:val="none"/>
        </w:rPr>
        <w:t>并经审核无误后28日内，向卖方支付签约合同价的10%</w:t>
      </w:r>
      <w:r>
        <w:rPr>
          <w:rStyle w:val="36"/>
          <w:rFonts w:ascii="Times New Roman" w:hAnsi="Times New Roman"/>
          <w:color w:val="auto"/>
          <w:highlight w:val="none"/>
        </w:rPr>
        <w:t>作为预付款。</w:t>
      </w:r>
    </w:p>
    <w:p>
      <w:pPr>
        <w:spacing w:line="360" w:lineRule="auto"/>
        <w:ind w:firstLine="420" w:firstLineChars="200"/>
        <w:rPr>
          <w:rFonts w:ascii="Times New Roman" w:hAnsi="Times New Roman"/>
          <w:color w:val="auto"/>
          <w:szCs w:val="21"/>
          <w:highlight w:val="none"/>
        </w:rPr>
      </w:pPr>
      <w:r>
        <w:rPr>
          <w:rStyle w:val="36"/>
          <w:rFonts w:ascii="Times New Roman" w:hAnsi="Times New Roman"/>
          <w:color w:val="auto"/>
          <w:highlight w:val="none"/>
        </w:rPr>
        <w:t>买方支付预付款后，如卖方未履行合同义务，则买方有权收回预付款；如卖方依约履行了合同义务，则预付款抵作进度款。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3.2.2 进度款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卖方按照合同约定的进度交付合同材料并提供相关服务后，买方在收到卖方提交的下列单据并经审核无误后28日内，应向卖方支付进度款，进度款支付至该批次合同材料的合同价格的95%：</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（1）卖方出具的交货清单正本一份；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（2）买方签署的收货清单正本一份；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（3）制造商出具的出厂质量合格证正本一份；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（4）合同材料验收证书或进度款支付函正本一份；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（5）合同价格100%金额的增值税发票正本一份。</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3.2.3 结清款</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全部合同材料质量保证期届满后，买方在收到卖方提交的由买方签署的质量保证期届满证书并经审核无误后28日内，向卖方支付合同价格5%的</w:t>
      </w:r>
      <w:r>
        <w:rPr>
          <w:rFonts w:ascii="Times New Roman" w:hAnsi="Times New Roman"/>
          <w:color w:val="auto"/>
          <w:highlight w:val="none"/>
        </w:rPr>
        <w:t>结清款</w:t>
      </w:r>
      <w:r>
        <w:rPr>
          <w:rFonts w:ascii="Times New Roman" w:hAnsi="Times New Roman"/>
          <w:color w:val="auto"/>
          <w:szCs w:val="21"/>
          <w:highlight w:val="none"/>
        </w:rPr>
        <w:t>。</w:t>
      </w:r>
    </w:p>
    <w:p>
      <w:pPr>
        <w:spacing w:line="240" w:lineRule="auto"/>
        <w:ind w:firstLine="137"/>
        <w:outlineLvl w:val="2"/>
        <w:rPr>
          <w:rFonts w:ascii="Times New Roman" w:hAnsi="Times New Roman"/>
          <w:color w:val="auto"/>
          <w:highlight w:val="none"/>
        </w:rPr>
      </w:pPr>
      <w:bookmarkStart w:id="548" w:name="_Toc20341"/>
      <w:bookmarkStart w:id="549" w:name="_Toc492288486"/>
      <w:r>
        <w:rPr>
          <w:rFonts w:ascii="Times New Roman" w:hAnsi="Times New Roman"/>
          <w:color w:val="auto"/>
          <w:highlight w:val="none"/>
        </w:rPr>
        <w:t xml:space="preserve">3.3 </w:t>
      </w:r>
      <w:r>
        <w:rPr>
          <w:rFonts w:hint="default" w:ascii="Times New Roman" w:hAnsi="Times New Roman"/>
          <w:color w:val="auto"/>
          <w:highlight w:val="none"/>
        </w:rPr>
        <w:t>买方扣款的权利</w:t>
      </w:r>
      <w:bookmarkEnd w:id="548"/>
      <w:bookmarkEnd w:id="549"/>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当卖方应向买方支付合同项下的违约金或赔偿金时，买方有权从上述任何一笔应付款中予以直接扣除和（或）兑付履约保证金。</w:t>
      </w:r>
    </w:p>
    <w:p>
      <w:pPr>
        <w:pStyle w:val="3"/>
        <w:rPr>
          <w:rFonts w:ascii="Times New Roman" w:hAnsi="Times New Roman"/>
          <w:bCs/>
          <w:color w:val="auto"/>
          <w:szCs w:val="32"/>
          <w:highlight w:val="none"/>
        </w:rPr>
      </w:pPr>
      <w:bookmarkStart w:id="550" w:name="_Toc492288487"/>
      <w:bookmarkStart w:id="551" w:name="_Toc13613"/>
      <w:r>
        <w:rPr>
          <w:rFonts w:ascii="Times New Roman" w:hAnsi="Times New Roman"/>
          <w:bCs/>
          <w:color w:val="auto"/>
          <w:szCs w:val="32"/>
          <w:highlight w:val="none"/>
        </w:rPr>
        <w:t>4. 包装、标记、运输和交付</w:t>
      </w:r>
      <w:bookmarkEnd w:id="550"/>
      <w:bookmarkEnd w:id="551"/>
    </w:p>
    <w:p>
      <w:pPr>
        <w:spacing w:line="240" w:lineRule="auto"/>
        <w:ind w:firstLine="137"/>
        <w:outlineLvl w:val="2"/>
        <w:rPr>
          <w:rFonts w:ascii="Times New Roman" w:hAnsi="Times New Roman"/>
          <w:color w:val="auto"/>
          <w:highlight w:val="none"/>
        </w:rPr>
      </w:pPr>
      <w:bookmarkStart w:id="552" w:name="_Toc492288488"/>
      <w:bookmarkStart w:id="553" w:name="_Toc32264"/>
      <w:r>
        <w:rPr>
          <w:rFonts w:ascii="Times New Roman" w:hAnsi="Times New Roman"/>
          <w:color w:val="auto"/>
          <w:highlight w:val="none"/>
        </w:rPr>
        <w:t xml:space="preserve">4.1 </w:t>
      </w:r>
      <w:r>
        <w:rPr>
          <w:rFonts w:hint="default" w:ascii="Times New Roman" w:hAnsi="Times New Roman"/>
          <w:color w:val="auto"/>
          <w:highlight w:val="none"/>
        </w:rPr>
        <w:t>包装</w:t>
      </w:r>
      <w:bookmarkEnd w:id="552"/>
      <w:bookmarkEnd w:id="553"/>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4.1.1卖方应对合同材料进行妥善包装，以满足合同材料运至施工场地及在施工场地保管的需要。包装应采取防潮、防晒、防锈、防腐蚀、防震动及防止其它损坏的必要保护措施，从而保护合同材料能够经受多次搬运、装卸、长途运输并适宜保管。</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4.1.2 除专用合同条款另有约定外，买方无需将包装物退还给卖方。</w:t>
      </w:r>
    </w:p>
    <w:p>
      <w:pPr>
        <w:spacing w:line="240" w:lineRule="auto"/>
        <w:ind w:firstLine="137"/>
        <w:outlineLvl w:val="2"/>
        <w:rPr>
          <w:rFonts w:ascii="Times New Roman" w:hAnsi="Times New Roman"/>
          <w:color w:val="auto"/>
          <w:highlight w:val="none"/>
        </w:rPr>
      </w:pPr>
      <w:bookmarkStart w:id="554" w:name="_Toc15072"/>
      <w:bookmarkStart w:id="555" w:name="_Toc492288489"/>
      <w:r>
        <w:rPr>
          <w:rFonts w:ascii="Times New Roman" w:hAnsi="Times New Roman"/>
          <w:color w:val="auto"/>
          <w:highlight w:val="none"/>
        </w:rPr>
        <w:t xml:space="preserve">4.2 </w:t>
      </w:r>
      <w:r>
        <w:rPr>
          <w:rFonts w:hint="default" w:ascii="Times New Roman" w:hAnsi="Times New Roman"/>
          <w:color w:val="auto"/>
          <w:highlight w:val="none"/>
        </w:rPr>
        <w:t>标记</w:t>
      </w:r>
      <w:bookmarkEnd w:id="554"/>
      <w:bookmarkEnd w:id="555"/>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4.2.1</w:t>
      </w:r>
      <w:r>
        <w:rPr>
          <w:rFonts w:hint="default" w:ascii="Times New Roman" w:hAnsi="Times New Roman"/>
          <w:color w:val="auto"/>
          <w:szCs w:val="21"/>
          <w:highlight w:val="none"/>
        </w:rPr>
        <w:t xml:space="preserve"> </w:t>
      </w:r>
      <w:r>
        <w:rPr>
          <w:rFonts w:ascii="Times New Roman" w:hAnsi="Times New Roman"/>
          <w:color w:val="auto"/>
          <w:szCs w:val="21"/>
          <w:highlight w:val="none"/>
        </w:rPr>
        <w:t>除专用合同条款另有约定外，卖方应按合同约定在材料包装上以不可擦除的、明显的方式作出必要的标记。</w:t>
      </w:r>
    </w:p>
    <w:p>
      <w:pPr>
        <w:spacing w:line="360" w:lineRule="auto"/>
        <w:ind w:firstLine="480" w:firstLineChars="200"/>
        <w:rPr>
          <w:rFonts w:ascii="Times New Roman" w:hAnsi="Times New Roman"/>
          <w:color w:val="auto"/>
          <w:highlight w:val="none"/>
        </w:rPr>
      </w:pPr>
      <w:r>
        <w:rPr>
          <w:rFonts w:ascii="Times New Roman" w:hAnsi="Times New Roman"/>
          <w:color w:val="auto"/>
          <w:szCs w:val="21"/>
          <w:highlight w:val="none"/>
        </w:rPr>
        <w:t>4.2.2 根据合同材料的特点和运输、保管的不同要求，卖方应对合同材料清楚地标注</w:t>
      </w:r>
      <w:r>
        <w:rPr>
          <w:rFonts w:hint="eastAsia" w:ascii="宋体" w:hAnsi="宋体" w:eastAsia="宋体" w:cs="宋体"/>
          <w:color w:val="auto"/>
          <w:szCs w:val="21"/>
          <w:highlight w:val="none"/>
        </w:rPr>
        <w:t>“</w:t>
      </w:r>
      <w:r>
        <w:rPr>
          <w:rFonts w:ascii="Times New Roman" w:hAnsi="Times New Roman"/>
          <w:color w:val="auto"/>
          <w:szCs w:val="21"/>
          <w:highlight w:val="none"/>
        </w:rPr>
        <w:t>小心轻放</w:t>
      </w:r>
      <w:r>
        <w:rPr>
          <w:rFonts w:hint="eastAsia" w:ascii="宋体" w:hAnsi="宋体" w:eastAsia="宋体" w:cs="宋体"/>
          <w:color w:val="auto"/>
          <w:szCs w:val="21"/>
          <w:highlight w:val="none"/>
        </w:rPr>
        <w:t>”</w:t>
      </w:r>
      <w:r>
        <w:rPr>
          <w:rFonts w:ascii="Times New Roman" w:hAnsi="Times New Roman"/>
          <w:color w:val="auto"/>
          <w:szCs w:val="21"/>
          <w:highlight w:val="none"/>
        </w:rPr>
        <w:t>、</w:t>
      </w:r>
      <w:r>
        <w:rPr>
          <w:rFonts w:hint="eastAsia" w:ascii="宋体" w:hAnsi="宋体" w:eastAsia="宋体" w:cs="宋体"/>
          <w:color w:val="auto"/>
          <w:szCs w:val="21"/>
          <w:highlight w:val="none"/>
        </w:rPr>
        <w:t>“</w:t>
      </w:r>
      <w:r>
        <w:rPr>
          <w:rFonts w:ascii="Times New Roman" w:hAnsi="Times New Roman"/>
          <w:color w:val="auto"/>
          <w:szCs w:val="21"/>
          <w:highlight w:val="none"/>
        </w:rPr>
        <w:t>此端朝上，请勿倒置</w:t>
      </w:r>
      <w:r>
        <w:rPr>
          <w:rFonts w:hint="eastAsia" w:ascii="宋体" w:hAnsi="宋体" w:eastAsia="宋体" w:cs="宋体"/>
          <w:color w:val="auto"/>
          <w:szCs w:val="21"/>
          <w:highlight w:val="none"/>
        </w:rPr>
        <w:t>”</w:t>
      </w:r>
      <w:r>
        <w:rPr>
          <w:rFonts w:ascii="Times New Roman" w:hAnsi="Times New Roman"/>
          <w:color w:val="auto"/>
          <w:szCs w:val="21"/>
          <w:highlight w:val="none"/>
        </w:rPr>
        <w:t>、</w:t>
      </w:r>
      <w:r>
        <w:rPr>
          <w:rFonts w:hint="eastAsia" w:ascii="宋体" w:hAnsi="宋体" w:eastAsia="宋体" w:cs="宋体"/>
          <w:color w:val="auto"/>
          <w:szCs w:val="21"/>
          <w:highlight w:val="none"/>
        </w:rPr>
        <w:t>“</w:t>
      </w:r>
      <w:r>
        <w:rPr>
          <w:rFonts w:ascii="Times New Roman" w:hAnsi="Times New Roman"/>
          <w:color w:val="auto"/>
          <w:szCs w:val="21"/>
          <w:highlight w:val="none"/>
        </w:rPr>
        <w:t>保持干燥</w:t>
      </w:r>
      <w:r>
        <w:rPr>
          <w:rFonts w:hint="eastAsia" w:ascii="宋体" w:hAnsi="宋体" w:eastAsia="宋体" w:cs="宋体"/>
          <w:color w:val="auto"/>
          <w:szCs w:val="21"/>
          <w:highlight w:val="none"/>
        </w:rPr>
        <w:t>”</w:t>
      </w:r>
      <w:r>
        <w:rPr>
          <w:rFonts w:ascii="Times New Roman" w:hAnsi="Times New Roman"/>
          <w:color w:val="auto"/>
          <w:szCs w:val="21"/>
          <w:highlight w:val="none"/>
        </w:rPr>
        <w:t>等字样和其他适当标记。</w:t>
      </w:r>
      <w:r>
        <w:rPr>
          <w:rFonts w:ascii="Times New Roman" w:hAnsi="Times New Roman"/>
          <w:color w:val="auto"/>
          <w:highlight w:val="none"/>
        </w:rPr>
        <w:t>如果合同材料中含有易燃易爆物品、腐蚀物品、放射性物质等危险品，卖方应标明危险品标志。</w:t>
      </w:r>
    </w:p>
    <w:p>
      <w:pPr>
        <w:spacing w:line="240" w:lineRule="auto"/>
        <w:ind w:firstLine="137"/>
        <w:outlineLvl w:val="2"/>
        <w:rPr>
          <w:rFonts w:ascii="Times New Roman" w:hAnsi="Times New Roman"/>
          <w:color w:val="auto"/>
          <w:highlight w:val="none"/>
        </w:rPr>
      </w:pPr>
      <w:bookmarkStart w:id="556" w:name="_Toc492288490"/>
      <w:bookmarkStart w:id="557" w:name="_Toc28110"/>
      <w:r>
        <w:rPr>
          <w:rFonts w:ascii="Times New Roman" w:hAnsi="Times New Roman"/>
          <w:color w:val="auto"/>
          <w:highlight w:val="none"/>
        </w:rPr>
        <w:t xml:space="preserve">4.3 </w:t>
      </w:r>
      <w:r>
        <w:rPr>
          <w:rFonts w:hint="default" w:ascii="Times New Roman" w:hAnsi="Times New Roman"/>
          <w:color w:val="auto"/>
          <w:highlight w:val="none"/>
        </w:rPr>
        <w:t>运输</w:t>
      </w:r>
      <w:bookmarkEnd w:id="556"/>
      <w:bookmarkEnd w:id="557"/>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4.3.1 卖方应自行选择适宜的运输工具及线路安排合同材料运输。</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4.3.2 除专用合同条款另有约定外，卖方应在合同材料预计启运7日前，将合同材料名称、装运材料数量、重量、体积（用m</w:t>
      </w:r>
      <w:r>
        <w:rPr>
          <w:rFonts w:ascii="Times New Roman" w:hAnsi="Times New Roman"/>
          <w:color w:val="auto"/>
          <w:szCs w:val="21"/>
          <w:highlight w:val="none"/>
          <w:vertAlign w:val="superscript"/>
        </w:rPr>
        <w:t>3</w:t>
      </w:r>
      <w:r>
        <w:rPr>
          <w:rFonts w:ascii="Times New Roman" w:hAnsi="Times New Roman"/>
          <w:color w:val="auto"/>
          <w:szCs w:val="21"/>
          <w:highlight w:val="none"/>
        </w:rPr>
        <w:t>表示）、合同材料单价、总金额、运输方式、预计交付日期和合同材料在装卸、保管中的注意事项等预通知买方，并在合同材料启运后24小时之内正式通知买方。</w:t>
      </w:r>
    </w:p>
    <w:p>
      <w:pPr>
        <w:spacing w:line="360" w:lineRule="auto"/>
        <w:ind w:firstLine="420"/>
        <w:outlineLvl w:val="9"/>
        <w:rPr>
          <w:rFonts w:ascii="Times New Roman" w:hAnsi="Times New Roman" w:eastAsia="黑体"/>
          <w:b/>
          <w:bCs/>
          <w:color w:val="auto"/>
          <w:sz w:val="32"/>
          <w:szCs w:val="32"/>
          <w:highlight w:val="none"/>
        </w:rPr>
      </w:pPr>
      <w:r>
        <w:rPr>
          <w:rFonts w:ascii="Times New Roman" w:hAnsi="Times New Roman"/>
          <w:color w:val="auto"/>
          <w:szCs w:val="21"/>
          <w:highlight w:val="none"/>
        </w:rPr>
        <w:t>4.3.3卖方在根据</w:t>
      </w:r>
      <w:r>
        <w:rPr>
          <w:rFonts w:hint="default" w:ascii="Times New Roman" w:hAnsi="Times New Roman"/>
          <w:color w:val="auto"/>
          <w:szCs w:val="21"/>
          <w:highlight w:val="none"/>
        </w:rPr>
        <w:t>第</w:t>
      </w:r>
      <w:r>
        <w:rPr>
          <w:rFonts w:ascii="Times New Roman" w:hAnsi="Times New Roman"/>
          <w:color w:val="auto"/>
          <w:szCs w:val="21"/>
          <w:highlight w:val="none"/>
        </w:rPr>
        <w:t>4.3.2项进行通知时，如果合同材料中包括单个包装超大和（或）超重的，卖方应将超大</w:t>
      </w:r>
      <w:r>
        <w:rPr>
          <w:rFonts w:ascii="Times New Roman" w:hAnsi="Times New Roman"/>
          <w:color w:val="auto"/>
          <w:highlight w:val="none"/>
        </w:rPr>
        <w:t>和（或）</w:t>
      </w:r>
      <w:r>
        <w:rPr>
          <w:rFonts w:ascii="Times New Roman" w:hAnsi="Times New Roman"/>
          <w:color w:val="auto"/>
          <w:szCs w:val="21"/>
          <w:highlight w:val="none"/>
        </w:rPr>
        <w:t>超重的每个包装的重量和尺寸通知买方；如果合同材料中包括</w:t>
      </w:r>
      <w:r>
        <w:rPr>
          <w:rFonts w:ascii="Times New Roman" w:hAnsi="Times New Roman"/>
          <w:color w:val="auto"/>
          <w:highlight w:val="none"/>
        </w:rPr>
        <w:t>易燃易爆物品、腐蚀物品、放射性物质等危险品，则危险品的品名、性质、</w:t>
      </w:r>
      <w:r>
        <w:rPr>
          <w:rFonts w:ascii="Times New Roman" w:hAnsi="Times New Roman"/>
          <w:color w:val="auto"/>
          <w:szCs w:val="21"/>
          <w:highlight w:val="none"/>
        </w:rPr>
        <w:t>在装卸、保管方面的特殊要求、注意事项和处理意外情况的方法等，也应一并通知买方。</w:t>
      </w:r>
    </w:p>
    <w:p>
      <w:pPr>
        <w:spacing w:line="240" w:lineRule="auto"/>
        <w:ind w:firstLine="137"/>
        <w:outlineLvl w:val="2"/>
        <w:rPr>
          <w:rFonts w:ascii="Times New Roman" w:hAnsi="Times New Roman"/>
          <w:color w:val="auto"/>
          <w:highlight w:val="none"/>
        </w:rPr>
      </w:pPr>
      <w:bookmarkStart w:id="558" w:name="_Toc492288491"/>
      <w:bookmarkStart w:id="559" w:name="_Toc18831"/>
      <w:r>
        <w:rPr>
          <w:rFonts w:ascii="Times New Roman" w:hAnsi="Times New Roman"/>
          <w:color w:val="auto"/>
          <w:highlight w:val="none"/>
        </w:rPr>
        <w:t xml:space="preserve">4.4 </w:t>
      </w:r>
      <w:r>
        <w:rPr>
          <w:rFonts w:hint="default" w:ascii="Times New Roman" w:hAnsi="Times New Roman"/>
          <w:color w:val="auto"/>
          <w:highlight w:val="none"/>
        </w:rPr>
        <w:t>交付</w:t>
      </w:r>
      <w:bookmarkEnd w:id="558"/>
      <w:bookmarkEnd w:id="559"/>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4.4.1</w:t>
      </w:r>
      <w:r>
        <w:rPr>
          <w:rFonts w:hint="default" w:ascii="Times New Roman" w:hAnsi="Times New Roman"/>
          <w:color w:val="auto"/>
          <w:szCs w:val="21"/>
          <w:highlight w:val="none"/>
        </w:rPr>
        <w:t xml:space="preserve"> </w:t>
      </w:r>
      <w:r>
        <w:rPr>
          <w:rFonts w:ascii="Times New Roman" w:hAnsi="Times New Roman"/>
          <w:color w:val="auto"/>
          <w:szCs w:val="21"/>
          <w:highlight w:val="none"/>
        </w:rPr>
        <w:t>除专用合同条款另有约定外，卖方应根据合同约定的交付时间和批次在施工场地卸货后将合同材料交付给买方，买方对卖方交付的合同材料的外观及件数进行清点核验后应签发收货清单。买方签发收货清单不代表对合同材料的接受，双方还应按合同约定进行后续的检验和验收。</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4.4.2 合同材料的所有权和风险自交付时起由卖方转移至买方，合同</w:t>
      </w:r>
      <w:r>
        <w:rPr>
          <w:rFonts w:ascii="Times New Roman" w:hAnsi="Times New Roman"/>
          <w:color w:val="auto"/>
          <w:highlight w:val="none"/>
        </w:rPr>
        <w:t>材料交付给买方</w:t>
      </w:r>
      <w:r>
        <w:rPr>
          <w:rFonts w:ascii="Times New Roman" w:hAnsi="Times New Roman"/>
          <w:color w:val="auto"/>
          <w:szCs w:val="21"/>
          <w:highlight w:val="none"/>
        </w:rPr>
        <w:t>之前包括运输在内的所有风险均由卖方承担。</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4.4.3</w:t>
      </w:r>
      <w:r>
        <w:rPr>
          <w:rFonts w:hint="default" w:ascii="Times New Roman" w:hAnsi="Times New Roman"/>
          <w:color w:val="auto"/>
          <w:szCs w:val="21"/>
          <w:highlight w:val="none"/>
        </w:rPr>
        <w:t xml:space="preserve"> </w:t>
      </w:r>
      <w:r>
        <w:rPr>
          <w:rFonts w:ascii="Times New Roman" w:hAnsi="Times New Roman"/>
          <w:color w:val="auto"/>
          <w:szCs w:val="21"/>
          <w:highlight w:val="none"/>
        </w:rPr>
        <w:t>除专用合同条款另有约定外，买方如果发现技术资料存在短缺和（或）损坏，卖方应在收到买方的通知后7日内免费补齐短缺和（或）损坏的部分。如果买方发现卖方提供的技术资料有误，卖方应在收到买方通知后7日内免费替换。如由于买方原因导致技术资料丢失和（或）损坏，卖方应在收到买方的通知后7日内补齐丢失（和）或损坏的部分，但买方应向卖方支付合理的复制、邮寄费用。</w:t>
      </w:r>
    </w:p>
    <w:p>
      <w:pPr>
        <w:pStyle w:val="3"/>
        <w:rPr>
          <w:rFonts w:ascii="Times New Roman" w:hAnsi="Times New Roman"/>
          <w:bCs/>
          <w:color w:val="auto"/>
          <w:szCs w:val="32"/>
          <w:highlight w:val="none"/>
        </w:rPr>
      </w:pPr>
      <w:bookmarkStart w:id="560" w:name="_Toc492288492"/>
      <w:bookmarkStart w:id="561" w:name="_Toc1504"/>
      <w:r>
        <w:rPr>
          <w:rFonts w:ascii="Times New Roman" w:hAnsi="Times New Roman"/>
          <w:bCs/>
          <w:color w:val="auto"/>
          <w:szCs w:val="32"/>
          <w:highlight w:val="none"/>
        </w:rPr>
        <w:t>5. 检验和验收</w:t>
      </w:r>
      <w:bookmarkEnd w:id="560"/>
      <w:bookmarkEnd w:id="561"/>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5.1 合同材料交付前，卖方应对其进行全面检验，并在交付合同材料时向买方提交合同材料的质量合格证书。</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5.2 合同材料交付后，买方应在专用合同条款约定的期限内安排对合同材料的规格、质量等进行检验，检验按照专用合同条款约定的下列一种方式进行：</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（1）由买方对合同材料进行检验；</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（2）由专用合同条款约定的拥有资质的第三方检验机构对合同材料进行检验；</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（3）专用合同条款约定的其他方式。</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5.3 买方应在检验日期3日前将检验的时间和地点通知卖方，卖方应自负费用派遣代表参加检验。若卖方未按买方通知到场参加检验，则检验可正常进行，卖方应接受对合同材料的检验结果。</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5.4 合同材料经检验合格，</w:t>
      </w:r>
      <w:r>
        <w:rPr>
          <w:rFonts w:ascii="Times New Roman" w:hAnsi="Times New Roman"/>
          <w:color w:val="auto"/>
          <w:szCs w:val="24"/>
          <w:highlight w:val="none"/>
        </w:rPr>
        <w:t>买卖双方应</w:t>
      </w:r>
      <w:r>
        <w:rPr>
          <w:rFonts w:ascii="Times New Roman" w:hAnsi="Times New Roman"/>
          <w:color w:val="auto"/>
          <w:szCs w:val="21"/>
          <w:highlight w:val="none"/>
        </w:rPr>
        <w:t>签署合同材料验收证书一式二份，双方各持一份。</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5.5 若</w:t>
      </w:r>
      <w:r>
        <w:rPr>
          <w:rFonts w:ascii="Times New Roman" w:hAnsi="Times New Roman"/>
          <w:color w:val="auto"/>
          <w:highlight w:val="none"/>
        </w:rPr>
        <w:t>合同约定了合同材料的最低质量标准，且合同材料经检验达到了合同约定的</w:t>
      </w:r>
      <w:r>
        <w:rPr>
          <w:rFonts w:ascii="Times New Roman" w:hAnsi="Times New Roman"/>
          <w:color w:val="auto"/>
          <w:szCs w:val="21"/>
          <w:highlight w:val="none"/>
        </w:rPr>
        <w:t>最低质量标准的，视为合同材料符合质量标准，买方应验收合同材料，但卖方应按专用合同条款的约定进行减价或向买方支付补偿金。</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5.6</w:t>
      </w:r>
      <w:r>
        <w:rPr>
          <w:rFonts w:hint="default" w:ascii="Times New Roman" w:hAnsi="Times New Roman"/>
          <w:color w:val="auto"/>
          <w:szCs w:val="21"/>
          <w:highlight w:val="none"/>
        </w:rPr>
        <w:t xml:space="preserve"> </w:t>
      </w:r>
      <w:r>
        <w:rPr>
          <w:rFonts w:ascii="Times New Roman" w:hAnsi="Times New Roman"/>
          <w:color w:val="auto"/>
          <w:szCs w:val="21"/>
          <w:highlight w:val="none"/>
        </w:rPr>
        <w:t>合同材料由第三方检验机构进行检验的，第三方检验机构的检验结果对双方均具有约束力。</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5.7</w:t>
      </w:r>
      <w:r>
        <w:rPr>
          <w:rFonts w:hint="default" w:ascii="Times New Roman" w:hAnsi="Times New Roman"/>
          <w:color w:val="auto"/>
          <w:szCs w:val="21"/>
          <w:highlight w:val="none"/>
        </w:rPr>
        <w:t xml:space="preserve"> </w:t>
      </w:r>
      <w:r>
        <w:rPr>
          <w:rFonts w:ascii="Times New Roman" w:hAnsi="Times New Roman"/>
          <w:color w:val="auto"/>
          <w:szCs w:val="21"/>
          <w:highlight w:val="none"/>
        </w:rPr>
        <w:t>除专用合同条款另有约定外，买方在全部合同材料交付后3个月内未安排检验和验收的，卖方可签署</w:t>
      </w:r>
      <w:r>
        <w:rPr>
          <w:rStyle w:val="36"/>
          <w:rFonts w:ascii="Times New Roman" w:hAnsi="Times New Roman"/>
          <w:color w:val="auto"/>
          <w:highlight w:val="none"/>
        </w:rPr>
        <w:t>进度款支付函提交买方，如买方在收到后7日内未提出书面异议，则进度款支付函自签署之日起生效。进度款支付函</w:t>
      </w:r>
      <w:r>
        <w:rPr>
          <w:rFonts w:ascii="Times New Roman" w:hAnsi="Times New Roman"/>
          <w:color w:val="auto"/>
          <w:szCs w:val="21"/>
          <w:highlight w:val="none"/>
        </w:rPr>
        <w:t>的生效不免除卖方继续配合买方进行检验和验收的义务，合同材料验收后双方应签署合同材料验收证书。</w:t>
      </w:r>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5.8 合同材料验收证书的签署不能免除卖方在质量保证期内对合同材料应承担的保证责任。</w:t>
      </w:r>
    </w:p>
    <w:p>
      <w:pPr>
        <w:pStyle w:val="3"/>
        <w:rPr>
          <w:rFonts w:ascii="Times New Roman" w:hAnsi="Times New Roman"/>
          <w:bCs/>
          <w:color w:val="auto"/>
          <w:szCs w:val="32"/>
          <w:highlight w:val="none"/>
        </w:rPr>
      </w:pPr>
      <w:bookmarkStart w:id="562" w:name="_Toc492288493"/>
      <w:bookmarkStart w:id="563" w:name="_Toc6818"/>
      <w:r>
        <w:rPr>
          <w:rFonts w:ascii="Times New Roman" w:hAnsi="Times New Roman"/>
          <w:bCs/>
          <w:color w:val="auto"/>
          <w:szCs w:val="32"/>
          <w:highlight w:val="none"/>
        </w:rPr>
        <w:t>6. 相关服务</w:t>
      </w:r>
      <w:bookmarkEnd w:id="562"/>
      <w:bookmarkEnd w:id="563"/>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6.1</w:t>
      </w:r>
      <w:r>
        <w:rPr>
          <w:rFonts w:hint="default" w:ascii="Times New Roman" w:hAnsi="Times New Roman"/>
          <w:color w:val="auto"/>
          <w:szCs w:val="21"/>
          <w:highlight w:val="none"/>
        </w:rPr>
        <w:t xml:space="preserve"> </w:t>
      </w:r>
      <w:r>
        <w:rPr>
          <w:rFonts w:ascii="Times New Roman" w:hAnsi="Times New Roman"/>
          <w:color w:val="auto"/>
          <w:szCs w:val="21"/>
          <w:highlight w:val="none"/>
        </w:rPr>
        <w:t>卖方应配备充足的技术人员，并根据买方要求，通过进行电话联系或派遣技术熟练、称职的技术人员到施工场地为买方提供服务。如果卖方技术人员不合格，买方有权要求卖方撤换，因撤换而产生的费用应由卖方承担。</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4"/>
          <w:highlight w:val="none"/>
        </w:rPr>
        <w:t>6.2</w:t>
      </w:r>
      <w:r>
        <w:rPr>
          <w:rFonts w:hint="default" w:ascii="Times New Roman" w:hAnsi="Times New Roman"/>
          <w:color w:val="auto"/>
          <w:szCs w:val="24"/>
          <w:highlight w:val="none"/>
        </w:rPr>
        <w:t xml:space="preserve"> </w:t>
      </w:r>
      <w:r>
        <w:rPr>
          <w:rFonts w:ascii="Times New Roman" w:hAnsi="Times New Roman"/>
          <w:color w:val="auto"/>
          <w:szCs w:val="21"/>
          <w:highlight w:val="none"/>
        </w:rPr>
        <w:t>买方应免费为卖方技术人员提供工作条件及便利，包括但不限于必要的办公场所、技术资料及出入许可等。除专用合同条款另有约定外，卖方技术人员的交通、食宿费用由卖方承担。</w:t>
      </w:r>
    </w:p>
    <w:p>
      <w:pPr>
        <w:pStyle w:val="3"/>
        <w:rPr>
          <w:rFonts w:ascii="Times New Roman" w:hAnsi="Times New Roman"/>
          <w:bCs/>
          <w:color w:val="auto"/>
          <w:szCs w:val="32"/>
          <w:highlight w:val="none"/>
        </w:rPr>
      </w:pPr>
      <w:bookmarkStart w:id="564" w:name="_Toc5610"/>
      <w:bookmarkStart w:id="565" w:name="_Toc492288494"/>
      <w:r>
        <w:rPr>
          <w:rFonts w:ascii="Times New Roman" w:hAnsi="Times New Roman"/>
          <w:bCs/>
          <w:color w:val="auto"/>
          <w:szCs w:val="32"/>
          <w:highlight w:val="none"/>
        </w:rPr>
        <w:t>7. 质量保证期</w:t>
      </w:r>
      <w:bookmarkEnd w:id="564"/>
      <w:bookmarkEnd w:id="565"/>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7.1 除专用合同条款和（或）供货要求等合同文件另有约定外，合同材料的质量保证期自合同材料验收之日起算，至合同材料验收证书或</w:t>
      </w:r>
      <w:r>
        <w:rPr>
          <w:rStyle w:val="36"/>
          <w:rFonts w:ascii="Times New Roman" w:hAnsi="Times New Roman"/>
          <w:color w:val="auto"/>
          <w:highlight w:val="none"/>
        </w:rPr>
        <w:t>进度款支付函</w:t>
      </w:r>
      <w:r>
        <w:rPr>
          <w:rFonts w:ascii="Times New Roman" w:hAnsi="Times New Roman"/>
          <w:color w:val="auto"/>
          <w:szCs w:val="21"/>
          <w:highlight w:val="none"/>
        </w:rPr>
        <w:t>签署之日起12个月止（以先到的为准）。</w:t>
      </w:r>
    </w:p>
    <w:p>
      <w:pPr>
        <w:spacing w:line="360" w:lineRule="auto"/>
        <w:ind w:firstLine="435"/>
        <w:rPr>
          <w:rFonts w:ascii="Times New Roman" w:hAnsi="Times New Roman"/>
          <w:color w:val="auto"/>
          <w:szCs w:val="21"/>
          <w:highlight w:val="none"/>
        </w:rPr>
      </w:pPr>
      <w:r>
        <w:rPr>
          <w:rFonts w:ascii="Times New Roman" w:hAnsi="Times New Roman"/>
          <w:color w:val="auto"/>
          <w:szCs w:val="21"/>
          <w:highlight w:val="none"/>
        </w:rPr>
        <w:t>7.2 除非因买方使用不当，合同材料在质量保证期内如破损、变质或被发现存在任何质量问题，卖方应负责对合同材料进行修补和退换。更换的合同材料的质量保证期应重新计算。</w:t>
      </w:r>
    </w:p>
    <w:p>
      <w:pPr>
        <w:spacing w:line="360" w:lineRule="auto"/>
        <w:ind w:firstLine="435"/>
        <w:rPr>
          <w:rFonts w:ascii="Times New Roman" w:hAnsi="Times New Roman"/>
          <w:color w:val="auto"/>
          <w:szCs w:val="21"/>
          <w:highlight w:val="none"/>
        </w:rPr>
      </w:pPr>
      <w:r>
        <w:rPr>
          <w:rFonts w:ascii="Times New Roman" w:hAnsi="Times New Roman"/>
          <w:color w:val="auto"/>
          <w:szCs w:val="21"/>
          <w:highlight w:val="none"/>
        </w:rPr>
        <w:t>7.3 质量保证期届满且卖方按照合同约定履行完毕质量保证期内义务后，买方应在7日内向卖方出具合同材料的质量保证期届满证书。</w:t>
      </w:r>
    </w:p>
    <w:p>
      <w:pPr>
        <w:spacing w:line="360" w:lineRule="auto"/>
        <w:ind w:firstLine="435"/>
        <w:rPr>
          <w:rFonts w:ascii="Times New Roman" w:hAnsi="Times New Roman"/>
          <w:color w:val="auto"/>
          <w:szCs w:val="21"/>
          <w:highlight w:val="none"/>
        </w:rPr>
      </w:pPr>
    </w:p>
    <w:p>
      <w:pPr>
        <w:pStyle w:val="3"/>
        <w:rPr>
          <w:rFonts w:ascii="Times New Roman" w:hAnsi="Times New Roman"/>
          <w:bCs/>
          <w:color w:val="auto"/>
          <w:szCs w:val="32"/>
          <w:highlight w:val="none"/>
        </w:rPr>
      </w:pPr>
      <w:bookmarkStart w:id="566" w:name="_Toc29528"/>
      <w:bookmarkStart w:id="567" w:name="_Toc492288495"/>
      <w:r>
        <w:rPr>
          <w:rFonts w:ascii="Times New Roman" w:hAnsi="Times New Roman"/>
          <w:bCs/>
          <w:color w:val="auto"/>
          <w:szCs w:val="32"/>
          <w:highlight w:val="none"/>
        </w:rPr>
        <w:t>8. 履约保证金</w:t>
      </w:r>
      <w:bookmarkEnd w:id="566"/>
      <w:bookmarkEnd w:id="567"/>
    </w:p>
    <w:p>
      <w:pPr>
        <w:spacing w:line="360" w:lineRule="auto"/>
        <w:ind w:firstLine="480" w:firstLineChars="200"/>
        <w:outlineLvl w:val="9"/>
        <w:rPr>
          <w:rFonts w:ascii="Times New Roman" w:hAnsi="Times New Roman"/>
          <w:color w:val="auto"/>
          <w:szCs w:val="21"/>
          <w:highlight w:val="none"/>
        </w:rPr>
      </w:pPr>
      <w:r>
        <w:rPr>
          <w:rFonts w:ascii="Times New Roman" w:hAnsi="Times New Roman"/>
          <w:color w:val="auto"/>
          <w:szCs w:val="21"/>
          <w:highlight w:val="none"/>
        </w:rPr>
        <w:t>除专用合同条款另有约定外，履约保证金自合同生效之日起生效，在合同材料验收证书或</w:t>
      </w:r>
      <w:r>
        <w:rPr>
          <w:rStyle w:val="36"/>
          <w:rFonts w:ascii="Times New Roman" w:hAnsi="Times New Roman"/>
          <w:color w:val="auto"/>
          <w:highlight w:val="none"/>
        </w:rPr>
        <w:t>进度款支付函</w:t>
      </w:r>
      <w:r>
        <w:rPr>
          <w:rFonts w:ascii="Times New Roman" w:hAnsi="Times New Roman"/>
          <w:color w:val="auto"/>
          <w:szCs w:val="21"/>
          <w:highlight w:val="none"/>
        </w:rPr>
        <w:t>签署之日起28日后失效。如果卖方不履行合同约定的义务或其履行不符合合同的约定，买方有权扣划相应金额的履约保证金。</w:t>
      </w:r>
    </w:p>
    <w:p>
      <w:pPr>
        <w:pStyle w:val="3"/>
        <w:rPr>
          <w:rFonts w:ascii="Times New Roman" w:hAnsi="Times New Roman"/>
          <w:bCs/>
          <w:color w:val="auto"/>
          <w:szCs w:val="32"/>
          <w:highlight w:val="none"/>
        </w:rPr>
      </w:pPr>
      <w:bookmarkStart w:id="568" w:name="_Toc492288496"/>
      <w:bookmarkStart w:id="569" w:name="_Toc14701"/>
      <w:r>
        <w:rPr>
          <w:rFonts w:ascii="Times New Roman" w:hAnsi="Times New Roman"/>
          <w:bCs/>
          <w:color w:val="auto"/>
          <w:szCs w:val="32"/>
          <w:highlight w:val="none"/>
        </w:rPr>
        <w:t>9. 保证</w:t>
      </w:r>
      <w:bookmarkEnd w:id="568"/>
      <w:bookmarkEnd w:id="569"/>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9.1 卖方保证其具有完全的能力履行本合同项下的全部义务。</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9.2</w:t>
      </w:r>
      <w:r>
        <w:rPr>
          <w:rFonts w:hint="default" w:ascii="Times New Roman" w:hAnsi="Times New Roman"/>
          <w:color w:val="auto"/>
          <w:szCs w:val="21"/>
          <w:highlight w:val="none"/>
        </w:rPr>
        <w:t xml:space="preserve"> </w:t>
      </w:r>
      <w:r>
        <w:rPr>
          <w:rFonts w:ascii="Times New Roman" w:hAnsi="Times New Roman"/>
          <w:color w:val="auto"/>
          <w:szCs w:val="21"/>
          <w:highlight w:val="none"/>
        </w:rPr>
        <w:t>卖方保证其所提供的合同材料及对合同的履行符合所有应适用的法律、行政法规、地方性法规、自治条例和单行条例、规章及其他规范性文件的强制性规定。</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9.3</w:t>
      </w:r>
      <w:r>
        <w:rPr>
          <w:rFonts w:hint="default" w:ascii="Times New Roman" w:hAnsi="Times New Roman"/>
          <w:color w:val="auto"/>
          <w:szCs w:val="21"/>
          <w:highlight w:val="none"/>
        </w:rPr>
        <w:t xml:space="preserve"> </w:t>
      </w:r>
      <w:r>
        <w:rPr>
          <w:rFonts w:ascii="Times New Roman" w:hAnsi="Times New Roman"/>
          <w:color w:val="auto"/>
          <w:szCs w:val="21"/>
          <w:highlight w:val="none"/>
        </w:rPr>
        <w:t>卖方保证其对合同材料的销售不损害任何第三方的合法权益和社会公众利益。任何第三方不会因卖方原因而基于所有权、抵押权、留置权或其他任何权利或事由对合同材料主张权利。</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9.4 卖方保证合同材料符合合同约定的规格、质量标准，并且全新、完整，能够安全使用，除非专用合同条款和（或）供货要求等合同文件另有约定。</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9.5</w:t>
      </w:r>
      <w:r>
        <w:rPr>
          <w:rFonts w:hint="default" w:ascii="Times New Roman" w:hAnsi="Times New Roman"/>
          <w:color w:val="auto"/>
          <w:szCs w:val="21"/>
          <w:highlight w:val="none"/>
        </w:rPr>
        <w:t xml:space="preserve"> </w:t>
      </w:r>
      <w:r>
        <w:rPr>
          <w:rFonts w:ascii="Times New Roman" w:hAnsi="Times New Roman"/>
          <w:color w:val="auto"/>
          <w:szCs w:val="21"/>
          <w:highlight w:val="none"/>
        </w:rPr>
        <w:t>卖方保证，卖方所提供的技术资料完整、清晰、准确，符合合同约定并且能够满足买方使用合同材料的需要。</w:t>
      </w:r>
    </w:p>
    <w:p>
      <w:pPr>
        <w:tabs>
          <w:tab w:val="left" w:pos="0"/>
          <w:tab w:val="decimal" w:pos="6240"/>
          <w:tab w:val="right" w:leader="dot" w:pos="10800"/>
        </w:tabs>
        <w:autoSpaceDE w:val="0"/>
        <w:autoSpaceDN w:val="0"/>
        <w:adjustRightInd w:val="0"/>
        <w:spacing w:line="360" w:lineRule="auto"/>
        <w:ind w:right="23"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9.6 </w:t>
      </w:r>
      <w:r>
        <w:rPr>
          <w:rFonts w:ascii="Times New Roman" w:hAnsi="Times New Roman"/>
          <w:color w:val="auto"/>
          <w:szCs w:val="24"/>
          <w:highlight w:val="none"/>
        </w:rPr>
        <w:t>卖方保证，在合同材料使用寿命期内，如果卖方发现合同材料存在足以危及人身、财产安全的缺陷，卖方将及时通知买方并及时采取修补、更换等措施消除缺陷。</w:t>
      </w:r>
    </w:p>
    <w:p>
      <w:pPr>
        <w:pStyle w:val="3"/>
        <w:rPr>
          <w:rFonts w:ascii="Times New Roman" w:hAnsi="Times New Roman"/>
          <w:color w:val="auto"/>
          <w:highlight w:val="none"/>
        </w:rPr>
      </w:pPr>
      <w:bookmarkStart w:id="570" w:name="_Toc492288497"/>
      <w:bookmarkStart w:id="571" w:name="_Toc10111"/>
      <w:r>
        <w:rPr>
          <w:rFonts w:ascii="Times New Roman" w:hAnsi="Times New Roman"/>
          <w:color w:val="auto"/>
          <w:highlight w:val="none"/>
        </w:rPr>
        <w:t>10. 违约责任</w:t>
      </w:r>
      <w:bookmarkEnd w:id="570"/>
      <w:bookmarkEnd w:id="571"/>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10.1 合同一方不履行合同义务、履行合同义务不符合约定或者违反合同项下所作保证的，应向对方承担继续履行、采取补救措施或者赔偿损失等违约责任。</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10.2 卖方未能按时交付合同材料的，应向买方支付迟延交货违约金。卖方支付迟延交货违约金，</w:t>
      </w:r>
      <w:r>
        <w:rPr>
          <w:rFonts w:ascii="Times New Roman" w:hAnsi="Times New Roman"/>
          <w:color w:val="auto"/>
          <w:szCs w:val="21"/>
          <w:highlight w:val="none"/>
        </w:rPr>
        <w:t>不能免除其继续交付合同材料的义务。</w:t>
      </w:r>
      <w:r>
        <w:rPr>
          <w:rFonts w:ascii="Times New Roman" w:hAnsi="Times New Roman"/>
          <w:color w:val="auto"/>
          <w:highlight w:val="none"/>
        </w:rPr>
        <w:t>除专用合同条款另有约定外，迟延交付违约金计算方法如下：</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延迟交付违约金=延迟交付材料金额×</w:t>
      </w:r>
      <w:r>
        <w:rPr>
          <w:rFonts w:ascii="Times New Roman" w:hAnsi="Times New Roman"/>
          <w:color w:val="auto"/>
          <w:highlight w:val="none"/>
        </w:rPr>
        <w:t>0.08%</w:t>
      </w:r>
      <w:r>
        <w:rPr>
          <w:rFonts w:ascii="Times New Roman" w:hAnsi="Times New Roman"/>
          <w:color w:val="auto"/>
          <w:szCs w:val="21"/>
          <w:highlight w:val="none"/>
        </w:rPr>
        <w:t>×延迟交货天数。</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rPr>
        <w:t>迟延交付违约金的最高限额为合同价格的10%。</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10.3</w:t>
      </w:r>
      <w:r>
        <w:rPr>
          <w:rFonts w:hint="default" w:ascii="Times New Roman" w:hAnsi="Times New Roman"/>
          <w:color w:val="auto"/>
          <w:highlight w:val="none"/>
        </w:rPr>
        <w:t xml:space="preserve"> </w:t>
      </w:r>
      <w:r>
        <w:rPr>
          <w:rFonts w:ascii="Times New Roman" w:hAnsi="Times New Roman"/>
          <w:color w:val="auto"/>
          <w:highlight w:val="none"/>
        </w:rPr>
        <w:t>买方未能按合同约定支付</w:t>
      </w:r>
      <w:r>
        <w:rPr>
          <w:rFonts w:hint="default" w:ascii="Times New Roman" w:hAnsi="Times New Roman"/>
          <w:color w:val="auto"/>
          <w:highlight w:val="none"/>
        </w:rPr>
        <w:t>合同</w:t>
      </w:r>
      <w:r>
        <w:rPr>
          <w:rFonts w:ascii="Times New Roman" w:hAnsi="Times New Roman"/>
          <w:color w:val="auto"/>
          <w:highlight w:val="none"/>
        </w:rPr>
        <w:t>价款</w:t>
      </w:r>
      <w:r>
        <w:rPr>
          <w:rFonts w:hint="default" w:ascii="Times New Roman" w:hAnsi="Times New Roman"/>
          <w:color w:val="auto"/>
          <w:highlight w:val="none"/>
        </w:rPr>
        <w:t>的</w:t>
      </w:r>
      <w:r>
        <w:rPr>
          <w:rFonts w:ascii="Times New Roman" w:hAnsi="Times New Roman"/>
          <w:color w:val="auto"/>
          <w:highlight w:val="none"/>
        </w:rPr>
        <w:t>，应向卖方支付延迟付款违约金</w:t>
      </w:r>
      <w:r>
        <w:rPr>
          <w:rFonts w:ascii="Times New Roman" w:hAnsi="Times New Roman"/>
          <w:color w:val="auto"/>
          <w:szCs w:val="21"/>
          <w:highlight w:val="none"/>
        </w:rPr>
        <w:t>。除专用合同条款另有约定外，迟延付款违约金的计算方法如下：</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延迟付款违约金=延迟付款金额×</w:t>
      </w:r>
      <w:r>
        <w:rPr>
          <w:rFonts w:ascii="Times New Roman" w:hAnsi="Times New Roman"/>
          <w:color w:val="auto"/>
          <w:highlight w:val="none"/>
        </w:rPr>
        <w:t>0.08%</w:t>
      </w:r>
      <w:r>
        <w:rPr>
          <w:rFonts w:ascii="Times New Roman" w:hAnsi="Times New Roman"/>
          <w:color w:val="auto"/>
          <w:szCs w:val="21"/>
          <w:highlight w:val="none"/>
        </w:rPr>
        <w:t>×延迟付款天数。</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迟延付款违约金的总额不得超过合同价格的10%。</w:t>
      </w:r>
    </w:p>
    <w:p>
      <w:pPr>
        <w:pStyle w:val="3"/>
        <w:rPr>
          <w:rFonts w:ascii="Times New Roman" w:hAnsi="Times New Roman"/>
          <w:color w:val="auto"/>
          <w:highlight w:val="none"/>
        </w:rPr>
      </w:pPr>
      <w:bookmarkStart w:id="572" w:name="_Toc492288498"/>
      <w:bookmarkStart w:id="573" w:name="_Toc18954"/>
      <w:r>
        <w:rPr>
          <w:rFonts w:ascii="Times New Roman" w:hAnsi="Times New Roman"/>
          <w:color w:val="auto"/>
          <w:highlight w:val="none"/>
        </w:rPr>
        <w:t>11. 合同的解除</w:t>
      </w:r>
      <w:bookmarkEnd w:id="572"/>
      <w:bookmarkEnd w:id="573"/>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除专用合同条款另有约定外，</w:t>
      </w:r>
      <w:r>
        <w:rPr>
          <w:rFonts w:ascii="Times New Roman" w:hAnsi="Times New Roman"/>
          <w:color w:val="auto"/>
          <w:highlight w:val="none"/>
        </w:rPr>
        <w:t>有下述情形之一，当事人可</w:t>
      </w:r>
      <w:r>
        <w:rPr>
          <w:rFonts w:ascii="Times New Roman" w:hAnsi="Times New Roman"/>
          <w:color w:val="auto"/>
          <w:szCs w:val="21"/>
          <w:highlight w:val="none"/>
        </w:rPr>
        <w:t>发出书面通知全部或部分地解除合同</w:t>
      </w:r>
      <w:r>
        <w:rPr>
          <w:rFonts w:ascii="Times New Roman" w:hAnsi="Times New Roman"/>
          <w:color w:val="auto"/>
          <w:highlight w:val="none"/>
        </w:rPr>
        <w:t>，</w:t>
      </w:r>
      <w:r>
        <w:rPr>
          <w:rFonts w:ascii="Times New Roman" w:hAnsi="Times New Roman"/>
          <w:color w:val="auto"/>
          <w:szCs w:val="21"/>
          <w:highlight w:val="none"/>
        </w:rPr>
        <w:t>合同自通知到达对方时全部或部分地解除：</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（1）合同一方当事人无法继续履行或明确表示不履行或实质上已停止履行合同；</w:t>
      </w:r>
    </w:p>
    <w:p>
      <w:pPr>
        <w:spacing w:line="360" w:lineRule="auto"/>
        <w:ind w:firstLine="480" w:firstLineChars="200"/>
        <w:rPr>
          <w:rFonts w:ascii="Times New Roman" w:hAnsi="Times New Roman"/>
          <w:color w:val="auto"/>
          <w:highlight w:val="none"/>
        </w:rPr>
      </w:pPr>
      <w:r>
        <w:rPr>
          <w:rFonts w:ascii="Times New Roman" w:hAnsi="Times New Roman"/>
          <w:color w:val="auto"/>
          <w:highlight w:val="none"/>
        </w:rPr>
        <w:t>（2）合同一方当事人</w:t>
      </w:r>
      <w:r>
        <w:rPr>
          <w:rFonts w:ascii="Times New Roman" w:hAnsi="Times New Roman"/>
          <w:color w:val="auto"/>
          <w:szCs w:val="21"/>
          <w:highlight w:val="none"/>
        </w:rPr>
        <w:t>需支付的违约金已达合同约定的最高限额；</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（3）合同材料未能达到质量标准，或在合同约定了最低质量标准时，不能达到最低质量标准；</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（4）合同一方当事人出现破产、清算、资不抵债、成为失信被执行人等可能丧失履约能力的情形，且未能提供令对方满意的履约保证金；</w:t>
      </w:r>
    </w:p>
    <w:p>
      <w:pPr>
        <w:spacing w:line="360" w:lineRule="auto"/>
        <w:ind w:firstLine="480" w:firstLineChars="200"/>
        <w:rPr>
          <w:rFonts w:ascii="Times New Roman" w:hAnsi="Times New Roman"/>
          <w:color w:val="auto"/>
          <w:highlight w:val="none"/>
        </w:rPr>
      </w:pPr>
      <w:r>
        <w:rPr>
          <w:rFonts w:ascii="Times New Roman" w:hAnsi="Times New Roman"/>
          <w:color w:val="auto"/>
          <w:szCs w:val="21"/>
          <w:highlight w:val="none"/>
        </w:rPr>
        <w:t>（5）因不可抗力不能实现合同目的。</w:t>
      </w:r>
    </w:p>
    <w:p>
      <w:pPr>
        <w:pStyle w:val="3"/>
        <w:rPr>
          <w:rFonts w:ascii="Times New Roman" w:hAnsi="Times New Roman"/>
          <w:bCs/>
          <w:color w:val="auto"/>
          <w:szCs w:val="32"/>
          <w:highlight w:val="none"/>
        </w:rPr>
      </w:pPr>
      <w:bookmarkStart w:id="574" w:name="_Toc492288499"/>
      <w:bookmarkStart w:id="575" w:name="_Toc21269"/>
      <w:r>
        <w:rPr>
          <w:rFonts w:ascii="Times New Roman" w:hAnsi="Times New Roman"/>
          <w:bCs/>
          <w:color w:val="auto"/>
          <w:szCs w:val="32"/>
          <w:highlight w:val="none"/>
        </w:rPr>
        <w:t>12. 争议的解决</w:t>
      </w:r>
      <w:bookmarkEnd w:id="574"/>
      <w:bookmarkEnd w:id="575"/>
    </w:p>
    <w:p>
      <w:pPr>
        <w:spacing w:line="360" w:lineRule="auto"/>
        <w:ind w:firstLine="480" w:firstLineChars="200"/>
        <w:rPr>
          <w:rFonts w:ascii="Times New Roman" w:hAnsi="Times New Roman"/>
          <w:color w:val="auto"/>
          <w:szCs w:val="21"/>
          <w:highlight w:val="none"/>
        </w:rPr>
      </w:pPr>
      <w:r>
        <w:rPr>
          <w:rFonts w:ascii="Times New Roman" w:hAnsi="Times New Roman"/>
          <w:color w:val="auto"/>
          <w:highlight w:val="none"/>
          <w:shd w:val="clear" w:color="auto" w:fill="FFFFFF"/>
        </w:rPr>
        <w:t>因本合同引起的或与本合同有关的任何争议,</w:t>
      </w:r>
      <w:r>
        <w:rPr>
          <w:rFonts w:ascii="Times New Roman" w:hAnsi="Times New Roman"/>
          <w:color w:val="auto"/>
          <w:szCs w:val="21"/>
          <w:highlight w:val="none"/>
        </w:rPr>
        <w:t>双方可通过友好协商解决。友好协商解决不成的，可在专用合同条款中约定下列一种方式解决：</w:t>
      </w:r>
    </w:p>
    <w:p>
      <w:pPr>
        <w:spacing w:line="360" w:lineRule="auto"/>
        <w:ind w:firstLine="480" w:firstLineChars="200"/>
        <w:rPr>
          <w:rFonts w:ascii="Times New Roman" w:hAnsi="Times New Roman"/>
          <w:color w:val="auto"/>
          <w:szCs w:val="21"/>
          <w:highlight w:val="none"/>
        </w:rPr>
      </w:pPr>
      <w:r>
        <w:rPr>
          <w:rFonts w:ascii="Times New Roman" w:hAnsi="Times New Roman"/>
          <w:color w:val="auto"/>
          <w:szCs w:val="21"/>
          <w:highlight w:val="none"/>
        </w:rPr>
        <w:t>（1）向约定的仲裁委员会申请仲裁；</w:t>
      </w:r>
    </w:p>
    <w:p>
      <w:pPr>
        <w:spacing w:line="360" w:lineRule="auto"/>
        <w:rPr>
          <w:rFonts w:ascii="Times New Roman" w:hAnsi="Times New Roman"/>
          <w:color w:val="auto"/>
          <w:highlight w:val="none"/>
        </w:rPr>
      </w:pPr>
      <w:r>
        <w:rPr>
          <w:rFonts w:ascii="Times New Roman" w:hAnsi="Times New Roman"/>
          <w:color w:val="auto"/>
          <w:szCs w:val="21"/>
          <w:highlight w:val="none"/>
        </w:rPr>
        <w:t>（2）向有管辖权的人民法院提起诉讼。</w:t>
      </w:r>
      <w:r>
        <w:rPr>
          <w:rFonts w:ascii="Times New Roman" w:hAnsi="Times New Roman"/>
          <w:color w:val="auto"/>
          <w:highlight w:val="none"/>
        </w:rPr>
        <w:br w:type="page"/>
      </w:r>
    </w:p>
    <w:p>
      <w:pPr>
        <w:pStyle w:val="3"/>
        <w:ind w:firstLine="642" w:firstLineChars="200"/>
        <w:jc w:val="center"/>
        <w:rPr>
          <w:rFonts w:ascii="Times New Roman" w:hAnsi="Times New Roman"/>
          <w:color w:val="auto"/>
          <w:highlight w:val="none"/>
        </w:rPr>
      </w:pPr>
      <w:bookmarkStart w:id="576" w:name="_Toc285"/>
      <w:bookmarkStart w:id="577" w:name="_Toc492288500"/>
      <w:r>
        <w:rPr>
          <w:rFonts w:ascii="Times New Roman" w:hAnsi="Times New Roman"/>
          <w:color w:val="auto"/>
          <w:highlight w:val="none"/>
        </w:rPr>
        <w:t>第二节</w:t>
      </w:r>
      <w:r>
        <w:rPr>
          <w:rFonts w:hint="eastAsia" w:ascii="Times New Roman" w:hAnsi="Times New Roman"/>
          <w:color w:val="auto"/>
          <w:highlight w:val="none"/>
          <w:lang w:val="en-US" w:eastAsia="zh-CN"/>
        </w:rPr>
        <w:t xml:space="preserve"> </w:t>
      </w:r>
      <w:r>
        <w:rPr>
          <w:rFonts w:ascii="Times New Roman" w:hAnsi="Times New Roman"/>
          <w:color w:val="auto"/>
          <w:highlight w:val="none"/>
        </w:rPr>
        <w:t>专用合同条款</w:t>
      </w:r>
      <w:bookmarkEnd w:id="576"/>
      <w:bookmarkEnd w:id="577"/>
      <w:r>
        <w:rPr>
          <w:rFonts w:hint="default" w:ascii="Times New Roman" w:hAnsi="Times New Roman" w:eastAsia="黑体" w:cs="Times New Roman"/>
          <w:b w:val="0"/>
          <w:color w:val="auto"/>
          <w:sz w:val="32"/>
          <w:szCs w:val="32"/>
          <w:highlight w:val="none"/>
          <w:vertAlign w:val="superscript"/>
        </w:rPr>
        <w:footnoteReference w:id="24"/>
      </w:r>
    </w:p>
    <w:p>
      <w:pPr>
        <w:ind w:firstLine="105"/>
        <w:rPr>
          <w:rFonts w:ascii="Times New Roman" w:hAnsi="Times New Roman"/>
          <w:color w:val="auto"/>
          <w:highlight w:val="none"/>
        </w:rPr>
      </w:pPr>
      <w:r>
        <w:rPr>
          <w:rFonts w:ascii="Times New Roman" w:hAnsi="Times New Roman"/>
          <w:color w:val="auto"/>
          <w:highlight w:val="none"/>
        </w:rPr>
        <w:br w:type="page"/>
      </w:r>
    </w:p>
    <w:p>
      <w:pPr>
        <w:pStyle w:val="3"/>
        <w:ind w:firstLine="642" w:firstLineChars="200"/>
        <w:jc w:val="center"/>
        <w:rPr>
          <w:rFonts w:ascii="Times New Roman" w:hAnsi="Times New Roman"/>
          <w:color w:val="auto"/>
          <w:highlight w:val="none"/>
        </w:rPr>
      </w:pPr>
      <w:bookmarkStart w:id="578" w:name="_Toc492288501"/>
      <w:bookmarkStart w:id="579" w:name="_Toc2556"/>
      <w:r>
        <w:rPr>
          <w:rFonts w:ascii="Times New Roman" w:hAnsi="Times New Roman"/>
          <w:color w:val="auto"/>
          <w:highlight w:val="none"/>
        </w:rPr>
        <w:t>第三节</w:t>
      </w:r>
      <w:r>
        <w:rPr>
          <w:rFonts w:hint="eastAsia" w:ascii="Times New Roman" w:hAnsi="Times New Roman"/>
          <w:color w:val="auto"/>
          <w:highlight w:val="none"/>
          <w:lang w:val="en-US" w:eastAsia="zh-CN"/>
        </w:rPr>
        <w:t xml:space="preserve"> </w:t>
      </w:r>
      <w:r>
        <w:rPr>
          <w:rFonts w:ascii="Times New Roman" w:hAnsi="Times New Roman"/>
          <w:color w:val="auto"/>
          <w:highlight w:val="none"/>
        </w:rPr>
        <w:t>合同附件格式</w:t>
      </w:r>
      <w:bookmarkEnd w:id="578"/>
      <w:bookmarkEnd w:id="579"/>
    </w:p>
    <w:p>
      <w:pPr>
        <w:pStyle w:val="4"/>
        <w:ind w:firstLine="137"/>
        <w:jc w:val="left"/>
        <w:rPr>
          <w:rFonts w:ascii="Times New Roman" w:hAnsi="Times New Roman"/>
          <w:color w:val="auto"/>
          <w:highlight w:val="none"/>
        </w:rPr>
      </w:pPr>
      <w:r>
        <w:rPr>
          <w:rFonts w:ascii="Times New Roman" w:hAnsi="Times New Roman"/>
          <w:color w:val="auto"/>
          <w:highlight w:val="none"/>
        </w:rPr>
        <w:br w:type="page"/>
      </w:r>
      <w:bookmarkStart w:id="580" w:name="_Toc11055"/>
      <w:bookmarkStart w:id="581" w:name="_Toc492288502"/>
      <w:r>
        <w:rPr>
          <w:rFonts w:ascii="Times New Roman" w:hAnsi="Times New Roman"/>
          <w:color w:val="auto"/>
          <w:highlight w:val="none"/>
        </w:rPr>
        <w:t>附件一：合同协议书</w:t>
      </w:r>
      <w:bookmarkEnd w:id="580"/>
      <w:bookmarkEnd w:id="581"/>
    </w:p>
    <w:p>
      <w:pPr>
        <w:spacing w:line="400" w:lineRule="exact"/>
        <w:rPr>
          <w:rFonts w:ascii="Times New Roman" w:hAnsi="Times New Roman"/>
          <w:color w:val="auto"/>
          <w:highlight w:val="none"/>
        </w:rPr>
      </w:pPr>
    </w:p>
    <w:p>
      <w:pPr>
        <w:spacing w:line="440" w:lineRule="exact"/>
        <w:jc w:val="center"/>
        <w:rPr>
          <w:rFonts w:ascii="Times New Roman" w:hAnsi="Times New Roman" w:eastAsia="黑体"/>
          <w:color w:val="auto"/>
          <w:sz w:val="28"/>
          <w:highlight w:val="none"/>
        </w:rPr>
      </w:pPr>
      <w:r>
        <w:rPr>
          <w:rFonts w:ascii="Times New Roman" w:hAnsi="Times New Roman" w:eastAsia="黑体"/>
          <w:color w:val="auto"/>
          <w:sz w:val="28"/>
          <w:highlight w:val="none"/>
        </w:rPr>
        <w:t>合同协议书</w:t>
      </w:r>
    </w:p>
    <w:p>
      <w:pPr>
        <w:spacing w:line="440" w:lineRule="exact"/>
        <w:rPr>
          <w:rFonts w:ascii="Times New Roman" w:hAnsi="Times New Roman"/>
          <w:color w:val="auto"/>
          <w:highlight w:val="none"/>
        </w:rPr>
      </w:pPr>
    </w:p>
    <w:p>
      <w:pPr>
        <w:spacing w:line="440" w:lineRule="exact"/>
        <w:ind w:firstLine="410" w:firstLineChars="171"/>
        <w:rPr>
          <w:rFonts w:ascii="Times New Roman" w:hAnsi="Times New Roman"/>
          <w:color w:val="auto"/>
          <w:szCs w:val="21"/>
          <w:highlight w:val="none"/>
        </w:rPr>
      </w:pPr>
      <w:r>
        <w:rPr>
          <w:rFonts w:ascii="Times New Roman" w:hAnsi="Times New Roman"/>
          <w:color w:val="auto"/>
          <w:szCs w:val="21"/>
          <w:highlight w:val="none"/>
          <w:u w:val="single"/>
        </w:rPr>
        <w:t xml:space="preserve">                   </w:t>
      </w:r>
      <w:r>
        <w:rPr>
          <w:rFonts w:ascii="Times New Roman" w:hAnsi="Times New Roman"/>
          <w:color w:val="auto"/>
          <w:szCs w:val="21"/>
          <w:highlight w:val="none"/>
        </w:rPr>
        <w:t>（买方名称，以下简称</w:t>
      </w:r>
      <w:r>
        <w:rPr>
          <w:rFonts w:hint="eastAsia" w:ascii="宋体" w:hAnsi="宋体" w:eastAsia="宋体" w:cs="宋体"/>
          <w:color w:val="auto"/>
          <w:szCs w:val="21"/>
          <w:highlight w:val="none"/>
        </w:rPr>
        <w:t>“</w:t>
      </w:r>
      <w:r>
        <w:rPr>
          <w:rFonts w:ascii="Times New Roman" w:hAnsi="Times New Roman"/>
          <w:color w:val="auto"/>
          <w:szCs w:val="21"/>
          <w:highlight w:val="none"/>
        </w:rPr>
        <w:t>买方</w:t>
      </w:r>
      <w:r>
        <w:rPr>
          <w:rFonts w:hint="eastAsia" w:ascii="宋体" w:hAnsi="宋体" w:eastAsia="宋体" w:cs="宋体"/>
          <w:color w:val="auto"/>
          <w:szCs w:val="21"/>
          <w:highlight w:val="none"/>
        </w:rPr>
        <w:t>”</w:t>
      </w:r>
      <w:r>
        <w:rPr>
          <w:rFonts w:ascii="Times New Roman" w:hAnsi="Times New Roman"/>
          <w:color w:val="auto"/>
          <w:szCs w:val="21"/>
          <w:highlight w:val="none"/>
        </w:rPr>
        <w:t>）为获得</w:t>
      </w:r>
      <w:r>
        <w:rPr>
          <w:rFonts w:ascii="Times New Roman" w:hAnsi="Times New Roman"/>
          <w:color w:val="auto"/>
          <w:szCs w:val="21"/>
          <w:highlight w:val="none"/>
          <w:u w:val="single"/>
        </w:rPr>
        <w:t xml:space="preserve">                </w:t>
      </w:r>
      <w:r>
        <w:rPr>
          <w:rFonts w:ascii="Times New Roman" w:hAnsi="Times New Roman"/>
          <w:color w:val="auto"/>
          <w:szCs w:val="21"/>
          <w:highlight w:val="none"/>
        </w:rPr>
        <w:t>（项目名称）合同材料和相关服务，已接受</w:t>
      </w:r>
      <w:r>
        <w:rPr>
          <w:rFonts w:ascii="Times New Roman" w:hAnsi="Times New Roman"/>
          <w:color w:val="auto"/>
          <w:szCs w:val="21"/>
          <w:highlight w:val="none"/>
          <w:u w:val="single"/>
        </w:rPr>
        <w:t xml:space="preserve">                    </w:t>
      </w:r>
      <w:r>
        <w:rPr>
          <w:rFonts w:ascii="Times New Roman" w:hAnsi="Times New Roman"/>
          <w:color w:val="auto"/>
          <w:szCs w:val="21"/>
          <w:highlight w:val="none"/>
        </w:rPr>
        <w:t>（卖方名称，以下简称</w:t>
      </w:r>
      <w:r>
        <w:rPr>
          <w:rFonts w:hint="eastAsia" w:ascii="宋体" w:hAnsi="宋体" w:eastAsia="宋体" w:cs="宋体"/>
          <w:color w:val="auto"/>
          <w:szCs w:val="21"/>
          <w:highlight w:val="none"/>
        </w:rPr>
        <w:t>“</w:t>
      </w:r>
      <w:r>
        <w:rPr>
          <w:rFonts w:ascii="Times New Roman" w:hAnsi="Times New Roman"/>
          <w:color w:val="auto"/>
          <w:szCs w:val="21"/>
          <w:highlight w:val="none"/>
        </w:rPr>
        <w:t>卖方</w:t>
      </w:r>
      <w:r>
        <w:rPr>
          <w:rFonts w:hint="eastAsia" w:ascii="宋体" w:hAnsi="宋体" w:eastAsia="宋体" w:cs="宋体"/>
          <w:color w:val="auto"/>
          <w:szCs w:val="21"/>
          <w:highlight w:val="none"/>
        </w:rPr>
        <w:t>”</w:t>
      </w:r>
      <w:r>
        <w:rPr>
          <w:rFonts w:ascii="Times New Roman" w:hAnsi="Times New Roman"/>
          <w:color w:val="auto"/>
          <w:szCs w:val="21"/>
          <w:highlight w:val="none"/>
        </w:rPr>
        <w:t>）为提供上述合同材料和相关服务所作的投标，买方和卖方共同达成如下协议：</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 本协议书与下列文件一起构成合同文件：</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（1）中标通知书；</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（2）投标函；</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（3）商务和技术偏差表；</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（4）专用合同条款；</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（5）通用合同条款；</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6</w:t>
      </w:r>
      <w:r>
        <w:rPr>
          <w:rFonts w:ascii="Times New Roman" w:hAnsi="Times New Roman"/>
          <w:color w:val="auto"/>
          <w:szCs w:val="21"/>
          <w:highlight w:val="none"/>
        </w:rPr>
        <w:t>）供货要求；</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7</w:t>
      </w:r>
      <w:r>
        <w:rPr>
          <w:rFonts w:ascii="Times New Roman" w:hAnsi="Times New Roman"/>
          <w:color w:val="auto"/>
          <w:szCs w:val="21"/>
          <w:highlight w:val="none"/>
        </w:rPr>
        <w:t>）分项报价表；</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8</w:t>
      </w:r>
      <w:r>
        <w:rPr>
          <w:rFonts w:ascii="Times New Roman" w:hAnsi="Times New Roman"/>
          <w:color w:val="auto"/>
          <w:szCs w:val="21"/>
          <w:highlight w:val="none"/>
        </w:rPr>
        <w:t>）中标材料质量标准的详细描述；</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w:t>
      </w:r>
      <w:r>
        <w:rPr>
          <w:rFonts w:hint="default" w:ascii="Times New Roman" w:hAnsi="Times New Roman"/>
          <w:color w:val="auto"/>
          <w:szCs w:val="21"/>
          <w:highlight w:val="none"/>
        </w:rPr>
        <w:t>9</w:t>
      </w:r>
      <w:r>
        <w:rPr>
          <w:rFonts w:ascii="Times New Roman" w:hAnsi="Times New Roman"/>
          <w:color w:val="auto"/>
          <w:szCs w:val="21"/>
          <w:highlight w:val="none"/>
        </w:rPr>
        <w:t>）相关服务计划；</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（10）其他合同文件。</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2. 上述合同文件互相补充和解释。如果合同文件之间存在矛盾或不一致之处，以上述文件的排列顺序在先者为准。</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3. 签约合同价：人民币（大写）</w:t>
      </w:r>
      <w:r>
        <w:rPr>
          <w:rFonts w:ascii="Times New Roman" w:hAnsi="Times New Roman"/>
          <w:color w:val="auto"/>
          <w:highlight w:val="none"/>
          <w:u w:val="single"/>
        </w:rPr>
        <w:t xml:space="preserve">              </w:t>
      </w:r>
      <w:r>
        <w:rPr>
          <w:rFonts w:ascii="Times New Roman" w:hAnsi="Times New Roman"/>
          <w:color w:val="auto"/>
          <w:szCs w:val="21"/>
          <w:highlight w:val="none"/>
        </w:rPr>
        <w:t>（¥</w:t>
      </w:r>
      <w:r>
        <w:rPr>
          <w:rFonts w:ascii="Times New Roman" w:hAnsi="Times New Roman"/>
          <w:color w:val="auto"/>
          <w:highlight w:val="none"/>
          <w:u w:val="single"/>
        </w:rPr>
        <w:t xml:space="preserve">              </w:t>
      </w:r>
      <w:r>
        <w:rPr>
          <w:rFonts w:ascii="Times New Roman" w:hAnsi="Times New Roman"/>
          <w:color w:val="auto"/>
          <w:szCs w:val="21"/>
          <w:highlight w:val="none"/>
        </w:rPr>
        <w:t>）。</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4. 卖方承诺保证完全按照合同约定提供合同材料和相关服务并修补缺陷。</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5. 买方承诺保证按照合同约定的条件、时间和方式向卖方支付合同价款。</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6. 本合同协议书一式</w:t>
      </w:r>
      <w:r>
        <w:rPr>
          <w:rFonts w:ascii="Times New Roman" w:hAnsi="Times New Roman"/>
          <w:color w:val="auto"/>
          <w:highlight w:val="none"/>
          <w:u w:val="single"/>
        </w:rPr>
        <w:t xml:space="preserve">       </w:t>
      </w:r>
      <w:r>
        <w:rPr>
          <w:rFonts w:ascii="Times New Roman" w:hAnsi="Times New Roman"/>
          <w:color w:val="auto"/>
          <w:szCs w:val="21"/>
          <w:highlight w:val="none"/>
        </w:rPr>
        <w:t>份，合同双方各执</w:t>
      </w:r>
      <w:r>
        <w:rPr>
          <w:rFonts w:ascii="Times New Roman" w:hAnsi="Times New Roman"/>
          <w:color w:val="auto"/>
          <w:highlight w:val="none"/>
          <w:u w:val="single"/>
        </w:rPr>
        <w:t xml:space="preserve">       </w:t>
      </w:r>
      <w:r>
        <w:rPr>
          <w:rFonts w:ascii="Times New Roman" w:hAnsi="Times New Roman"/>
          <w:color w:val="auto"/>
          <w:szCs w:val="21"/>
          <w:highlight w:val="none"/>
        </w:rPr>
        <w:t>份。</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7. 合同未尽事宜，双方另行签订补充协议，补充协议是合同的组成部分。</w:t>
      </w:r>
    </w:p>
    <w:p>
      <w:pPr>
        <w:adjustRightInd w:val="0"/>
        <w:snapToGrid w:val="0"/>
        <w:rPr>
          <w:rFonts w:ascii="Times New Roman" w:hAnsi="Times New Roman"/>
          <w:color w:val="auto"/>
          <w:szCs w:val="21"/>
          <w:highlight w:val="none"/>
        </w:rPr>
      </w:pPr>
    </w:p>
    <w:p>
      <w:pPr>
        <w:tabs>
          <w:tab w:val="left" w:pos="4395"/>
        </w:tabs>
        <w:spacing w:line="440" w:lineRule="exact"/>
        <w:ind w:firstLine="3000" w:firstLineChars="1250"/>
        <w:rPr>
          <w:rFonts w:ascii="Times New Roman" w:hAnsi="Times New Roman"/>
          <w:color w:val="auto"/>
          <w:szCs w:val="21"/>
          <w:highlight w:val="none"/>
        </w:rPr>
      </w:pPr>
      <w:r>
        <w:rPr>
          <w:rFonts w:ascii="Times New Roman" w:hAnsi="Times New Roman"/>
          <w:color w:val="auto"/>
          <w:szCs w:val="21"/>
          <w:highlight w:val="none"/>
        </w:rPr>
        <w:t>买方：</w:t>
      </w:r>
      <w:r>
        <w:rPr>
          <w:rFonts w:ascii="Times New Roman" w:hAnsi="Times New Roman"/>
          <w:color w:val="auto"/>
          <w:highlight w:val="none"/>
          <w:u w:val="single"/>
        </w:rPr>
        <w:t xml:space="preserve">                                      </w:t>
      </w:r>
      <w:r>
        <w:rPr>
          <w:rFonts w:ascii="Times New Roman" w:hAnsi="Times New Roman"/>
          <w:color w:val="auto"/>
          <w:szCs w:val="21"/>
          <w:highlight w:val="none"/>
        </w:rPr>
        <w:t>（盖单位章）</w:t>
      </w:r>
      <w:r>
        <w:rPr>
          <w:rFonts w:ascii="Times New Roman" w:hAnsi="Times New Roman"/>
          <w:color w:val="auto"/>
          <w:szCs w:val="21"/>
          <w:highlight w:val="none"/>
        </w:rPr>
        <w:tab/>
      </w:r>
    </w:p>
    <w:p>
      <w:pPr>
        <w:tabs>
          <w:tab w:val="left" w:pos="4395"/>
        </w:tabs>
        <w:spacing w:line="440" w:lineRule="exact"/>
        <w:ind w:firstLine="3000" w:firstLineChars="1250"/>
        <w:rPr>
          <w:rFonts w:ascii="Times New Roman" w:hAnsi="Times New Roman"/>
          <w:color w:val="auto"/>
          <w:szCs w:val="21"/>
          <w:highlight w:val="none"/>
        </w:rPr>
      </w:pPr>
      <w:r>
        <w:rPr>
          <w:rFonts w:ascii="Times New Roman" w:hAnsi="Times New Roman"/>
          <w:color w:val="auto"/>
          <w:szCs w:val="21"/>
          <w:highlight w:val="none"/>
        </w:rPr>
        <w:t>法定代表人（单位负责人）或其委托代理人：</w:t>
      </w:r>
      <w:r>
        <w:rPr>
          <w:rFonts w:ascii="Times New Roman" w:hAnsi="Times New Roman"/>
          <w:color w:val="auto"/>
          <w:highlight w:val="none"/>
          <w:u w:val="single"/>
        </w:rPr>
        <w:t xml:space="preserve">         </w:t>
      </w:r>
      <w:r>
        <w:rPr>
          <w:rFonts w:ascii="Times New Roman" w:hAnsi="Times New Roman"/>
          <w:color w:val="auto"/>
          <w:szCs w:val="21"/>
          <w:highlight w:val="none"/>
        </w:rPr>
        <w:t>（签字）</w:t>
      </w:r>
    </w:p>
    <w:p>
      <w:pPr>
        <w:spacing w:line="600" w:lineRule="exact"/>
        <w:ind w:firstLine="4867" w:firstLineChars="2028"/>
        <w:rPr>
          <w:rFonts w:ascii="Times New Roman" w:hAnsi="Times New Roman"/>
          <w:color w:val="auto"/>
          <w:szCs w:val="21"/>
          <w:highlight w:val="none"/>
        </w:rPr>
      </w:pPr>
      <w:r>
        <w:rPr>
          <w:rFonts w:ascii="Times New Roman" w:hAnsi="Times New Roman"/>
          <w:color w:val="auto"/>
          <w:szCs w:val="21"/>
          <w:highlight w:val="none"/>
        </w:rPr>
        <w:tab/>
      </w:r>
      <w:r>
        <w:rPr>
          <w:rFonts w:ascii="Times New Roman" w:hAnsi="Times New Roman"/>
          <w:color w:val="auto"/>
          <w:highlight w:val="none"/>
          <w:u w:val="single"/>
        </w:rPr>
        <w:t xml:space="preserve">       </w:t>
      </w:r>
      <w:r>
        <w:rPr>
          <w:rFonts w:ascii="Times New Roman" w:hAnsi="Times New Roman"/>
          <w:color w:val="auto"/>
          <w:highlight w:val="none"/>
        </w:rPr>
        <w:t>年</w:t>
      </w:r>
      <w:r>
        <w:rPr>
          <w:rFonts w:ascii="Times New Roman" w:hAnsi="Times New Roman"/>
          <w:color w:val="auto"/>
          <w:highlight w:val="none"/>
          <w:u w:val="single"/>
        </w:rPr>
        <w:t xml:space="preserve">       </w:t>
      </w:r>
      <w:r>
        <w:rPr>
          <w:rFonts w:ascii="Times New Roman" w:hAnsi="Times New Roman"/>
          <w:color w:val="auto"/>
          <w:highlight w:val="none"/>
        </w:rPr>
        <w:t>月</w:t>
      </w:r>
      <w:r>
        <w:rPr>
          <w:rFonts w:ascii="Times New Roman" w:hAnsi="Times New Roman"/>
          <w:color w:val="auto"/>
          <w:highlight w:val="none"/>
          <w:u w:val="single"/>
        </w:rPr>
        <w:t xml:space="preserve">       </w:t>
      </w:r>
      <w:r>
        <w:rPr>
          <w:rFonts w:ascii="Times New Roman" w:hAnsi="Times New Roman"/>
          <w:color w:val="auto"/>
          <w:highlight w:val="none"/>
        </w:rPr>
        <w:t>日</w:t>
      </w:r>
    </w:p>
    <w:p>
      <w:pPr>
        <w:tabs>
          <w:tab w:val="left" w:pos="4395"/>
        </w:tabs>
        <w:spacing w:line="440" w:lineRule="exact"/>
        <w:rPr>
          <w:rFonts w:ascii="Times New Roman" w:hAnsi="Times New Roman"/>
          <w:color w:val="auto"/>
          <w:szCs w:val="21"/>
          <w:highlight w:val="none"/>
        </w:rPr>
      </w:pPr>
    </w:p>
    <w:p>
      <w:pPr>
        <w:tabs>
          <w:tab w:val="left" w:pos="4395"/>
        </w:tabs>
        <w:spacing w:line="440" w:lineRule="exact"/>
        <w:rPr>
          <w:rFonts w:ascii="Times New Roman" w:hAnsi="Times New Roman"/>
          <w:color w:val="auto"/>
          <w:szCs w:val="21"/>
          <w:highlight w:val="none"/>
        </w:rPr>
      </w:pPr>
    </w:p>
    <w:p>
      <w:pPr>
        <w:tabs>
          <w:tab w:val="left" w:pos="4395"/>
        </w:tabs>
        <w:spacing w:line="440" w:lineRule="exact"/>
        <w:ind w:firstLine="1200" w:firstLineChars="500"/>
        <w:rPr>
          <w:rFonts w:ascii="Times New Roman" w:hAnsi="Times New Roman"/>
          <w:color w:val="auto"/>
          <w:szCs w:val="21"/>
          <w:highlight w:val="none"/>
        </w:rPr>
      </w:pPr>
      <w:r>
        <w:rPr>
          <w:rFonts w:ascii="Times New Roman" w:hAnsi="Times New Roman"/>
          <w:color w:val="auto"/>
          <w:szCs w:val="21"/>
          <w:highlight w:val="none"/>
        </w:rPr>
        <w:t>卖方：</w:t>
      </w:r>
      <w:r>
        <w:rPr>
          <w:rFonts w:ascii="Times New Roman" w:hAnsi="Times New Roman"/>
          <w:color w:val="auto"/>
          <w:highlight w:val="none"/>
          <w:u w:val="single"/>
        </w:rPr>
        <w:t xml:space="preserve">                                        </w:t>
      </w:r>
      <w:r>
        <w:rPr>
          <w:rFonts w:ascii="Times New Roman" w:hAnsi="Times New Roman"/>
          <w:color w:val="auto"/>
          <w:szCs w:val="21"/>
          <w:highlight w:val="none"/>
        </w:rPr>
        <w:t>（盖单位章）</w:t>
      </w:r>
    </w:p>
    <w:p>
      <w:pPr>
        <w:tabs>
          <w:tab w:val="left" w:pos="4395"/>
        </w:tabs>
        <w:spacing w:line="440" w:lineRule="exact"/>
        <w:ind w:firstLine="1200" w:firstLineChars="500"/>
        <w:rPr>
          <w:rFonts w:ascii="Times New Roman" w:hAnsi="Times New Roman"/>
          <w:color w:val="auto"/>
          <w:szCs w:val="21"/>
          <w:highlight w:val="none"/>
        </w:rPr>
      </w:pPr>
      <w:r>
        <w:rPr>
          <w:rFonts w:ascii="Times New Roman" w:hAnsi="Times New Roman"/>
          <w:color w:val="auto"/>
          <w:szCs w:val="21"/>
          <w:highlight w:val="none"/>
        </w:rPr>
        <w:t>法定代表人（单位负责人）或其委托代理人：</w:t>
      </w:r>
      <w:r>
        <w:rPr>
          <w:rFonts w:ascii="Times New Roman" w:hAnsi="Times New Roman"/>
          <w:color w:val="auto"/>
          <w:highlight w:val="none"/>
          <w:u w:val="single"/>
        </w:rPr>
        <w:t xml:space="preserve">          </w:t>
      </w:r>
      <w:r>
        <w:rPr>
          <w:rFonts w:ascii="Times New Roman" w:hAnsi="Times New Roman"/>
          <w:color w:val="auto"/>
          <w:szCs w:val="21"/>
          <w:highlight w:val="none"/>
        </w:rPr>
        <w:t>（签字）</w:t>
      </w:r>
    </w:p>
    <w:p>
      <w:pPr>
        <w:spacing w:line="600" w:lineRule="exact"/>
        <w:ind w:firstLine="4867" w:firstLineChars="2028"/>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hAnsi="Times New Roman"/>
          <w:color w:val="auto"/>
          <w:highlight w:val="none"/>
        </w:rPr>
        <w:t>年</w:t>
      </w:r>
      <w:r>
        <w:rPr>
          <w:rFonts w:ascii="Times New Roman" w:hAnsi="Times New Roman"/>
          <w:color w:val="auto"/>
          <w:highlight w:val="none"/>
          <w:u w:val="single"/>
        </w:rPr>
        <w:t xml:space="preserve">       </w:t>
      </w:r>
      <w:r>
        <w:rPr>
          <w:rFonts w:ascii="Times New Roman" w:hAnsi="Times New Roman"/>
          <w:color w:val="auto"/>
          <w:highlight w:val="none"/>
        </w:rPr>
        <w:t>月</w:t>
      </w:r>
      <w:r>
        <w:rPr>
          <w:rFonts w:ascii="Times New Roman" w:hAnsi="Times New Roman"/>
          <w:color w:val="auto"/>
          <w:highlight w:val="none"/>
          <w:u w:val="single"/>
        </w:rPr>
        <w:t xml:space="preserve">       </w:t>
      </w:r>
      <w:r>
        <w:rPr>
          <w:rFonts w:ascii="Times New Roman" w:hAnsi="Times New Roman"/>
          <w:color w:val="auto"/>
          <w:highlight w:val="none"/>
        </w:rPr>
        <w:t>日</w:t>
      </w:r>
    </w:p>
    <w:p>
      <w:pPr>
        <w:adjustRightInd w:val="0"/>
        <w:snapToGrid w:val="0"/>
        <w:rPr>
          <w:rFonts w:ascii="Times New Roman" w:hAnsi="Times New Roman"/>
          <w:color w:val="auto"/>
          <w:szCs w:val="21"/>
          <w:highlight w:val="none"/>
        </w:rPr>
      </w:pPr>
      <w:r>
        <w:rPr>
          <w:rFonts w:ascii="Times New Roman" w:hAnsi="Times New Roman"/>
          <w:color w:val="auto"/>
          <w:szCs w:val="21"/>
          <w:highlight w:val="none"/>
        </w:rPr>
        <w:br w:type="page"/>
      </w:r>
    </w:p>
    <w:p>
      <w:pPr>
        <w:pStyle w:val="4"/>
        <w:ind w:firstLine="137"/>
        <w:rPr>
          <w:rFonts w:ascii="Times New Roman" w:hAnsi="Times New Roman"/>
          <w:color w:val="auto"/>
          <w:highlight w:val="none"/>
        </w:rPr>
      </w:pPr>
      <w:bookmarkStart w:id="582" w:name="_Toc492288503"/>
      <w:bookmarkStart w:id="583" w:name="_Toc30230"/>
      <w:r>
        <w:rPr>
          <w:rFonts w:ascii="Times New Roman" w:hAnsi="Times New Roman"/>
          <w:color w:val="auto"/>
          <w:highlight w:val="none"/>
        </w:rPr>
        <w:t>附件二：履约保证金格式</w:t>
      </w:r>
      <w:bookmarkEnd w:id="582"/>
      <w:bookmarkEnd w:id="583"/>
    </w:p>
    <w:p>
      <w:pPr>
        <w:spacing w:line="440" w:lineRule="exact"/>
        <w:rPr>
          <w:rFonts w:ascii="Times New Roman" w:hAnsi="Times New Roman"/>
          <w:color w:val="auto"/>
          <w:szCs w:val="21"/>
          <w:highlight w:val="none"/>
        </w:rPr>
      </w:pPr>
      <w:r>
        <w:rPr>
          <w:rFonts w:ascii="Times New Roman" w:hAnsi="Times New Roman"/>
          <w:color w:val="auto"/>
          <w:szCs w:val="21"/>
          <w:highlight w:val="none"/>
        </w:rPr>
        <w:t>如采用银行保函，格式如下。</w:t>
      </w:r>
    </w:p>
    <w:p>
      <w:pPr>
        <w:spacing w:line="440" w:lineRule="exact"/>
        <w:jc w:val="center"/>
        <w:rPr>
          <w:rFonts w:ascii="Times New Roman" w:hAnsi="Times New Roman" w:eastAsia="黑体"/>
          <w:color w:val="auto"/>
          <w:sz w:val="28"/>
          <w:highlight w:val="none"/>
        </w:rPr>
      </w:pPr>
      <w:r>
        <w:rPr>
          <w:rFonts w:ascii="Times New Roman" w:hAnsi="Times New Roman" w:eastAsia="黑体"/>
          <w:color w:val="auto"/>
          <w:sz w:val="28"/>
          <w:highlight w:val="none"/>
        </w:rPr>
        <w:t>履约保证金</w:t>
      </w:r>
    </w:p>
    <w:p>
      <w:pPr>
        <w:spacing w:line="440" w:lineRule="exact"/>
        <w:jc w:val="center"/>
        <w:rPr>
          <w:rFonts w:ascii="Times New Roman" w:hAnsi="Times New Roman"/>
          <w:color w:val="auto"/>
          <w:highlight w:val="none"/>
          <w:u w:val="single"/>
        </w:rPr>
      </w:pPr>
    </w:p>
    <w:p>
      <w:pPr>
        <w:spacing w:line="440" w:lineRule="exact"/>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hAnsi="Times New Roman"/>
          <w:color w:val="auto"/>
          <w:highlight w:val="none"/>
        </w:rPr>
        <w:t>（买方名称）：</w:t>
      </w:r>
    </w:p>
    <w:p>
      <w:pPr>
        <w:spacing w:line="440" w:lineRule="exact"/>
        <w:rPr>
          <w:rFonts w:ascii="Times New Roman" w:hAnsi="Times New Roman"/>
          <w:color w:val="auto"/>
          <w:szCs w:val="21"/>
          <w:highlight w:val="none"/>
        </w:rPr>
      </w:pP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鉴于（买方名称，以下简称</w:t>
      </w:r>
      <w:r>
        <w:rPr>
          <w:rFonts w:hint="eastAsia" w:ascii="宋体" w:hAnsi="宋体" w:eastAsia="宋体" w:cs="宋体"/>
          <w:color w:val="auto"/>
          <w:highlight w:val="none"/>
        </w:rPr>
        <w:t>“</w:t>
      </w:r>
      <w:r>
        <w:rPr>
          <w:rFonts w:ascii="Times New Roman" w:hAnsi="Times New Roman"/>
          <w:color w:val="auto"/>
          <w:highlight w:val="none"/>
        </w:rPr>
        <w:t>买方</w:t>
      </w:r>
      <w:r>
        <w:rPr>
          <w:rFonts w:hint="eastAsia" w:ascii="宋体" w:hAnsi="宋体" w:eastAsia="宋体" w:cs="宋体"/>
          <w:color w:val="auto"/>
          <w:highlight w:val="none"/>
        </w:rPr>
        <w:t>”</w:t>
      </w:r>
      <w:r>
        <w:rPr>
          <w:rFonts w:ascii="Times New Roman" w:hAnsi="Times New Roman"/>
          <w:color w:val="auto"/>
          <w:highlight w:val="none"/>
        </w:rPr>
        <w:t>）接受（</w:t>
      </w:r>
      <w:r>
        <w:rPr>
          <w:rFonts w:ascii="Times New Roman" w:hAnsi="Times New Roman"/>
          <w:color w:val="auto"/>
          <w:szCs w:val="21"/>
          <w:highlight w:val="none"/>
        </w:rPr>
        <w:t>卖方</w:t>
      </w:r>
      <w:r>
        <w:rPr>
          <w:rFonts w:ascii="Times New Roman" w:hAnsi="Times New Roman"/>
          <w:color w:val="auto"/>
          <w:highlight w:val="none"/>
        </w:rPr>
        <w:t>名称，以下</w:t>
      </w:r>
      <w:r>
        <w:rPr>
          <w:rFonts w:ascii="Times New Roman" w:hAnsi="Times New Roman"/>
          <w:color w:val="auto"/>
          <w:szCs w:val="21"/>
          <w:highlight w:val="none"/>
        </w:rPr>
        <w:t>称</w:t>
      </w:r>
      <w:r>
        <w:rPr>
          <w:rFonts w:hint="eastAsia" w:ascii="宋体" w:hAnsi="宋体" w:eastAsia="宋体" w:cs="宋体"/>
          <w:color w:val="auto"/>
          <w:szCs w:val="21"/>
          <w:highlight w:val="none"/>
        </w:rPr>
        <w:t>“</w:t>
      </w:r>
      <w:r>
        <w:rPr>
          <w:rFonts w:ascii="Times New Roman" w:hAnsi="Times New Roman"/>
          <w:color w:val="auto"/>
          <w:szCs w:val="21"/>
          <w:highlight w:val="none"/>
        </w:rPr>
        <w:t>卖方</w:t>
      </w:r>
      <w:r>
        <w:rPr>
          <w:rFonts w:hint="eastAsia" w:ascii="宋体" w:hAnsi="宋体" w:eastAsia="宋体" w:cs="宋体"/>
          <w:color w:val="auto"/>
          <w:szCs w:val="21"/>
          <w:highlight w:val="none"/>
        </w:rPr>
        <w:t>”</w:t>
      </w:r>
      <w:r>
        <w:rPr>
          <w:rFonts w:ascii="Times New Roman" w:hAnsi="Times New Roman"/>
          <w:color w:val="auto"/>
          <w:highlight w:val="none"/>
        </w:rPr>
        <w:t>）于</w:t>
      </w:r>
      <w:r>
        <w:rPr>
          <w:rFonts w:ascii="Times New Roman" w:hAnsi="Times New Roman"/>
          <w:color w:val="auto"/>
          <w:highlight w:val="none"/>
          <w:u w:val="single"/>
        </w:rPr>
        <w:t xml:space="preserve">       </w:t>
      </w:r>
      <w:r>
        <w:rPr>
          <w:rFonts w:ascii="Times New Roman" w:hAnsi="Times New Roman"/>
          <w:color w:val="auto"/>
          <w:highlight w:val="none"/>
        </w:rPr>
        <w:t>年</w:t>
      </w:r>
      <w:r>
        <w:rPr>
          <w:rFonts w:ascii="Times New Roman" w:hAnsi="Times New Roman"/>
          <w:color w:val="auto"/>
          <w:highlight w:val="none"/>
          <w:u w:val="single"/>
        </w:rPr>
        <w:t xml:space="preserve">       </w:t>
      </w:r>
      <w:r>
        <w:rPr>
          <w:rFonts w:ascii="Times New Roman" w:hAnsi="Times New Roman"/>
          <w:color w:val="auto"/>
          <w:highlight w:val="none"/>
        </w:rPr>
        <w:t>月</w:t>
      </w:r>
    </w:p>
    <w:p>
      <w:pPr>
        <w:spacing w:line="440" w:lineRule="exact"/>
        <w:rPr>
          <w:rFonts w:ascii="Times New Roman" w:hAnsi="Times New Roman"/>
          <w:color w:val="auto"/>
          <w:highlight w:val="none"/>
        </w:rPr>
      </w:pPr>
      <w:r>
        <w:rPr>
          <w:rFonts w:ascii="Times New Roman" w:hAnsi="Times New Roman"/>
          <w:color w:val="auto"/>
          <w:highlight w:val="none"/>
          <w:u w:val="single"/>
        </w:rPr>
        <w:t xml:space="preserve">       </w:t>
      </w:r>
      <w:r>
        <w:rPr>
          <w:rFonts w:ascii="Times New Roman" w:hAnsi="Times New Roman"/>
          <w:color w:val="auto"/>
          <w:highlight w:val="none"/>
        </w:rPr>
        <w:t>日参加</w:t>
      </w:r>
      <w:r>
        <w:rPr>
          <w:rFonts w:ascii="Times New Roman" w:hAnsi="Times New Roman"/>
          <w:color w:val="auto"/>
          <w:highlight w:val="none"/>
          <w:u w:val="single"/>
        </w:rPr>
        <w:t xml:space="preserve">                     </w:t>
      </w:r>
      <w:r>
        <w:rPr>
          <w:rFonts w:hint="default" w:ascii="Times New Roman" w:hAnsi="Times New Roman"/>
          <w:color w:val="auto"/>
          <w:highlight w:val="none"/>
        </w:rPr>
        <w:t>（项目名称）</w:t>
      </w:r>
      <w:r>
        <w:rPr>
          <w:rFonts w:ascii="Times New Roman" w:hAnsi="Times New Roman"/>
          <w:color w:val="auto"/>
          <w:highlight w:val="none"/>
        </w:rPr>
        <w:t>材料采购招标项目的投标。我方愿意无条件地、不可撤销地就</w:t>
      </w:r>
      <w:r>
        <w:rPr>
          <w:rFonts w:ascii="Times New Roman" w:hAnsi="Times New Roman"/>
          <w:color w:val="auto"/>
          <w:szCs w:val="21"/>
          <w:highlight w:val="none"/>
        </w:rPr>
        <w:t>卖方</w:t>
      </w:r>
      <w:r>
        <w:rPr>
          <w:rFonts w:ascii="Times New Roman" w:hAnsi="Times New Roman"/>
          <w:color w:val="auto"/>
          <w:highlight w:val="none"/>
        </w:rPr>
        <w:t>履行与你方订立的合同，向你方提供担保。</w:t>
      </w: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1. 担保金额人民币（大写）</w:t>
      </w:r>
      <w:r>
        <w:rPr>
          <w:rFonts w:ascii="Times New Roman" w:hAnsi="Times New Roman"/>
          <w:color w:val="auto"/>
          <w:highlight w:val="none"/>
          <w:u w:val="single"/>
        </w:rPr>
        <w:t xml:space="preserve">              </w:t>
      </w:r>
      <w:r>
        <w:rPr>
          <w:rFonts w:ascii="Times New Roman" w:hAnsi="Times New Roman"/>
          <w:color w:val="auto"/>
          <w:highlight w:val="none"/>
        </w:rPr>
        <w:t>（¥）</w:t>
      </w:r>
      <w:r>
        <w:rPr>
          <w:rFonts w:ascii="Times New Roman" w:hAnsi="Times New Roman"/>
          <w:color w:val="auto"/>
          <w:highlight w:val="none"/>
          <w:u w:val="single"/>
        </w:rPr>
        <w:t xml:space="preserve">              </w:t>
      </w:r>
      <w:r>
        <w:rPr>
          <w:rFonts w:ascii="Times New Roman" w:hAnsi="Times New Roman"/>
          <w:color w:val="auto"/>
          <w:highlight w:val="none"/>
        </w:rPr>
        <w:t>。</w:t>
      </w: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2. 担保</w:t>
      </w:r>
      <w:r>
        <w:rPr>
          <w:rFonts w:ascii="Times New Roman" w:hAnsi="Times New Roman"/>
          <w:color w:val="auto"/>
          <w:szCs w:val="21"/>
          <w:highlight w:val="none"/>
        </w:rPr>
        <w:t>有效期</w:t>
      </w:r>
      <w:r>
        <w:rPr>
          <w:rFonts w:ascii="Times New Roman" w:hAnsi="Times New Roman"/>
          <w:color w:val="auto"/>
          <w:highlight w:val="none"/>
        </w:rPr>
        <w:t>自买方与</w:t>
      </w:r>
      <w:r>
        <w:rPr>
          <w:rFonts w:ascii="Times New Roman" w:hAnsi="Times New Roman"/>
          <w:color w:val="auto"/>
          <w:szCs w:val="21"/>
          <w:highlight w:val="none"/>
        </w:rPr>
        <w:t>卖方</w:t>
      </w:r>
      <w:r>
        <w:rPr>
          <w:rFonts w:ascii="Times New Roman" w:hAnsi="Times New Roman"/>
          <w:color w:val="auto"/>
          <w:highlight w:val="none"/>
        </w:rPr>
        <w:t>签订的合同生效之日起至合同材料验收证书或验收款支付函签署之日起28日后失效。</w:t>
      </w: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3. 在本担保有效期内，</w:t>
      </w:r>
      <w:r>
        <w:rPr>
          <w:rFonts w:ascii="Times New Roman" w:hAnsi="Times New Roman"/>
          <w:color w:val="auto"/>
          <w:szCs w:val="21"/>
          <w:highlight w:val="none"/>
        </w:rPr>
        <w:t>如果卖方不履行合同约定的义务或其履行不符合合同的约定，</w:t>
      </w:r>
      <w:r>
        <w:rPr>
          <w:rFonts w:ascii="Times New Roman" w:hAnsi="Times New Roman"/>
          <w:color w:val="auto"/>
          <w:highlight w:val="none"/>
        </w:rPr>
        <w:t>我方在收到你方以书面形式提出的在担保金额内的赔偿要求后，在7日内无条件支付。</w:t>
      </w:r>
    </w:p>
    <w:p>
      <w:pPr>
        <w:spacing w:line="440" w:lineRule="exact"/>
        <w:ind w:firstLine="480" w:firstLineChars="200"/>
        <w:rPr>
          <w:rFonts w:ascii="Times New Roman" w:hAnsi="Times New Roman"/>
          <w:color w:val="auto"/>
          <w:highlight w:val="none"/>
        </w:rPr>
      </w:pPr>
      <w:r>
        <w:rPr>
          <w:rFonts w:ascii="Times New Roman" w:hAnsi="Times New Roman"/>
          <w:color w:val="auto"/>
          <w:highlight w:val="none"/>
        </w:rPr>
        <w:t>4. 买方和</w:t>
      </w:r>
      <w:r>
        <w:rPr>
          <w:rFonts w:ascii="Times New Roman" w:hAnsi="Times New Roman"/>
          <w:color w:val="auto"/>
          <w:szCs w:val="21"/>
          <w:highlight w:val="none"/>
        </w:rPr>
        <w:t>卖方</w:t>
      </w:r>
      <w:r>
        <w:rPr>
          <w:rFonts w:ascii="Times New Roman" w:hAnsi="Times New Roman"/>
          <w:color w:val="auto"/>
          <w:highlight w:val="none"/>
        </w:rPr>
        <w:t>变更合同时，无论我方是否收到该变更，我方承担本担保规定的义务不变。</w:t>
      </w:r>
    </w:p>
    <w:p>
      <w:pPr>
        <w:spacing w:line="440" w:lineRule="exact"/>
        <w:rPr>
          <w:rFonts w:ascii="Times New Roman" w:hAnsi="Times New Roman"/>
          <w:color w:val="auto"/>
          <w:highlight w:val="none"/>
        </w:rPr>
      </w:pPr>
    </w:p>
    <w:p>
      <w:pPr>
        <w:spacing w:line="600" w:lineRule="exact"/>
        <w:ind w:firstLine="1200" w:firstLineChars="500"/>
        <w:rPr>
          <w:rFonts w:ascii="Times New Roman" w:hAnsi="Times New Roman"/>
          <w:color w:val="auto"/>
          <w:highlight w:val="none"/>
        </w:rPr>
      </w:pPr>
      <w:r>
        <w:rPr>
          <w:rFonts w:hint="default" w:ascii="Times New Roman" w:hAnsi="Times New Roman"/>
          <w:color w:val="auto"/>
          <w:highlight w:val="none"/>
        </w:rPr>
        <w:t>担保人名称</w:t>
      </w:r>
      <w:r>
        <w:rPr>
          <w:rFonts w:ascii="Times New Roman" w:hAnsi="Times New Roman"/>
          <w:color w:val="auto"/>
          <w:highlight w:val="none"/>
        </w:rPr>
        <w:t xml:space="preserve"> ：</w:t>
      </w:r>
      <w:r>
        <w:rPr>
          <w:rFonts w:ascii="Times New Roman" w:hAnsi="Times New Roman"/>
          <w:color w:val="auto"/>
          <w:highlight w:val="none"/>
          <w:u w:val="single"/>
        </w:rPr>
        <w:t xml:space="preserve">                                      </w:t>
      </w:r>
      <w:r>
        <w:rPr>
          <w:rFonts w:ascii="Times New Roman" w:hAnsi="Times New Roman"/>
          <w:color w:val="auto"/>
          <w:highlight w:val="none"/>
        </w:rPr>
        <w:t>（盖单位章）</w:t>
      </w:r>
    </w:p>
    <w:p>
      <w:pPr>
        <w:spacing w:line="600" w:lineRule="exact"/>
        <w:ind w:firstLine="1200" w:firstLineChars="500"/>
        <w:rPr>
          <w:rFonts w:ascii="Times New Roman" w:hAnsi="Times New Roman"/>
          <w:color w:val="auto"/>
          <w:highlight w:val="none"/>
        </w:rPr>
      </w:pPr>
      <w:r>
        <w:rPr>
          <w:rFonts w:ascii="Times New Roman" w:hAnsi="Times New Roman"/>
          <w:color w:val="auto"/>
          <w:highlight w:val="none"/>
        </w:rPr>
        <w:t>法定代表人（单位负责人）或其委托代理人：</w:t>
      </w:r>
      <w:r>
        <w:rPr>
          <w:rFonts w:ascii="Times New Roman" w:hAnsi="Times New Roman"/>
          <w:color w:val="auto"/>
          <w:highlight w:val="none"/>
          <w:u w:val="single"/>
        </w:rPr>
        <w:t xml:space="preserve">              </w:t>
      </w:r>
      <w:r>
        <w:rPr>
          <w:rFonts w:ascii="Times New Roman" w:hAnsi="Times New Roman"/>
          <w:color w:val="auto"/>
          <w:highlight w:val="none"/>
        </w:rPr>
        <w:t>（签字）</w:t>
      </w:r>
    </w:p>
    <w:p>
      <w:pPr>
        <w:spacing w:line="600" w:lineRule="exact"/>
        <w:ind w:firstLine="1200" w:firstLineChars="500"/>
        <w:rPr>
          <w:rFonts w:ascii="Times New Roman" w:hAnsi="Times New Roman"/>
          <w:color w:val="auto"/>
          <w:highlight w:val="none"/>
        </w:rPr>
      </w:pPr>
      <w:r>
        <w:rPr>
          <w:rFonts w:ascii="Times New Roman" w:hAnsi="Times New Roman"/>
          <w:color w:val="auto"/>
          <w:highlight w:val="none"/>
        </w:rPr>
        <w:t>地    址：</w:t>
      </w:r>
      <w:r>
        <w:rPr>
          <w:rFonts w:ascii="Times New Roman" w:hAnsi="Times New Roman"/>
          <w:color w:val="auto"/>
          <w:highlight w:val="none"/>
          <w:u w:val="single"/>
        </w:rPr>
        <w:t xml:space="preserve">                                                  </w:t>
      </w:r>
    </w:p>
    <w:p>
      <w:pPr>
        <w:spacing w:line="600" w:lineRule="exact"/>
        <w:ind w:firstLine="1200" w:firstLineChars="500"/>
        <w:rPr>
          <w:rFonts w:ascii="Times New Roman" w:hAnsi="Times New Roman"/>
          <w:color w:val="auto"/>
          <w:highlight w:val="none"/>
        </w:rPr>
      </w:pPr>
      <w:r>
        <w:rPr>
          <w:rFonts w:ascii="Times New Roman" w:hAnsi="Times New Roman"/>
          <w:color w:val="auto"/>
          <w:highlight w:val="none"/>
        </w:rPr>
        <w:t>邮政编码：</w:t>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 xml:space="preserve">              </w:t>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ab/>
      </w:r>
      <w:r>
        <w:rPr>
          <w:rFonts w:ascii="Times New Roman" w:hAnsi="Times New Roman"/>
          <w:color w:val="auto"/>
          <w:highlight w:val="none"/>
          <w:u w:val="single"/>
        </w:rPr>
        <w:t xml:space="preserve">          </w:t>
      </w:r>
    </w:p>
    <w:p>
      <w:pPr>
        <w:spacing w:line="600" w:lineRule="exact"/>
        <w:ind w:firstLine="1200" w:firstLineChars="500"/>
        <w:rPr>
          <w:rFonts w:ascii="Times New Roman" w:hAnsi="Times New Roman"/>
          <w:color w:val="auto"/>
          <w:highlight w:val="none"/>
        </w:rPr>
      </w:pPr>
      <w:r>
        <w:rPr>
          <w:rFonts w:ascii="Times New Roman" w:hAnsi="Times New Roman"/>
          <w:color w:val="auto"/>
          <w:highlight w:val="none"/>
        </w:rPr>
        <w:t>电    话：</w:t>
      </w:r>
      <w:r>
        <w:rPr>
          <w:rFonts w:ascii="Times New Roman" w:hAnsi="Times New Roman"/>
          <w:color w:val="auto"/>
          <w:highlight w:val="none"/>
          <w:u w:val="single"/>
        </w:rPr>
        <w:t xml:space="preserve">                                                  </w:t>
      </w:r>
    </w:p>
    <w:p>
      <w:pPr>
        <w:topLinePunct w:val="0"/>
        <w:spacing w:line="600" w:lineRule="exact"/>
        <w:ind w:right="0" w:rightChars="0" w:firstLine="3600" w:firstLineChars="1500"/>
        <w:jc w:val="left"/>
        <w:rPr>
          <w:rFonts w:hint="default" w:ascii="Times New Roman" w:hAnsi="Times New Roman" w:eastAsia="宋体" w:cs="Times New Roman"/>
          <w:color w:val="auto"/>
          <w:sz w:val="21"/>
          <w:szCs w:val="22"/>
          <w:highlight w:val="none"/>
        </w:rPr>
      </w:pPr>
      <w:r>
        <w:rPr>
          <w:rFonts w:ascii="Times New Roman" w:hAnsi="Times New Roman"/>
          <w:color w:val="auto"/>
          <w:highlight w:val="none"/>
          <w:u w:val="none"/>
        </w:rPr>
        <w:t xml:space="preserve">       </w:t>
      </w:r>
      <w:r>
        <w:rPr>
          <w:rFonts w:ascii="Times New Roman" w:hAnsi="Times New Roman"/>
          <w:color w:val="auto"/>
          <w:highlight w:val="none"/>
        </w:rPr>
        <w:t>年</w:t>
      </w:r>
      <w:r>
        <w:rPr>
          <w:rFonts w:ascii="Times New Roman" w:hAnsi="Times New Roman"/>
          <w:color w:val="auto"/>
          <w:highlight w:val="none"/>
          <w:u w:val="none"/>
        </w:rPr>
        <w:t xml:space="preserve">       </w:t>
      </w:r>
      <w:r>
        <w:rPr>
          <w:rFonts w:ascii="Times New Roman" w:hAnsi="Times New Roman"/>
          <w:color w:val="auto"/>
          <w:highlight w:val="none"/>
        </w:rPr>
        <w:t>月</w:t>
      </w:r>
      <w:r>
        <w:rPr>
          <w:rFonts w:ascii="Times New Roman" w:hAnsi="Times New Roman"/>
          <w:color w:val="auto"/>
          <w:highlight w:val="none"/>
          <w:u w:val="none"/>
        </w:rPr>
        <w:t xml:space="preserve">       </w:t>
      </w:r>
      <w:r>
        <w:rPr>
          <w:rFonts w:ascii="Times New Roman" w:hAnsi="Times New Roman"/>
          <w:color w:val="auto"/>
          <w:highlight w:val="none"/>
        </w:rPr>
        <w:t>日</w:t>
      </w:r>
    </w:p>
    <w:p>
      <w:pPr>
        <w:topLinePunct w:val="0"/>
        <w:spacing w:line="240" w:lineRule="auto"/>
        <w:ind w:right="0" w:rightChars="0"/>
        <w:jc w:val="left"/>
        <w:outlineLvl w:val="9"/>
        <w:rPr>
          <w:rFonts w:hint="default" w:ascii="Times New Roman" w:hAnsi="Times New Roman" w:eastAsia="黑体" w:cs="Times New Roman"/>
          <w:color w:val="auto"/>
          <w:sz w:val="56"/>
          <w:szCs w:val="56"/>
          <w:highlight w:val="none"/>
        </w:rPr>
      </w:pPr>
      <w:r>
        <w:rPr>
          <w:rFonts w:hint="default" w:ascii="Times New Roman" w:hAnsi="Times New Roman" w:eastAsia="黑体" w:cs="Times New Roman"/>
          <w:color w:val="auto"/>
          <w:sz w:val="56"/>
          <w:szCs w:val="56"/>
          <w:highlight w:val="none"/>
        </w:rPr>
        <w:br w:type="page"/>
      </w:r>
    </w:p>
    <w:p>
      <w:pPr>
        <w:pageBreakBefore w:val="0"/>
        <w:kinsoku/>
        <w:wordWrap w:val="0"/>
        <w:bidi w:val="0"/>
        <w:spacing w:before="0" w:after="120" w:afterLines="50" w:line="240" w:lineRule="atLeast"/>
        <w:jc w:val="both"/>
        <w:outlineLvl w:val="9"/>
        <w:rPr>
          <w:rFonts w:hint="default" w:ascii="Times New Roman" w:hAnsi="Times New Roman" w:eastAsia="黑体" w:cs="Times New Roman"/>
          <w:b w:val="0"/>
          <w:color w:val="auto"/>
          <w:sz w:val="42"/>
          <w:szCs w:val="42"/>
          <w:highlight w:val="none"/>
        </w:rPr>
      </w:pPr>
    </w:p>
    <w:p>
      <w:pPr>
        <w:rPr>
          <w:rFonts w:ascii="Times New Roman" w:hAnsi="Times New Roman"/>
          <w:color w:val="auto"/>
          <w:highlight w:val="none"/>
        </w:rPr>
      </w:pPr>
    </w:p>
    <w:p>
      <w:pPr>
        <w:rPr>
          <w:rFonts w:ascii="Times New Roman" w:hAnsi="Times New Roman"/>
          <w:color w:val="auto"/>
          <w:highlight w:val="none"/>
        </w:rPr>
      </w:pPr>
    </w:p>
    <w:p>
      <w:pPr>
        <w:rPr>
          <w:rFonts w:ascii="Times New Roman" w:hAnsi="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Style w:val="2"/>
        <w:pageBreakBefore w:val="0"/>
        <w:kinsoku/>
        <w:wordWrap w:val="0"/>
        <w:bidi w:val="0"/>
        <w:ind w:firstLine="0" w:firstLineChars="0"/>
        <w:jc w:val="center"/>
        <w:rPr>
          <w:rFonts w:hint="default" w:ascii="Times New Roman" w:hAnsi="Times New Roman" w:cs="Times New Roman"/>
          <w:color w:val="auto"/>
          <w:highlight w:val="none"/>
        </w:rPr>
      </w:pPr>
      <w:bookmarkStart w:id="584" w:name="_Toc9230"/>
      <w:r>
        <w:rPr>
          <w:rFonts w:hint="default" w:ascii="Times New Roman" w:hAnsi="Times New Roman" w:eastAsia="黑体" w:cs="Times New Roman"/>
          <w:b w:val="0"/>
          <w:color w:val="auto"/>
          <w:kern w:val="2"/>
          <w:sz w:val="56"/>
          <w:szCs w:val="56"/>
          <w:highlight w:val="none"/>
          <w:lang w:val="en-US" w:eastAsia="zh-CN" w:bidi="ar-SA"/>
        </w:rPr>
        <w:t>第</w:t>
      </w:r>
      <w:r>
        <w:rPr>
          <w:rFonts w:hint="eastAsia" w:eastAsia="黑体" w:cs="Times New Roman"/>
          <w:b w:val="0"/>
          <w:color w:val="auto"/>
          <w:kern w:val="2"/>
          <w:sz w:val="56"/>
          <w:szCs w:val="56"/>
          <w:highlight w:val="none"/>
          <w:lang w:val="en-US" w:eastAsia="zh-CN" w:bidi="ar-SA"/>
        </w:rPr>
        <w:t xml:space="preserve">  </w:t>
      </w:r>
      <w:r>
        <w:rPr>
          <w:rFonts w:hint="default" w:ascii="Times New Roman" w:hAnsi="Times New Roman" w:eastAsia="黑体" w:cs="Times New Roman"/>
          <w:b w:val="0"/>
          <w:color w:val="auto"/>
          <w:kern w:val="2"/>
          <w:sz w:val="56"/>
          <w:szCs w:val="56"/>
          <w:highlight w:val="none"/>
          <w:lang w:val="en-US" w:eastAsia="zh-CN" w:bidi="ar-SA"/>
        </w:rPr>
        <w:t>二</w:t>
      </w:r>
      <w:r>
        <w:rPr>
          <w:rFonts w:hint="eastAsia" w:eastAsia="黑体" w:cs="Times New Roman"/>
          <w:b w:val="0"/>
          <w:color w:val="auto"/>
          <w:kern w:val="2"/>
          <w:sz w:val="56"/>
          <w:szCs w:val="56"/>
          <w:highlight w:val="none"/>
          <w:lang w:val="en-US" w:eastAsia="zh-CN" w:bidi="ar-SA"/>
        </w:rPr>
        <w:t xml:space="preserve">  </w:t>
      </w:r>
      <w:r>
        <w:rPr>
          <w:rFonts w:hint="default" w:ascii="Times New Roman" w:hAnsi="Times New Roman" w:eastAsia="黑体" w:cs="Times New Roman"/>
          <w:b w:val="0"/>
          <w:color w:val="auto"/>
          <w:kern w:val="2"/>
          <w:sz w:val="56"/>
          <w:szCs w:val="56"/>
          <w:highlight w:val="none"/>
          <w:lang w:val="en-US" w:eastAsia="zh-CN" w:bidi="ar-SA"/>
        </w:rPr>
        <w:t>卷</w:t>
      </w:r>
      <w:bookmarkEnd w:id="584"/>
    </w:p>
    <w:p>
      <w:pPr>
        <w:pageBreakBefore w:val="0"/>
        <w:kinsoku/>
        <w:wordWrap w:val="0"/>
        <w:bidi w:val="0"/>
        <w:jc w:val="center"/>
        <w:outlineLvl w:val="9"/>
        <w:rPr>
          <w:rFonts w:hint="default" w:ascii="Times New Roman" w:hAnsi="Times New Roman" w:cs="Times New Roman"/>
          <w:bCs/>
          <w:color w:val="auto"/>
          <w:sz w:val="20"/>
          <w:highlight w:val="none"/>
        </w:rPr>
      </w:pPr>
      <w:r>
        <w:rPr>
          <w:rFonts w:hint="default" w:ascii="Times New Roman" w:hAnsi="Times New Roman" w:cs="Times New Roman"/>
          <w:bCs/>
          <w:color w:val="auto"/>
          <w:highlight w:val="none"/>
        </w:rPr>
        <w:br w:type="page"/>
      </w: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topLinePunct/>
        <w:spacing w:line="240" w:lineRule="atLeast"/>
        <w:ind w:right="36" w:rightChars="15" w:firstLine="0" w:firstLineChars="0"/>
        <w:jc w:val="center"/>
        <w:outlineLvl w:val="0"/>
        <w:rPr>
          <w:rFonts w:hint="default" w:ascii="Times New Roman" w:hAnsi="Times New Roman" w:eastAsia="黑体" w:cs="Times New Roman"/>
          <w:color w:val="auto"/>
          <w:sz w:val="56"/>
          <w:szCs w:val="56"/>
          <w:highlight w:val="none"/>
          <w:lang w:eastAsia="zh-CN"/>
        </w:rPr>
      </w:pPr>
      <w:bookmarkStart w:id="585" w:name="_Toc24461"/>
      <w:r>
        <w:rPr>
          <w:rFonts w:hint="default" w:ascii="Times New Roman" w:hAnsi="Times New Roman" w:eastAsia="黑体" w:cs="Times New Roman"/>
          <w:color w:val="auto"/>
          <w:sz w:val="56"/>
          <w:szCs w:val="56"/>
          <w:highlight w:val="none"/>
        </w:rPr>
        <w:t>第</w:t>
      </w:r>
      <w:r>
        <w:rPr>
          <w:rFonts w:hint="default" w:ascii="Times New Roman" w:hAnsi="Times New Roman" w:eastAsia="黑体" w:cs="Times New Roman"/>
          <w:color w:val="auto"/>
          <w:sz w:val="56"/>
          <w:szCs w:val="56"/>
          <w:highlight w:val="none"/>
          <w:lang w:val="en-US" w:eastAsia="zh-CN"/>
        </w:rPr>
        <w:t>五</w:t>
      </w:r>
      <w:r>
        <w:rPr>
          <w:rFonts w:hint="default" w:ascii="Times New Roman" w:hAnsi="Times New Roman" w:eastAsia="黑体" w:cs="Times New Roman"/>
          <w:color w:val="auto"/>
          <w:sz w:val="56"/>
          <w:szCs w:val="56"/>
          <w:highlight w:val="none"/>
        </w:rPr>
        <w:t xml:space="preserve">章  </w:t>
      </w:r>
      <w:r>
        <w:rPr>
          <w:rFonts w:hint="default" w:ascii="Times New Roman" w:hAnsi="Times New Roman" w:eastAsia="黑体" w:cs="Times New Roman"/>
          <w:color w:val="auto"/>
          <w:sz w:val="56"/>
          <w:szCs w:val="56"/>
          <w:highlight w:val="none"/>
          <w:lang w:val="en-US" w:eastAsia="zh-CN"/>
        </w:rPr>
        <w:t>供货要求</w:t>
      </w:r>
      <w:bookmarkEnd w:id="585"/>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spacing w:line="440" w:lineRule="exact"/>
        <w:jc w:val="center"/>
        <w:rPr>
          <w:rStyle w:val="47"/>
          <w:rFonts w:hint="default" w:ascii="Times New Roman" w:hAnsi="Times New Roman" w:eastAsia="黑体" w:cs="Times New Roman"/>
          <w:color w:val="auto"/>
          <w:sz w:val="44"/>
          <w:szCs w:val="44"/>
          <w:highlight w:val="none"/>
        </w:rPr>
        <w:sectPr>
          <w:footnotePr>
            <w:numFmt w:val="decimalEnclosedCircleChinese"/>
            <w:numRestart w:val="eachPage"/>
          </w:footnotePr>
          <w:pgSz w:w="11907" w:h="16840"/>
          <w:pgMar w:top="1588" w:right="1531" w:bottom="1644" w:left="1588" w:header="851" w:footer="851" w:gutter="0"/>
          <w:pgNumType w:fmt="decimal"/>
          <w:cols w:space="425" w:num="1"/>
          <w:docGrid w:linePitch="312" w:charSpace="0"/>
        </w:sectPr>
      </w:pPr>
    </w:p>
    <w:p>
      <w:pPr>
        <w:pageBreakBefore w:val="0"/>
        <w:kinsoku/>
        <w:wordWrap w:val="0"/>
        <w:bidi w:val="0"/>
        <w:spacing w:line="400" w:lineRule="exact"/>
        <w:jc w:val="center"/>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供货要求</w:t>
      </w:r>
      <w:r>
        <w:rPr>
          <w:rStyle w:val="37"/>
          <w:rFonts w:hint="default" w:ascii="Times New Roman" w:hAnsi="Times New Roman" w:cs="Times New Roman"/>
          <w:b/>
          <w:color w:val="auto"/>
          <w:sz w:val="32"/>
          <w:szCs w:val="32"/>
          <w:highlight w:val="none"/>
        </w:rPr>
        <w:footnoteReference w:id="25"/>
      </w:r>
    </w:p>
    <w:p>
      <w:pPr>
        <w:pageBreakBefore w:val="0"/>
        <w:kinsoku/>
        <w:wordWrap w:val="0"/>
        <w:bidi w:val="0"/>
        <w:spacing w:line="400" w:lineRule="exact"/>
        <w:jc w:val="center"/>
        <w:rPr>
          <w:rFonts w:hint="default" w:ascii="Times New Roman" w:hAnsi="Times New Roman" w:cs="Times New Roman"/>
          <w:b/>
          <w:color w:val="auto"/>
          <w:sz w:val="32"/>
          <w:szCs w:val="32"/>
          <w:highlight w:val="none"/>
        </w:rPr>
      </w:pPr>
    </w:p>
    <w:p>
      <w:pPr>
        <w:pageBreakBefore w:val="0"/>
        <w:kinsoku/>
        <w:wordWrap w:val="0"/>
        <w:bidi w:val="0"/>
        <w:spacing w:line="400" w:lineRule="exact"/>
        <w:ind w:firstLine="48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应尽可能清晰准确地提出对设备的需求，并对所要求提供的设备名称、规格、数量及单位、交货期、交货地点、技术性能指标、检验考核要求、技术服务和质保期服务要求等作出说明。鉴于供货要求是合同文件的组成文件之一，指代主体名称宜采用买方和卖方分别表示招标人和投标人或中标人。</w:t>
      </w:r>
    </w:p>
    <w:p>
      <w:pPr>
        <w:pStyle w:val="3"/>
        <w:pageBreakBefore w:val="0"/>
        <w:kinsoku/>
        <w:wordWrap w:val="0"/>
        <w:bidi w:val="0"/>
        <w:spacing w:line="240" w:lineRule="auto"/>
        <w:rPr>
          <w:rFonts w:hint="default" w:ascii="Times New Roman" w:hAnsi="Times New Roman" w:cs="Times New Roman"/>
          <w:b w:val="0"/>
          <w:color w:val="auto"/>
          <w:sz w:val="28"/>
          <w:szCs w:val="28"/>
          <w:highlight w:val="none"/>
        </w:rPr>
      </w:pPr>
      <w:bookmarkStart w:id="586" w:name="_Toc18570"/>
      <w:r>
        <w:rPr>
          <w:rFonts w:hint="default" w:ascii="Times New Roman" w:hAnsi="Times New Roman" w:cs="Times New Roman"/>
          <w:b w:val="0"/>
          <w:color w:val="auto"/>
          <w:sz w:val="28"/>
          <w:szCs w:val="28"/>
          <w:highlight w:val="none"/>
        </w:rPr>
        <w:t>一、项目概况及总体要求</w:t>
      </w:r>
      <w:bookmarkEnd w:id="586"/>
    </w:p>
    <w:p>
      <w:pPr>
        <w:pageBreakBefore w:val="0"/>
        <w:kinsoku/>
        <w:wordWrap w:val="0"/>
        <w:bidi w:val="0"/>
        <w:spacing w:line="440" w:lineRule="exact"/>
        <w:ind w:firstLine="410" w:firstLineChars="171"/>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招标人可根据需要对工程项目的概况进行介绍，以使投标人更清晰地了解供货的总体要求和相关信息。</w:t>
      </w:r>
      <w:bookmarkStart w:id="587" w:name="_Toc2462"/>
    </w:p>
    <w:p>
      <w:pPr>
        <w:pStyle w:val="3"/>
        <w:pageBreakBefore w:val="0"/>
        <w:kinsoku/>
        <w:wordWrap w:val="0"/>
        <w:bidi w:val="0"/>
        <w:spacing w:line="240" w:lineRule="auto"/>
        <w:rPr>
          <w:rFonts w:hint="default" w:ascii="Times New Roman" w:hAnsi="Times New Roman" w:cs="Times New Roman"/>
          <w:b w:val="0"/>
          <w:color w:val="auto"/>
          <w:sz w:val="28"/>
          <w:szCs w:val="28"/>
          <w:highlight w:val="none"/>
        </w:rPr>
      </w:pPr>
      <w:bookmarkStart w:id="588" w:name="_Toc14356"/>
      <w:r>
        <w:rPr>
          <w:rFonts w:hint="default" w:ascii="Times New Roman" w:hAnsi="Times New Roman" w:cs="Times New Roman"/>
          <w:b w:val="0"/>
          <w:color w:val="auto"/>
          <w:sz w:val="28"/>
          <w:szCs w:val="28"/>
          <w:highlight w:val="none"/>
        </w:rPr>
        <w:t>二、</w:t>
      </w:r>
      <w:r>
        <w:rPr>
          <w:rFonts w:hint="default" w:ascii="Times New Roman" w:hAnsi="Times New Roman" w:cs="Times New Roman"/>
          <w:b w:val="0"/>
          <w:color w:val="auto"/>
          <w:sz w:val="28"/>
          <w:szCs w:val="28"/>
          <w:highlight w:val="none"/>
          <w:lang w:val="en-US" w:eastAsia="zh-CN"/>
        </w:rPr>
        <w:t>设备</w:t>
      </w:r>
      <w:r>
        <w:rPr>
          <w:rFonts w:hint="default" w:ascii="Times New Roman" w:hAnsi="Times New Roman" w:cs="Times New Roman"/>
          <w:b w:val="0"/>
          <w:color w:val="auto"/>
          <w:sz w:val="28"/>
          <w:szCs w:val="28"/>
          <w:highlight w:val="none"/>
        </w:rPr>
        <w:t>需求一览表</w:t>
      </w:r>
      <w:bookmarkEnd w:id="587"/>
      <w:bookmarkEnd w:id="588"/>
    </w:p>
    <w:tbl>
      <w:tblPr>
        <w:tblStyle w:val="30"/>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2071"/>
        <w:gridCol w:w="1426"/>
        <w:gridCol w:w="1426"/>
        <w:gridCol w:w="1204"/>
        <w:gridCol w:w="1182"/>
        <w:gridCol w:w="1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54" w:type="dxa"/>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序号</w:t>
            </w:r>
          </w:p>
        </w:tc>
        <w:tc>
          <w:tcPr>
            <w:tcW w:w="2071" w:type="dxa"/>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lang w:val="en-US" w:eastAsia="zh-CN"/>
              </w:rPr>
              <w:t>设备</w:t>
            </w:r>
            <w:r>
              <w:rPr>
                <w:rFonts w:hint="eastAsia" w:ascii="黑体" w:hAnsi="黑体" w:eastAsia="黑体" w:cs="黑体"/>
                <w:color w:val="auto"/>
                <w:szCs w:val="21"/>
                <w:highlight w:val="none"/>
              </w:rPr>
              <w:t>名称</w:t>
            </w:r>
          </w:p>
        </w:tc>
        <w:tc>
          <w:tcPr>
            <w:tcW w:w="1426" w:type="dxa"/>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lang w:val="en-US" w:eastAsia="zh-CN"/>
              </w:rPr>
            </w:pPr>
            <w:r>
              <w:rPr>
                <w:rFonts w:hint="eastAsia" w:ascii="黑体" w:hAnsi="黑体" w:eastAsia="黑体" w:cs="黑体"/>
                <w:color w:val="auto"/>
                <w:szCs w:val="21"/>
                <w:highlight w:val="none"/>
                <w:lang w:val="en-US" w:eastAsia="zh-CN"/>
              </w:rPr>
              <w:t>规格</w:t>
            </w:r>
          </w:p>
        </w:tc>
        <w:tc>
          <w:tcPr>
            <w:tcW w:w="1426" w:type="dxa"/>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数量及单位</w:t>
            </w:r>
          </w:p>
        </w:tc>
        <w:tc>
          <w:tcPr>
            <w:tcW w:w="1204" w:type="dxa"/>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交货期</w:t>
            </w:r>
          </w:p>
        </w:tc>
        <w:tc>
          <w:tcPr>
            <w:tcW w:w="1182" w:type="dxa"/>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交货地点</w:t>
            </w:r>
          </w:p>
        </w:tc>
        <w:tc>
          <w:tcPr>
            <w:tcW w:w="1173" w:type="dxa"/>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54" w:type="dxa"/>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071"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04"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82"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73"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4" w:type="dxa"/>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2071"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04"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82"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73"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54" w:type="dxa"/>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2071"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04"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82"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73"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54" w:type="dxa"/>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2071"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04"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82"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73"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54" w:type="dxa"/>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2071"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426"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204"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82"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1173" w:type="dxa"/>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bl>
    <w:p>
      <w:pPr>
        <w:pStyle w:val="3"/>
        <w:pageBreakBefore w:val="0"/>
        <w:numPr>
          <w:ilvl w:val="0"/>
          <w:numId w:val="0"/>
        </w:numPr>
        <w:kinsoku/>
        <w:wordWrap w:val="0"/>
        <w:bidi w:val="0"/>
        <w:spacing w:line="240" w:lineRule="auto"/>
        <w:ind w:firstLine="0"/>
        <w:rPr>
          <w:rFonts w:ascii="Times New Roman" w:hAnsi="Times New Roman"/>
          <w:b w:val="0"/>
          <w:color w:val="auto"/>
          <w:sz w:val="28"/>
          <w:szCs w:val="28"/>
          <w:highlight w:val="none"/>
        </w:rPr>
      </w:pPr>
      <w:bookmarkStart w:id="589" w:name="_Toc13091"/>
      <w:r>
        <w:rPr>
          <w:rFonts w:hint="eastAsia" w:ascii="Times New Roman" w:hAnsi="Times New Roman" w:eastAsia="黑体" w:cs="Times New Roman"/>
          <w:b w:val="0"/>
          <w:color w:val="auto"/>
          <w:kern w:val="2"/>
          <w:sz w:val="28"/>
          <w:szCs w:val="28"/>
          <w:highlight w:val="none"/>
          <w:lang w:val="en-US" w:eastAsia="zh-CN" w:bidi="ar-SA"/>
        </w:rPr>
        <w:t>三、</w:t>
      </w:r>
      <w:r>
        <w:rPr>
          <w:rFonts w:hint="default" w:ascii="Times New Roman" w:hAnsi="Times New Roman" w:cs="Times New Roman"/>
          <w:b w:val="0"/>
          <w:color w:val="auto"/>
          <w:sz w:val="28"/>
          <w:szCs w:val="28"/>
          <w:highlight w:val="none"/>
        </w:rPr>
        <w:t>技术性能指标</w:t>
      </w:r>
      <w:bookmarkEnd w:id="589"/>
    </w:p>
    <w:bookmarkEnd w:id="504"/>
    <w:bookmarkEnd w:id="505"/>
    <w:bookmarkEnd w:id="506"/>
    <w:bookmarkEnd w:id="507"/>
    <w:p>
      <w:pPr>
        <w:wordWrap w:val="0"/>
        <w:spacing w:line="440" w:lineRule="exact"/>
        <w:ind w:firstLine="410" w:firstLineChars="171"/>
        <w:rPr>
          <w:rFonts w:hint="default" w:ascii="Times New Roman" w:hAnsi="Times New Roman" w:cs="Times New Roman"/>
          <w:b w:val="0"/>
          <w:color w:val="auto"/>
          <w:sz w:val="24"/>
          <w:szCs w:val="21"/>
          <w:highlight w:val="none"/>
        </w:rPr>
      </w:pPr>
      <w:bookmarkStart w:id="590" w:name="_Toc18780"/>
      <w:r>
        <w:rPr>
          <w:rFonts w:hint="default" w:ascii="Times New Roman" w:hAnsi="Times New Roman" w:cs="Times New Roman"/>
          <w:b w:val="0"/>
          <w:color w:val="auto"/>
          <w:sz w:val="24"/>
          <w:szCs w:val="21"/>
          <w:highlight w:val="none"/>
        </w:rPr>
        <w:t>招标人应编制详细的技术性能指标并考虑以下因素：</w:t>
      </w:r>
    </w:p>
    <w:p>
      <w:pPr>
        <w:wordWrap w:val="0"/>
        <w:spacing w:line="440" w:lineRule="exact"/>
        <w:ind w:firstLine="410" w:firstLineChars="171"/>
        <w:rPr>
          <w:rFonts w:hint="default" w:ascii="Times New Roman" w:hAnsi="Times New Roman" w:cs="Times New Roman"/>
          <w:b w:val="0"/>
          <w:color w:val="auto"/>
          <w:sz w:val="24"/>
          <w:szCs w:val="21"/>
          <w:highlight w:val="none"/>
        </w:rPr>
      </w:pPr>
      <w:r>
        <w:rPr>
          <w:rFonts w:hint="default" w:ascii="Times New Roman" w:hAnsi="Times New Roman" w:cs="Times New Roman"/>
          <w:b w:val="0"/>
          <w:color w:val="auto"/>
          <w:sz w:val="24"/>
          <w:szCs w:val="21"/>
          <w:highlight w:val="none"/>
        </w:rPr>
        <w:t>1.技术性能指标构成评标委员会评价投标文件技术响应性的标准。因此，定义明确的技术性能指标有助于投标人编制响应性的投标文件，也有助于评标委员会审查、评审和比较投标文件。</w:t>
      </w:r>
    </w:p>
    <w:p>
      <w:pPr>
        <w:wordWrap w:val="0"/>
        <w:spacing w:line="440" w:lineRule="exact"/>
        <w:ind w:firstLine="410" w:firstLineChars="171"/>
        <w:rPr>
          <w:rFonts w:hint="default" w:ascii="Times New Roman" w:hAnsi="Times New Roman" w:cs="Times New Roman"/>
          <w:b w:val="0"/>
          <w:color w:val="auto"/>
          <w:sz w:val="24"/>
          <w:szCs w:val="21"/>
          <w:highlight w:val="none"/>
        </w:rPr>
      </w:pPr>
      <w:r>
        <w:rPr>
          <w:rFonts w:hint="default" w:ascii="Times New Roman" w:hAnsi="Times New Roman" w:cs="Times New Roman"/>
          <w:b w:val="0"/>
          <w:color w:val="auto"/>
          <w:sz w:val="24"/>
          <w:szCs w:val="21"/>
          <w:highlight w:val="none"/>
        </w:rPr>
        <w:t>2.技术性能指标应具有足够的广泛性，以免在生产制造设备时对普遍使用的工艺、材料和设备造成限制。</w:t>
      </w:r>
    </w:p>
    <w:p>
      <w:pPr>
        <w:wordWrap w:val="0"/>
        <w:spacing w:line="440" w:lineRule="exact"/>
        <w:ind w:firstLine="410" w:firstLineChars="171"/>
        <w:rPr>
          <w:rFonts w:hint="default" w:ascii="Times New Roman" w:hAnsi="Times New Roman" w:cs="Times New Roman"/>
          <w:b w:val="0"/>
          <w:color w:val="auto"/>
          <w:sz w:val="24"/>
          <w:szCs w:val="21"/>
          <w:highlight w:val="none"/>
        </w:rPr>
      </w:pPr>
      <w:r>
        <w:rPr>
          <w:rFonts w:hint="default" w:ascii="Times New Roman" w:hAnsi="Times New Roman" w:cs="Times New Roman"/>
          <w:b w:val="0"/>
          <w:color w:val="auto"/>
          <w:sz w:val="24"/>
          <w:szCs w:val="21"/>
          <w:highlight w:val="none"/>
        </w:rPr>
        <w:t>3.招标文件中规定的工艺、材料和设备的标准不得有限制性，应尽可能地采用国家标准。法律法规对设备安全性有特殊要求的，应当符合有关产品质量的强制性国家标准、行业标准。</w:t>
      </w:r>
    </w:p>
    <w:p>
      <w:pPr>
        <w:wordWrap w:val="0"/>
        <w:spacing w:line="440" w:lineRule="exact"/>
        <w:ind w:firstLine="410" w:firstLineChars="171"/>
        <w:rPr>
          <w:rFonts w:hint="eastAsia" w:ascii="Times New Roman" w:hAnsi="Times New Roman" w:cs="Times New Roman"/>
          <w:b w:val="0"/>
          <w:color w:val="auto"/>
          <w:sz w:val="24"/>
          <w:szCs w:val="21"/>
          <w:highlight w:val="none"/>
        </w:rPr>
      </w:pPr>
      <w:r>
        <w:rPr>
          <w:rFonts w:hint="default" w:ascii="Times New Roman" w:hAnsi="Times New Roman" w:cs="Times New Roman"/>
          <w:b w:val="0"/>
          <w:color w:val="auto"/>
          <w:sz w:val="24"/>
          <w:szCs w:val="21"/>
          <w:highlight w:val="none"/>
        </w:rPr>
        <w:t>4.技术性能指标不得限定或者指定特定的专利、商标、品牌、原产地或者供应商，不得含有倾向或者排斥投标人的其他内容。在引用不可能避免时，该引用后应注明</w:t>
      </w:r>
      <w:r>
        <w:rPr>
          <w:rFonts w:hint="eastAsia" w:ascii="宋体" w:hAnsi="宋体" w:eastAsia="宋体" w:cs="宋体"/>
          <w:b w:val="0"/>
          <w:color w:val="auto"/>
          <w:sz w:val="24"/>
          <w:szCs w:val="21"/>
          <w:highlight w:val="none"/>
        </w:rPr>
        <w:t>“</w:t>
      </w:r>
      <w:r>
        <w:rPr>
          <w:rFonts w:hint="default" w:ascii="Times New Roman" w:hAnsi="Times New Roman" w:cs="Times New Roman"/>
          <w:b w:val="0"/>
          <w:color w:val="auto"/>
          <w:sz w:val="24"/>
          <w:szCs w:val="21"/>
          <w:highlight w:val="none"/>
        </w:rPr>
        <w:t>或相当于</w:t>
      </w:r>
      <w:r>
        <w:rPr>
          <w:rFonts w:hint="eastAsia" w:ascii="宋体" w:hAnsi="宋体" w:eastAsia="宋体" w:cs="宋体"/>
          <w:b w:val="0"/>
          <w:color w:val="auto"/>
          <w:sz w:val="24"/>
          <w:szCs w:val="21"/>
          <w:highlight w:val="none"/>
        </w:rPr>
        <w:t>”</w:t>
      </w:r>
      <w:r>
        <w:rPr>
          <w:rFonts w:hint="default" w:ascii="Times New Roman" w:hAnsi="Times New Roman" w:cs="Times New Roman"/>
          <w:b w:val="0"/>
          <w:color w:val="auto"/>
          <w:sz w:val="24"/>
          <w:szCs w:val="21"/>
          <w:highlight w:val="none"/>
        </w:rPr>
        <w:t xml:space="preserve"> 的字样</w:t>
      </w:r>
      <w:r>
        <w:rPr>
          <w:rFonts w:hint="eastAsia" w:ascii="Times New Roman" w:hAnsi="Times New Roman" w:cs="Times New Roman"/>
          <w:b w:val="0"/>
          <w:color w:val="auto"/>
          <w:sz w:val="24"/>
          <w:szCs w:val="21"/>
          <w:highlight w:val="none"/>
          <w:lang w:eastAsia="zh-CN"/>
        </w:rPr>
        <w:t>。</w:t>
      </w:r>
    </w:p>
    <w:p>
      <w:pPr>
        <w:pStyle w:val="3"/>
        <w:wordWrap w:val="0"/>
        <w:spacing w:line="240" w:lineRule="auto"/>
        <w:ind w:firstLine="0" w:firstLineChars="0"/>
        <w:rPr>
          <w:rFonts w:ascii="Times New Roman" w:hAnsi="Times New Roman"/>
          <w:color w:val="auto"/>
          <w:szCs w:val="21"/>
          <w:highlight w:val="none"/>
        </w:rPr>
      </w:pPr>
      <w:r>
        <w:rPr>
          <w:rFonts w:hint="default" w:ascii="Times New Roman" w:hAnsi="Times New Roman" w:cs="Times New Roman"/>
          <w:b w:val="0"/>
          <w:color w:val="auto"/>
          <w:sz w:val="28"/>
          <w:szCs w:val="28"/>
          <w:highlight w:val="none"/>
        </w:rPr>
        <w:t>四、</w:t>
      </w:r>
      <w:r>
        <w:rPr>
          <w:rFonts w:ascii="Times New Roman" w:hAnsi="Times New Roman"/>
          <w:b w:val="0"/>
          <w:color w:val="auto"/>
          <w:sz w:val="28"/>
          <w:szCs w:val="28"/>
          <w:highlight w:val="none"/>
        </w:rPr>
        <w:t>检验考核要求</w:t>
      </w:r>
      <w:bookmarkEnd w:id="590"/>
    </w:p>
    <w:p>
      <w:pPr>
        <w:pageBreakBefore w:val="0"/>
        <w:kinsoku/>
        <w:wordWrap w:val="0"/>
        <w:bidi w:val="0"/>
        <w:spacing w:line="440" w:lineRule="exact"/>
        <w:ind w:firstLine="410" w:firstLineChars="171"/>
        <w:rPr>
          <w:rFonts w:hint="default" w:ascii="Times New Roman" w:hAnsi="Times New Roman" w:cs="Times New Roman"/>
          <w:b w:val="0"/>
          <w:color w:val="auto"/>
          <w:sz w:val="24"/>
          <w:szCs w:val="21"/>
          <w:highlight w:val="none"/>
          <w:lang w:val="en-US" w:eastAsia="zh-CN"/>
        </w:rPr>
      </w:pPr>
      <w:bookmarkStart w:id="591" w:name="_Toc820"/>
      <w:r>
        <w:rPr>
          <w:rFonts w:ascii="Times New Roman" w:hAnsi="Times New Roman"/>
          <w:color w:val="auto"/>
          <w:spacing w:val="0"/>
          <w:position w:val="0"/>
          <w:sz w:val="24"/>
          <w:szCs w:val="21"/>
          <w:highlight w:val="none"/>
        </w:rPr>
        <w:t>招标人应对合同设备在考核中应达到的技术性能考核指标进行规定，并可根据合同设备的</w:t>
      </w:r>
      <w:r>
        <w:rPr>
          <w:rFonts w:ascii="Times New Roman" w:hAnsi="Times New Roman"/>
          <w:color w:val="auto"/>
          <w:sz w:val="24"/>
          <w:szCs w:val="21"/>
          <w:highlight w:val="none"/>
        </w:rPr>
        <w:t>实际情况，规定可以接受的合同设备的最低</w:t>
      </w:r>
      <w:r>
        <w:rPr>
          <w:rFonts w:ascii="Times New Roman" w:hAnsi="Times New Roman"/>
          <w:color w:val="auto"/>
          <w:spacing w:val="0"/>
          <w:sz w:val="24"/>
          <w:szCs w:val="21"/>
          <w:highlight w:val="none"/>
        </w:rPr>
        <w:t>技术性能考核指标</w:t>
      </w:r>
    </w:p>
    <w:p>
      <w:pPr>
        <w:pStyle w:val="3"/>
        <w:pageBreakBefore w:val="0"/>
        <w:kinsoku/>
        <w:wordWrap w:val="0"/>
        <w:bidi w:val="0"/>
        <w:spacing w:line="240" w:lineRule="auto"/>
        <w:rPr>
          <w:rFonts w:ascii="Times New Roman" w:hAnsi="Times New Roman"/>
          <w:b w:val="0"/>
          <w:color w:val="auto"/>
          <w:sz w:val="28"/>
          <w:szCs w:val="28"/>
          <w:highlight w:val="none"/>
        </w:rPr>
      </w:pPr>
      <w:r>
        <w:rPr>
          <w:rFonts w:hint="default" w:ascii="Times New Roman" w:hAnsi="Times New Roman" w:cs="Times New Roman"/>
          <w:b w:val="0"/>
          <w:color w:val="auto"/>
          <w:sz w:val="28"/>
          <w:szCs w:val="28"/>
          <w:highlight w:val="none"/>
          <w:lang w:val="en-US" w:eastAsia="zh-CN"/>
        </w:rPr>
        <w:t>五</w:t>
      </w:r>
      <w:r>
        <w:rPr>
          <w:rFonts w:hint="default" w:ascii="Times New Roman" w:hAnsi="Times New Roman" w:cs="Times New Roman"/>
          <w:b w:val="0"/>
          <w:color w:val="auto"/>
          <w:sz w:val="28"/>
          <w:szCs w:val="28"/>
          <w:highlight w:val="none"/>
        </w:rPr>
        <w:t>、</w:t>
      </w:r>
      <w:r>
        <w:rPr>
          <w:rFonts w:ascii="Times New Roman" w:hAnsi="Times New Roman"/>
          <w:b w:val="0"/>
          <w:color w:val="auto"/>
          <w:sz w:val="28"/>
          <w:szCs w:val="28"/>
          <w:highlight w:val="none"/>
        </w:rPr>
        <w:t>技术服务和质保期服务要求</w:t>
      </w:r>
    </w:p>
    <w:p>
      <w:pPr>
        <w:pageBreakBefore w:val="0"/>
        <w:kinsoku/>
        <w:wordWrap w:val="0"/>
        <w:bidi w:val="0"/>
        <w:rPr>
          <w:rFonts w:ascii="Times New Roman" w:hAnsi="Times New Roman"/>
          <w:b w:val="0"/>
          <w:color w:val="auto"/>
          <w:sz w:val="28"/>
          <w:szCs w:val="28"/>
          <w:highlight w:val="none"/>
        </w:rPr>
      </w:pPr>
      <w:r>
        <w:rPr>
          <w:rFonts w:ascii="Times New Roman" w:hAnsi="Times New Roman"/>
          <w:b w:val="0"/>
          <w:color w:val="auto"/>
          <w:sz w:val="28"/>
          <w:szCs w:val="28"/>
          <w:highlight w:val="none"/>
        </w:rPr>
        <w:br w:type="page"/>
      </w:r>
    </w:p>
    <w:p>
      <w:pPr>
        <w:pageBreakBefore w:val="0"/>
        <w:kinsoku/>
        <w:wordWrap w:val="0"/>
        <w:bidi w:val="0"/>
        <w:spacing w:line="400" w:lineRule="exact"/>
        <w:jc w:val="center"/>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供货要求</w:t>
      </w:r>
      <w:r>
        <w:rPr>
          <w:rStyle w:val="37"/>
          <w:rFonts w:hint="default" w:ascii="Times New Roman" w:hAnsi="Times New Roman" w:cs="Times New Roman"/>
          <w:b/>
          <w:color w:val="auto"/>
          <w:sz w:val="32"/>
          <w:szCs w:val="32"/>
          <w:highlight w:val="none"/>
        </w:rPr>
        <w:footnoteReference w:id="26"/>
      </w:r>
    </w:p>
    <w:p>
      <w:pPr>
        <w:pageBreakBefore w:val="0"/>
        <w:kinsoku/>
        <w:wordWrap w:val="0"/>
        <w:bidi w:val="0"/>
        <w:spacing w:line="400" w:lineRule="exact"/>
        <w:jc w:val="center"/>
        <w:rPr>
          <w:rFonts w:hint="default" w:ascii="Times New Roman" w:hAnsi="Times New Roman" w:cs="Times New Roman"/>
          <w:b/>
          <w:color w:val="auto"/>
          <w:sz w:val="32"/>
          <w:szCs w:val="32"/>
          <w:highlight w:val="none"/>
        </w:rPr>
      </w:pPr>
    </w:p>
    <w:p>
      <w:pPr>
        <w:pageBreakBefore w:val="0"/>
        <w:kinsoku/>
        <w:wordWrap w:val="0"/>
        <w:bidi w:val="0"/>
        <w:spacing w:line="400" w:lineRule="exact"/>
        <w:ind w:firstLine="480" w:firstLineChars="200"/>
        <w:jc w:val="left"/>
        <w:rPr>
          <w:rFonts w:hint="default" w:ascii="Times New Roman" w:hAnsi="Times New Roman" w:cs="Times New Roman"/>
          <w:color w:val="auto"/>
          <w:szCs w:val="21"/>
          <w:highlight w:val="none"/>
        </w:rPr>
      </w:pPr>
      <w:r>
        <w:rPr>
          <w:rFonts w:hint="eastAsia" w:ascii="Times New Roman" w:hAnsi="Times New Roman" w:cs="Times New Roman"/>
          <w:color w:val="auto"/>
          <w:szCs w:val="21"/>
          <w:highlight w:val="none"/>
          <w:lang w:eastAsia="zh-CN"/>
        </w:rPr>
        <w:t>招标人应尽可能清晰准确地提出对材料的需求，并对所要求提供的材料名称、规格、数量及单位、交货期、交货地点、质量标准、验收标准、相关服务要求等作出说明。鉴于供货要求是合同文件的组成文件之一，指代主体名称宜采用买方和卖方分别表示招标人和投标人或中标人。</w:t>
      </w:r>
    </w:p>
    <w:p>
      <w:pPr>
        <w:pStyle w:val="3"/>
        <w:pageBreakBefore w:val="0"/>
        <w:kinsoku/>
        <w:wordWrap w:val="0"/>
        <w:bidi w:val="0"/>
        <w:spacing w:line="240" w:lineRule="auto"/>
        <w:rPr>
          <w:rFonts w:hint="default" w:ascii="Times New Roman" w:hAnsi="Times New Roman" w:cs="Times New Roman"/>
          <w:b w:val="0"/>
          <w:color w:val="auto"/>
          <w:sz w:val="28"/>
          <w:szCs w:val="28"/>
          <w:highlight w:val="none"/>
        </w:rPr>
      </w:pPr>
      <w:r>
        <w:rPr>
          <w:rFonts w:hint="default" w:ascii="Times New Roman" w:hAnsi="Times New Roman" w:cs="Times New Roman"/>
          <w:b w:val="0"/>
          <w:color w:val="auto"/>
          <w:sz w:val="28"/>
          <w:szCs w:val="28"/>
          <w:highlight w:val="none"/>
        </w:rPr>
        <w:t>一、项目概况及总体要求</w:t>
      </w:r>
    </w:p>
    <w:p>
      <w:pPr>
        <w:pageBreakBefore w:val="0"/>
        <w:kinsoku/>
        <w:wordWrap w:val="0"/>
        <w:bidi w:val="0"/>
        <w:spacing w:line="440" w:lineRule="exact"/>
        <w:ind w:firstLine="410" w:firstLineChars="171"/>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招标人可根据需要对工程项目的概况进行介绍，以使投标人更清晰地了解供货的总体要求和相关信息。</w:t>
      </w:r>
    </w:p>
    <w:p>
      <w:pPr>
        <w:pStyle w:val="3"/>
        <w:pageBreakBefore w:val="0"/>
        <w:kinsoku/>
        <w:wordWrap w:val="0"/>
        <w:bidi w:val="0"/>
        <w:spacing w:line="240" w:lineRule="auto"/>
        <w:rPr>
          <w:rFonts w:hint="default" w:ascii="Times New Roman" w:hAnsi="Times New Roman" w:cs="Times New Roman"/>
          <w:b w:val="0"/>
          <w:color w:val="auto"/>
          <w:sz w:val="28"/>
          <w:szCs w:val="28"/>
          <w:highlight w:val="none"/>
        </w:rPr>
      </w:pPr>
      <w:r>
        <w:rPr>
          <w:rFonts w:hint="default" w:ascii="Times New Roman" w:hAnsi="Times New Roman" w:cs="Times New Roman"/>
          <w:b w:val="0"/>
          <w:color w:val="auto"/>
          <w:sz w:val="28"/>
          <w:szCs w:val="28"/>
          <w:highlight w:val="none"/>
        </w:rPr>
        <w:t>二、</w:t>
      </w:r>
      <w:r>
        <w:rPr>
          <w:rFonts w:hint="eastAsia" w:ascii="Times New Roman" w:hAnsi="Times New Roman" w:cs="Times New Roman"/>
          <w:b w:val="0"/>
          <w:color w:val="auto"/>
          <w:sz w:val="28"/>
          <w:szCs w:val="28"/>
          <w:highlight w:val="none"/>
          <w:lang w:val="en-US" w:eastAsia="zh-CN"/>
        </w:rPr>
        <w:t>材料</w:t>
      </w:r>
      <w:r>
        <w:rPr>
          <w:rFonts w:hint="default" w:ascii="Times New Roman" w:hAnsi="Times New Roman" w:cs="Times New Roman"/>
          <w:b w:val="0"/>
          <w:color w:val="auto"/>
          <w:sz w:val="28"/>
          <w:szCs w:val="28"/>
          <w:highlight w:val="none"/>
        </w:rPr>
        <w:t>需求一览表</w:t>
      </w:r>
    </w:p>
    <w:tbl>
      <w:tblPr>
        <w:tblStyle w:val="3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2463"/>
        <w:gridCol w:w="1694"/>
        <w:gridCol w:w="1430"/>
        <w:gridCol w:w="1405"/>
        <w:gridCol w:w="1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序号</w:t>
            </w:r>
          </w:p>
        </w:tc>
        <w:tc>
          <w:tcPr>
            <w:tcW w:w="1326" w:type="pct"/>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材料名称</w:t>
            </w:r>
          </w:p>
        </w:tc>
        <w:tc>
          <w:tcPr>
            <w:tcW w:w="912" w:type="pct"/>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数量及单位</w:t>
            </w:r>
          </w:p>
        </w:tc>
        <w:tc>
          <w:tcPr>
            <w:tcW w:w="770" w:type="pct"/>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交货期</w:t>
            </w:r>
          </w:p>
        </w:tc>
        <w:tc>
          <w:tcPr>
            <w:tcW w:w="756" w:type="pct"/>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交货地点</w:t>
            </w:r>
          </w:p>
        </w:tc>
        <w:tc>
          <w:tcPr>
            <w:tcW w:w="750" w:type="pct"/>
            <w:vAlign w:val="center"/>
          </w:tcPr>
          <w:p>
            <w:pPr>
              <w:pageBreakBefore w:val="0"/>
              <w:kinsoku/>
              <w:wordWrap w:val="0"/>
              <w:bidi w:val="0"/>
              <w:spacing w:line="440" w:lineRule="exact"/>
              <w:ind w:firstLine="0" w:firstLineChars="0"/>
              <w:jc w:val="center"/>
              <w:rPr>
                <w:rFonts w:hint="eastAsia" w:ascii="黑体" w:hAnsi="黑体" w:eastAsia="黑体" w:cs="黑体"/>
                <w:color w:val="auto"/>
                <w:szCs w:val="21"/>
                <w:highlight w:val="none"/>
              </w:rPr>
            </w:pPr>
            <w:r>
              <w:rPr>
                <w:rFonts w:hint="eastAsia" w:ascii="黑体" w:hAnsi="黑体" w:eastAsia="黑体" w:cs="黑体"/>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32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912"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7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2" w:type="pct"/>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32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912"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7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w:t>
            </w:r>
          </w:p>
        </w:tc>
        <w:tc>
          <w:tcPr>
            <w:tcW w:w="132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912"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7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4</w:t>
            </w:r>
          </w:p>
        </w:tc>
        <w:tc>
          <w:tcPr>
            <w:tcW w:w="132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912"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7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Align w:val="center"/>
          </w:tcPr>
          <w:p>
            <w:pPr>
              <w:pageBreakBefore w:val="0"/>
              <w:kinsoku/>
              <w:wordWrap w:val="0"/>
              <w:bidi w:val="0"/>
              <w:spacing w:line="440" w:lineRule="exact"/>
              <w:ind w:firstLine="0" w:firstLineChars="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w:t>
            </w:r>
          </w:p>
        </w:tc>
        <w:tc>
          <w:tcPr>
            <w:tcW w:w="132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912"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7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6"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c>
          <w:tcPr>
            <w:tcW w:w="750" w:type="pct"/>
            <w:vAlign w:val="center"/>
          </w:tcPr>
          <w:p>
            <w:pPr>
              <w:pageBreakBefore w:val="0"/>
              <w:kinsoku/>
              <w:wordWrap w:val="0"/>
              <w:bidi w:val="0"/>
              <w:spacing w:line="440" w:lineRule="exact"/>
              <w:jc w:val="center"/>
              <w:rPr>
                <w:rFonts w:hint="default" w:ascii="Times New Roman" w:hAnsi="Times New Roman" w:cs="Times New Roman"/>
                <w:color w:val="auto"/>
                <w:szCs w:val="21"/>
                <w:highlight w:val="none"/>
              </w:rPr>
            </w:pPr>
          </w:p>
        </w:tc>
      </w:tr>
    </w:tbl>
    <w:p>
      <w:pPr>
        <w:pStyle w:val="3"/>
        <w:pageBreakBefore w:val="0"/>
        <w:numPr>
          <w:ilvl w:val="0"/>
          <w:numId w:val="0"/>
        </w:numPr>
        <w:kinsoku/>
        <w:wordWrap w:val="0"/>
        <w:bidi w:val="0"/>
        <w:spacing w:line="240" w:lineRule="auto"/>
        <w:ind w:firstLine="0"/>
        <w:rPr>
          <w:rFonts w:ascii="Times New Roman" w:hAnsi="Times New Roman"/>
          <w:b w:val="0"/>
          <w:color w:val="auto"/>
          <w:sz w:val="28"/>
          <w:szCs w:val="28"/>
          <w:highlight w:val="none"/>
        </w:rPr>
      </w:pPr>
      <w:r>
        <w:rPr>
          <w:rFonts w:hint="eastAsia" w:ascii="Times New Roman" w:hAnsi="Times New Roman" w:cs="Times New Roman"/>
          <w:b w:val="0"/>
          <w:color w:val="auto"/>
          <w:kern w:val="2"/>
          <w:sz w:val="28"/>
          <w:szCs w:val="28"/>
          <w:highlight w:val="none"/>
          <w:lang w:val="en-US" w:eastAsia="zh-CN" w:bidi="ar-SA"/>
        </w:rPr>
        <w:t>三</w:t>
      </w:r>
      <w:r>
        <w:rPr>
          <w:rFonts w:hint="eastAsia" w:ascii="Times New Roman" w:hAnsi="Times New Roman" w:eastAsia="黑体" w:cs="Times New Roman"/>
          <w:b w:val="0"/>
          <w:color w:val="auto"/>
          <w:kern w:val="2"/>
          <w:sz w:val="28"/>
          <w:szCs w:val="28"/>
          <w:highlight w:val="none"/>
          <w:lang w:val="en-US" w:eastAsia="zh-CN" w:bidi="ar-SA"/>
        </w:rPr>
        <w:t>、</w:t>
      </w:r>
      <w:r>
        <w:rPr>
          <w:rFonts w:hint="default" w:ascii="Times New Roman" w:hAnsi="Times New Roman" w:cs="Times New Roman"/>
          <w:b w:val="0"/>
          <w:color w:val="auto"/>
          <w:sz w:val="28"/>
          <w:szCs w:val="28"/>
          <w:highlight w:val="none"/>
        </w:rPr>
        <w:t>质量标准</w:t>
      </w:r>
    </w:p>
    <w:p>
      <w:pPr>
        <w:pStyle w:val="3"/>
        <w:wordWrap w:val="0"/>
        <w:spacing w:line="240" w:lineRule="auto"/>
        <w:ind w:firstLine="0" w:firstLineChars="0"/>
        <w:rPr>
          <w:rFonts w:ascii="Times New Roman" w:hAnsi="Times New Roman"/>
          <w:color w:val="auto"/>
          <w:szCs w:val="21"/>
          <w:highlight w:val="none"/>
        </w:rPr>
      </w:pPr>
      <w:r>
        <w:rPr>
          <w:rFonts w:hint="default" w:ascii="Times New Roman" w:hAnsi="Times New Roman" w:cs="Times New Roman"/>
          <w:b w:val="0"/>
          <w:color w:val="auto"/>
          <w:sz w:val="28"/>
          <w:szCs w:val="28"/>
          <w:highlight w:val="none"/>
        </w:rPr>
        <w:t>四、</w:t>
      </w:r>
      <w:r>
        <w:rPr>
          <w:rFonts w:hint="eastAsia" w:ascii="Times New Roman" w:hAnsi="Times New Roman"/>
          <w:b w:val="0"/>
          <w:color w:val="auto"/>
          <w:sz w:val="28"/>
          <w:szCs w:val="28"/>
          <w:highlight w:val="none"/>
        </w:rPr>
        <w:t>验收标准</w:t>
      </w:r>
    </w:p>
    <w:p>
      <w:pPr>
        <w:pStyle w:val="3"/>
        <w:pageBreakBefore w:val="0"/>
        <w:kinsoku/>
        <w:wordWrap w:val="0"/>
        <w:bidi w:val="0"/>
        <w:spacing w:line="240" w:lineRule="auto"/>
        <w:rPr>
          <w:rFonts w:hint="default" w:ascii="Times New Roman" w:hAnsi="Times New Roman" w:cs="Times New Roman"/>
          <w:b w:val="0"/>
          <w:color w:val="auto"/>
          <w:sz w:val="28"/>
          <w:szCs w:val="28"/>
          <w:highlight w:val="none"/>
        </w:rPr>
      </w:pPr>
      <w:r>
        <w:rPr>
          <w:rFonts w:hint="default" w:ascii="Times New Roman" w:hAnsi="Times New Roman" w:cs="Times New Roman"/>
          <w:b w:val="0"/>
          <w:color w:val="auto"/>
          <w:sz w:val="28"/>
          <w:szCs w:val="28"/>
          <w:highlight w:val="none"/>
          <w:lang w:val="en-US" w:eastAsia="zh-CN"/>
        </w:rPr>
        <w:t>五</w:t>
      </w:r>
      <w:r>
        <w:rPr>
          <w:rFonts w:hint="default" w:ascii="Times New Roman" w:hAnsi="Times New Roman" w:cs="Times New Roman"/>
          <w:b w:val="0"/>
          <w:color w:val="auto"/>
          <w:sz w:val="28"/>
          <w:szCs w:val="28"/>
          <w:highlight w:val="none"/>
        </w:rPr>
        <w:t>、</w:t>
      </w:r>
      <w:r>
        <w:rPr>
          <w:rFonts w:hint="eastAsia" w:ascii="Times New Roman" w:hAnsi="Times New Roman"/>
          <w:b w:val="0"/>
          <w:color w:val="auto"/>
          <w:sz w:val="28"/>
          <w:szCs w:val="28"/>
          <w:highlight w:val="none"/>
        </w:rPr>
        <w:t>相关服务要求</w:t>
      </w:r>
    </w:p>
    <w:bookmarkEnd w:id="591"/>
    <w:p>
      <w:pPr>
        <w:keepNext/>
        <w:keepLines/>
        <w:pageBreakBefore w:val="0"/>
        <w:kinsoku/>
        <w:wordWrap w:val="0"/>
        <w:bidi w:val="0"/>
        <w:outlineLvl w:val="9"/>
        <w:rPr>
          <w:rFonts w:hint="default" w:ascii="Times New Roman" w:hAnsi="Times New Roman" w:cs="Times New Roman"/>
          <w:b w:val="0"/>
          <w:color w:val="auto"/>
          <w:sz w:val="28"/>
          <w:szCs w:val="28"/>
          <w:highlight w:val="none"/>
        </w:rPr>
      </w:pPr>
    </w:p>
    <w:p>
      <w:pPr>
        <w:pageBreakBefore w:val="0"/>
        <w:kinsoku/>
        <w:wordWrap w:val="0"/>
        <w:bidi w:val="0"/>
        <w:spacing w:line="40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pageBreakBefore w:val="0"/>
        <w:kinsoku/>
        <w:wordWrap w:val="0"/>
        <w:bidi w:val="0"/>
        <w:jc w:val="center"/>
        <w:outlineLvl w:val="9"/>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ageBreakBefore w:val="0"/>
        <w:kinsoku/>
        <w:wordWrap w:val="0"/>
        <w:bidi w:val="0"/>
        <w:rPr>
          <w:rFonts w:hint="default" w:ascii="Times New Roman" w:hAnsi="Times New Roman" w:cs="Times New Roman"/>
          <w:color w:val="auto"/>
          <w:highlight w:val="none"/>
        </w:rPr>
      </w:pPr>
    </w:p>
    <w:p>
      <w:pPr>
        <w:pStyle w:val="2"/>
        <w:pageBreakBefore w:val="0"/>
        <w:kinsoku/>
        <w:wordWrap w:val="0"/>
        <w:bidi w:val="0"/>
        <w:ind w:firstLine="0" w:firstLineChars="0"/>
        <w:jc w:val="center"/>
        <w:rPr>
          <w:rFonts w:hint="default" w:ascii="Times New Roman" w:hAnsi="Times New Roman" w:cs="Times New Roman"/>
          <w:color w:val="auto"/>
          <w:highlight w:val="none"/>
        </w:rPr>
      </w:pPr>
      <w:bookmarkStart w:id="592" w:name="_Toc26648"/>
      <w:r>
        <w:rPr>
          <w:rFonts w:hint="default" w:ascii="Times New Roman" w:hAnsi="Times New Roman" w:eastAsia="黑体" w:cs="Times New Roman"/>
          <w:b w:val="0"/>
          <w:color w:val="auto"/>
          <w:kern w:val="2"/>
          <w:sz w:val="56"/>
          <w:szCs w:val="56"/>
          <w:highlight w:val="none"/>
          <w:lang w:val="en-US" w:eastAsia="zh-CN" w:bidi="ar-SA"/>
        </w:rPr>
        <w:t>第</w:t>
      </w:r>
      <w:r>
        <w:rPr>
          <w:rFonts w:hint="eastAsia" w:eastAsia="黑体" w:cs="Times New Roman"/>
          <w:b w:val="0"/>
          <w:color w:val="auto"/>
          <w:kern w:val="2"/>
          <w:sz w:val="56"/>
          <w:szCs w:val="56"/>
          <w:highlight w:val="none"/>
          <w:lang w:val="en-US" w:eastAsia="zh-CN" w:bidi="ar-SA"/>
        </w:rPr>
        <w:t xml:space="preserve">  </w:t>
      </w:r>
      <w:r>
        <w:rPr>
          <w:rFonts w:hint="default" w:ascii="Times New Roman" w:hAnsi="Times New Roman" w:eastAsia="黑体" w:cs="Times New Roman"/>
          <w:b w:val="0"/>
          <w:color w:val="auto"/>
          <w:kern w:val="2"/>
          <w:sz w:val="56"/>
          <w:szCs w:val="56"/>
          <w:highlight w:val="none"/>
          <w:lang w:val="en-US" w:eastAsia="zh-CN" w:bidi="ar-SA"/>
        </w:rPr>
        <w:t>三</w:t>
      </w:r>
      <w:r>
        <w:rPr>
          <w:rFonts w:hint="eastAsia" w:eastAsia="黑体" w:cs="Times New Roman"/>
          <w:b w:val="0"/>
          <w:color w:val="auto"/>
          <w:kern w:val="2"/>
          <w:sz w:val="56"/>
          <w:szCs w:val="56"/>
          <w:highlight w:val="none"/>
          <w:lang w:val="en-US" w:eastAsia="zh-CN" w:bidi="ar-SA"/>
        </w:rPr>
        <w:t xml:space="preserve">  </w:t>
      </w:r>
      <w:r>
        <w:rPr>
          <w:rFonts w:hint="default" w:ascii="Times New Roman" w:hAnsi="Times New Roman" w:eastAsia="黑体" w:cs="Times New Roman"/>
          <w:b w:val="0"/>
          <w:color w:val="auto"/>
          <w:kern w:val="2"/>
          <w:sz w:val="56"/>
          <w:szCs w:val="56"/>
          <w:highlight w:val="none"/>
          <w:lang w:val="en-US" w:eastAsia="zh-CN" w:bidi="ar-SA"/>
        </w:rPr>
        <w:t>卷</w:t>
      </w:r>
      <w:bookmarkEnd w:id="592"/>
    </w:p>
    <w:p>
      <w:pPr>
        <w:pageBreakBefore w:val="0"/>
        <w:kinsoku/>
        <w:wordWrap w:val="0"/>
        <w:bidi w:val="0"/>
        <w:spacing w:line="400" w:lineRule="exact"/>
        <w:jc w:val="center"/>
        <w:rPr>
          <w:rFonts w:hint="default" w:ascii="Times New Roman" w:hAnsi="Times New Roman" w:cs="Times New Roman"/>
          <w:color w:val="auto"/>
          <w:highlight w:val="none"/>
        </w:rPr>
      </w:pPr>
    </w:p>
    <w:p>
      <w:pPr>
        <w:pageBreakBefore w:val="0"/>
        <w:kinsoku/>
        <w:wordWrap w:val="0"/>
        <w:bidi w:val="0"/>
        <w:spacing w:line="400" w:lineRule="exact"/>
        <w:jc w:val="center"/>
        <w:rPr>
          <w:rFonts w:hint="default" w:ascii="Times New Roman" w:hAnsi="Times New Roman" w:cs="Times New Roman"/>
          <w:color w:val="auto"/>
          <w:highlight w:val="none"/>
        </w:rPr>
      </w:pPr>
    </w:p>
    <w:p>
      <w:pPr>
        <w:pageBreakBefore w:val="0"/>
        <w:kinsoku/>
        <w:wordWrap w:val="0"/>
        <w:bidi w:val="0"/>
        <w:spacing w:line="40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440" w:lineRule="exact"/>
        <w:ind w:right="36" w:rightChars="15"/>
        <w:jc w:val="center"/>
        <w:rPr>
          <w:rFonts w:hint="default" w:ascii="Times New Roman" w:hAnsi="Times New Roman" w:eastAsia="黑体" w:cs="Times New Roman"/>
          <w:color w:val="auto"/>
          <w:sz w:val="29"/>
          <w:szCs w:val="29"/>
          <w:highlight w:val="none"/>
        </w:rPr>
      </w:pPr>
    </w:p>
    <w:p>
      <w:pPr>
        <w:topLinePunct/>
        <w:spacing w:line="240" w:lineRule="atLeast"/>
        <w:ind w:right="36" w:rightChars="15"/>
        <w:jc w:val="center"/>
        <w:rPr>
          <w:rFonts w:hint="default" w:ascii="Times New Roman" w:hAnsi="Times New Roman" w:eastAsia="黑体" w:cs="Times New Roman"/>
          <w:color w:val="auto"/>
          <w:sz w:val="56"/>
          <w:szCs w:val="56"/>
          <w:highlight w:val="none"/>
        </w:rPr>
      </w:pPr>
    </w:p>
    <w:p>
      <w:pPr>
        <w:topLinePunct/>
        <w:spacing w:line="240" w:lineRule="atLeast"/>
        <w:ind w:right="36" w:rightChars="15" w:firstLine="0" w:firstLineChars="0"/>
        <w:jc w:val="center"/>
        <w:outlineLvl w:val="0"/>
        <w:rPr>
          <w:rFonts w:hint="default" w:ascii="Times New Roman" w:hAnsi="Times New Roman" w:eastAsia="黑体" w:cs="Times New Roman"/>
          <w:color w:val="auto"/>
          <w:sz w:val="56"/>
          <w:szCs w:val="56"/>
          <w:highlight w:val="none"/>
          <w:lang w:eastAsia="zh-CN"/>
        </w:rPr>
      </w:pPr>
      <w:bookmarkStart w:id="593" w:name="_Toc10840"/>
      <w:r>
        <w:rPr>
          <w:rFonts w:hint="default" w:ascii="Times New Roman" w:hAnsi="Times New Roman" w:eastAsia="黑体" w:cs="Times New Roman"/>
          <w:color w:val="auto"/>
          <w:sz w:val="56"/>
          <w:szCs w:val="56"/>
          <w:highlight w:val="none"/>
        </w:rPr>
        <w:t>第</w:t>
      </w:r>
      <w:r>
        <w:rPr>
          <w:rFonts w:hint="default" w:ascii="Times New Roman" w:hAnsi="Times New Roman" w:eastAsia="黑体" w:cs="Times New Roman"/>
          <w:color w:val="auto"/>
          <w:sz w:val="56"/>
          <w:szCs w:val="56"/>
          <w:highlight w:val="none"/>
          <w:lang w:val="en-US" w:eastAsia="zh-CN"/>
        </w:rPr>
        <w:t>六</w:t>
      </w:r>
      <w:r>
        <w:rPr>
          <w:rFonts w:hint="default" w:ascii="Times New Roman" w:hAnsi="Times New Roman" w:eastAsia="黑体" w:cs="Times New Roman"/>
          <w:color w:val="auto"/>
          <w:sz w:val="56"/>
          <w:szCs w:val="56"/>
          <w:highlight w:val="none"/>
        </w:rPr>
        <w:t xml:space="preserve">章  </w:t>
      </w:r>
      <w:r>
        <w:rPr>
          <w:rFonts w:hint="default" w:ascii="Times New Roman" w:hAnsi="Times New Roman" w:eastAsia="黑体" w:cs="Times New Roman"/>
          <w:color w:val="auto"/>
          <w:sz w:val="56"/>
          <w:szCs w:val="56"/>
          <w:highlight w:val="none"/>
          <w:lang w:val="en-US" w:eastAsia="zh-CN"/>
        </w:rPr>
        <w:t>投标文件格式</w:t>
      </w:r>
      <w:r>
        <w:rPr>
          <w:rStyle w:val="37"/>
          <w:rFonts w:hint="default" w:ascii="Times New Roman" w:hAnsi="Times New Roman" w:eastAsia="黑体" w:cs="Times New Roman"/>
          <w:color w:val="auto"/>
          <w:sz w:val="56"/>
          <w:szCs w:val="56"/>
          <w:highlight w:val="none"/>
        </w:rPr>
        <w:footnoteReference w:id="27"/>
      </w:r>
      <w:bookmarkEnd w:id="593"/>
    </w:p>
    <w:p>
      <w:pPr>
        <w:pageBreakBefore w:val="0"/>
        <w:kinsoku/>
        <w:wordWrap w:val="0"/>
        <w:bidi w:val="0"/>
        <w:spacing w:line="40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pageBreakBefore w:val="0"/>
        <w:kinsoku/>
        <w:wordWrap w:val="0"/>
        <w:bidi w:val="0"/>
        <w:spacing w:line="400" w:lineRule="exact"/>
        <w:rPr>
          <w:rFonts w:hint="default" w:ascii="Times New Roman" w:hAnsi="Times New Roman" w:eastAsia="黑体" w:cs="Times New Roman"/>
          <w:b w:val="0"/>
          <w:bCs w:val="0"/>
          <w:color w:val="auto"/>
          <w:highlight w:val="none"/>
        </w:rPr>
      </w:pPr>
    </w:p>
    <w:p>
      <w:pPr>
        <w:pStyle w:val="9"/>
        <w:keepNext w:val="0"/>
        <w:keepLines w:val="0"/>
        <w:pageBreakBefore w:val="0"/>
        <w:widowControl w:val="0"/>
        <w:kinsoku/>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黑体" w:cs="Times New Roman"/>
          <w:color w:val="auto"/>
          <w:sz w:val="31"/>
          <w:szCs w:val="31"/>
          <w:highlight w:val="none"/>
        </w:rPr>
      </w:pPr>
      <w:r>
        <w:rPr>
          <w:rFonts w:hint="default" w:ascii="Times New Roman" w:hAnsi="Times New Roman" w:eastAsia="黑体" w:cs="Times New Roman"/>
          <w:color w:val="auto"/>
          <w:sz w:val="31"/>
          <w:szCs w:val="31"/>
          <w:highlight w:val="none"/>
          <w:u w:val="single"/>
          <w:lang w:val="en-US" w:eastAsia="zh-CN"/>
        </w:rPr>
        <w:t>辽宁</w:t>
      </w:r>
      <w:r>
        <w:rPr>
          <w:rFonts w:hint="default" w:ascii="Times New Roman" w:hAnsi="Times New Roman" w:eastAsia="黑体" w:cs="Times New Roman"/>
          <w:color w:val="auto"/>
          <w:sz w:val="31"/>
          <w:szCs w:val="31"/>
          <w:highlight w:val="none"/>
        </w:rPr>
        <w:t>省</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u w:val="single"/>
          <w:lang w:val="en-US" w:eastAsia="zh-CN"/>
        </w:rPr>
        <w:t xml:space="preserve">  </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u w:val="single"/>
          <w:lang w:val="en-US" w:eastAsia="zh-CN"/>
        </w:rPr>
        <w:t xml:space="preserve"> </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采购招标</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p>
    <w:p>
      <w:pPr>
        <w:pageBreakBefore w:val="0"/>
        <w:kinsoku/>
        <w:wordWrap w:val="0"/>
        <w:bidi w:val="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ageBreakBefore w:val="0"/>
        <w:kinsoku/>
        <w:wordWrap w:val="0"/>
        <w:bidi w:val="0"/>
        <w:rPr>
          <w:rFonts w:hint="default" w:ascii="Times New Roman" w:hAnsi="Times New Roman" w:eastAsia="黑体" w:cs="Times New Roman"/>
          <w:color w:val="auto"/>
          <w:sz w:val="20"/>
          <w:highlight w:val="none"/>
        </w:rPr>
      </w:pPr>
    </w:p>
    <w:p>
      <w:pPr>
        <w:pageBreakBefore w:val="0"/>
        <w:tabs>
          <w:tab w:val="left" w:pos="5460"/>
        </w:tabs>
        <w:kinsoku/>
        <w:wordWrap w:val="0"/>
        <w:bidi w:val="0"/>
        <w:ind w:firstLine="0" w:firstLineChars="0"/>
        <w:jc w:val="center"/>
        <w:rPr>
          <w:rFonts w:hint="default" w:ascii="Times New Roman" w:hAnsi="Times New Roman" w:eastAsia="黑体" w:cs="Times New Roman"/>
          <w:color w:val="auto"/>
          <w:sz w:val="72"/>
          <w:szCs w:val="72"/>
          <w:highlight w:val="none"/>
        </w:rPr>
      </w:pPr>
      <w:r>
        <w:rPr>
          <w:rFonts w:hint="default" w:ascii="Times New Roman" w:hAnsi="Times New Roman" w:eastAsia="黑体" w:cs="Times New Roman"/>
          <w:color w:val="auto"/>
          <w:sz w:val="72"/>
          <w:szCs w:val="72"/>
          <w:highlight w:val="none"/>
        </w:rPr>
        <w:t>投 标 文 件</w:t>
      </w:r>
    </w:p>
    <w:p>
      <w:pPr>
        <w:pageBreakBefore w:val="0"/>
        <w:tabs>
          <w:tab w:val="left" w:pos="5460"/>
        </w:tabs>
        <w:kinsoku/>
        <w:wordWrap w:val="0"/>
        <w:bidi w:val="0"/>
        <w:ind w:firstLine="0" w:firstLineChars="0"/>
        <w:jc w:val="center"/>
        <w:rPr>
          <w:rFonts w:hint="default" w:ascii="Times New Roman" w:hAnsi="Times New Roman" w:eastAsia="黑体" w:cs="Times New Roman"/>
          <w:color w:val="auto"/>
          <w:sz w:val="72"/>
          <w:szCs w:val="72"/>
          <w:highlight w:val="none"/>
        </w:rPr>
      </w:pPr>
    </w:p>
    <w:p>
      <w:pPr>
        <w:pageBreakBefore w:val="0"/>
        <w:kinsoku/>
        <w:wordWrap w:val="0"/>
        <w:bidi w:val="0"/>
        <w:jc w:val="center"/>
        <w:rPr>
          <w:rFonts w:hint="default" w:ascii="Times New Roman" w:hAnsi="Times New Roman" w:eastAsia="黑体" w:cs="Times New Roman"/>
          <w:color w:val="auto"/>
          <w:sz w:val="44"/>
          <w:highlight w:val="none"/>
        </w:rPr>
      </w:pPr>
      <w:r>
        <w:rPr>
          <w:rFonts w:hint="default" w:ascii="Times New Roman" w:hAnsi="Times New Roman" w:eastAsia="黑体" w:cs="Times New Roman"/>
          <w:b w:val="0"/>
          <w:color w:val="auto"/>
          <w:sz w:val="32"/>
          <w:szCs w:val="32"/>
          <w:highlight w:val="none"/>
        </w:rPr>
        <w:t>（</w:t>
      </w:r>
      <w:r>
        <w:rPr>
          <w:rFonts w:hint="default" w:ascii="Times New Roman" w:hAnsi="Times New Roman" w:eastAsia="黑体" w:cs="Times New Roman"/>
          <w:b w:val="0"/>
          <w:bCs w:val="0"/>
          <w:color w:val="auto"/>
          <w:sz w:val="32"/>
          <w:szCs w:val="32"/>
          <w:highlight w:val="none"/>
          <w:lang w:val="en-US" w:eastAsia="zh-CN"/>
        </w:rPr>
        <w:t>第一个信封</w:t>
      </w:r>
      <w:r>
        <w:rPr>
          <w:rFonts w:hint="default" w:ascii="Times New Roman" w:hAnsi="Times New Roman" w:cs="Times New Roman"/>
          <w:b w:val="0"/>
          <w:color w:val="auto"/>
          <w:sz w:val="32"/>
          <w:szCs w:val="32"/>
          <w:highlight w:val="none"/>
          <w:lang w:val="en-US" w:eastAsia="zh-CN"/>
        </w:rPr>
        <w:t xml:space="preserve"> </w:t>
      </w:r>
      <w:r>
        <w:rPr>
          <w:rFonts w:hint="default" w:ascii="Times New Roman" w:hAnsi="Times New Roman" w:eastAsia="黑体" w:cs="Times New Roman"/>
          <w:b w:val="0"/>
          <w:color w:val="auto"/>
          <w:sz w:val="32"/>
          <w:szCs w:val="32"/>
          <w:highlight w:val="none"/>
        </w:rPr>
        <w:t>商务及技术文件）</w:t>
      </w: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jc w:val="center"/>
        <w:rPr>
          <w:rFonts w:hint="default" w:ascii="Times New Roman" w:hAnsi="Times New Roman" w:eastAsia="黑体" w:cs="Times New Roman"/>
          <w:color w:val="auto"/>
          <w:sz w:val="28"/>
          <w:highlight w:val="none"/>
        </w:rPr>
      </w:pPr>
      <w:r>
        <w:rPr>
          <w:rFonts w:hint="default" w:ascii="Times New Roman" w:hAnsi="Times New Roman" w:eastAsia="黑体" w:cs="Times New Roman"/>
          <w:color w:val="auto"/>
          <w:sz w:val="28"/>
          <w:highlight w:val="none"/>
        </w:rPr>
        <w:t>投标人：</w:t>
      </w:r>
      <w:r>
        <w:rPr>
          <w:rFonts w:hint="default" w:ascii="Times New Roman" w:hAnsi="Times New Roman" w:cs="Times New Roman"/>
          <w:color w:val="auto"/>
          <w:highlight w:val="none"/>
          <w:u w:val="single"/>
        </w:rPr>
        <w:t xml:space="preserve">                                            </w:t>
      </w:r>
      <w:r>
        <w:rPr>
          <w:rFonts w:hint="default" w:ascii="Times New Roman" w:hAnsi="Times New Roman" w:eastAsia="黑体" w:cs="Times New Roman"/>
          <w:color w:val="auto"/>
          <w:sz w:val="28"/>
          <w:highlight w:val="none"/>
        </w:rPr>
        <w:t>（</w:t>
      </w:r>
      <w:r>
        <w:rPr>
          <w:rFonts w:hint="default" w:ascii="Times New Roman" w:hAnsi="Times New Roman" w:eastAsia="黑体" w:cs="Times New Roman"/>
          <w:color w:val="auto"/>
          <w:sz w:val="28"/>
          <w:highlight w:val="none"/>
          <w:lang w:eastAsia="zh-CN"/>
        </w:rPr>
        <w:t>盖单位电子印章</w:t>
      </w:r>
      <w:r>
        <w:rPr>
          <w:rFonts w:hint="default" w:ascii="Times New Roman" w:hAnsi="Times New Roman" w:eastAsia="黑体" w:cs="Times New Roman"/>
          <w:color w:val="auto"/>
          <w:sz w:val="28"/>
          <w:highlight w:val="none"/>
        </w:rPr>
        <w:t>）</w:t>
      </w:r>
    </w:p>
    <w:p>
      <w:pPr>
        <w:pageBreakBefore w:val="0"/>
        <w:kinsoku/>
        <w:wordWrap w:val="0"/>
        <w:bidi w:val="0"/>
        <w:spacing w:line="40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u w:val="single"/>
        </w:rPr>
        <w:t xml:space="preserve">       </w:t>
      </w:r>
      <w:r>
        <w:rPr>
          <w:rFonts w:hint="default" w:ascii="Times New Roman" w:hAnsi="Times New Roman" w:eastAsia="黑体" w:cs="Times New Roman"/>
          <w:color w:val="auto"/>
          <w:sz w:val="28"/>
          <w:highlight w:val="none"/>
        </w:rPr>
        <w:t>年</w:t>
      </w:r>
      <w:r>
        <w:rPr>
          <w:rFonts w:hint="default" w:ascii="Times New Roman" w:hAnsi="Times New Roman" w:cs="Times New Roman"/>
          <w:color w:val="auto"/>
          <w:highlight w:val="none"/>
          <w:u w:val="single"/>
        </w:rPr>
        <w:t xml:space="preserve">       </w:t>
      </w:r>
      <w:r>
        <w:rPr>
          <w:rFonts w:hint="default" w:ascii="Times New Roman" w:hAnsi="Times New Roman" w:eastAsia="黑体" w:cs="Times New Roman"/>
          <w:color w:val="auto"/>
          <w:sz w:val="28"/>
          <w:highlight w:val="none"/>
        </w:rPr>
        <w:t>月</w:t>
      </w:r>
      <w:r>
        <w:rPr>
          <w:rFonts w:hint="default" w:ascii="Times New Roman" w:hAnsi="Times New Roman" w:cs="Times New Roman"/>
          <w:color w:val="auto"/>
          <w:highlight w:val="none"/>
          <w:u w:val="single"/>
        </w:rPr>
        <w:t xml:space="preserve">       </w:t>
      </w:r>
      <w:r>
        <w:rPr>
          <w:rFonts w:hint="default" w:ascii="Times New Roman" w:hAnsi="Times New Roman" w:eastAsia="黑体" w:cs="Times New Roman"/>
          <w:color w:val="auto"/>
          <w:sz w:val="28"/>
          <w:highlight w:val="none"/>
        </w:rPr>
        <w:t>日</w:t>
      </w:r>
      <w:r>
        <w:rPr>
          <w:rFonts w:hint="default" w:ascii="Times New Roman" w:hAnsi="Times New Roman" w:cs="Times New Roman"/>
          <w:color w:val="auto"/>
          <w:highlight w:val="none"/>
        </w:rPr>
        <w:br w:type="page"/>
      </w:r>
    </w:p>
    <w:p>
      <w:pPr>
        <w:pStyle w:val="3"/>
        <w:pageBreakBefore w:val="0"/>
        <w:kinsoku/>
        <w:wordWrap w:val="0"/>
        <w:bidi w:val="0"/>
        <w:jc w:val="center"/>
        <w:rPr>
          <w:rFonts w:hint="default" w:ascii="Times New Roman" w:hAnsi="Times New Roman" w:cs="Times New Roman"/>
          <w:color w:val="auto"/>
          <w:highlight w:val="none"/>
        </w:rPr>
      </w:pPr>
      <w:bookmarkStart w:id="594" w:name="_Toc22598"/>
      <w:r>
        <w:rPr>
          <w:rFonts w:hint="default" w:ascii="Times New Roman" w:hAnsi="Times New Roman" w:cs="Times New Roman"/>
          <w:color w:val="auto"/>
          <w:highlight w:val="none"/>
        </w:rPr>
        <w:t>目</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录</w:t>
      </w:r>
      <w:bookmarkEnd w:id="594"/>
    </w:p>
    <w:p>
      <w:pPr>
        <w:pageBreakBefore w:val="0"/>
        <w:kinsoku/>
        <w:wordWrap w:val="0"/>
        <w:bidi w:val="0"/>
        <w:spacing w:line="540" w:lineRule="exact"/>
        <w:rPr>
          <w:rFonts w:hint="default" w:ascii="Times New Roman" w:hAnsi="Times New Roman" w:cs="Times New Roman"/>
          <w:color w:val="auto"/>
          <w:highlight w:val="none"/>
        </w:rPr>
      </w:pPr>
    </w:p>
    <w:p>
      <w:pPr>
        <w:pageBreakBefore w:val="0"/>
        <w:kinsoku/>
        <w:wordWrap w:val="0"/>
        <w:bidi w:val="0"/>
        <w:spacing w:line="5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一、投标函</w:t>
      </w:r>
    </w:p>
    <w:p>
      <w:pPr>
        <w:pageBreakBefore w:val="0"/>
        <w:kinsoku/>
        <w:wordWrap w:val="0"/>
        <w:bidi w:val="0"/>
        <w:spacing w:line="5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二、授权委托书或法定代表人身份证明</w:t>
      </w:r>
    </w:p>
    <w:p>
      <w:pPr>
        <w:pageBreakBefore w:val="0"/>
        <w:kinsoku/>
        <w:wordWrap w:val="0"/>
        <w:bidi w:val="0"/>
        <w:spacing w:line="5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三、联合体协议书</w:t>
      </w:r>
    </w:p>
    <w:p>
      <w:pPr>
        <w:pageBreakBefore w:val="0"/>
        <w:kinsoku/>
        <w:wordWrap w:val="0"/>
        <w:bidi w:val="0"/>
        <w:spacing w:line="5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四、投标保证金</w:t>
      </w:r>
    </w:p>
    <w:p>
      <w:pPr>
        <w:pageBreakBefore w:val="0"/>
        <w:kinsoku/>
        <w:wordWrap w:val="0"/>
        <w:bidi w:val="0"/>
        <w:spacing w:line="540" w:lineRule="exac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五、</w:t>
      </w:r>
      <w:r>
        <w:rPr>
          <w:rFonts w:hint="default" w:ascii="Times New Roman" w:hAnsi="Times New Roman" w:cs="Times New Roman"/>
          <w:color w:val="auto"/>
          <w:sz w:val="24"/>
          <w:szCs w:val="24"/>
          <w:highlight w:val="none"/>
          <w:lang w:val="en-US" w:eastAsia="zh-CN"/>
        </w:rPr>
        <w:t>商务和技术偏差表</w:t>
      </w:r>
    </w:p>
    <w:p>
      <w:pPr>
        <w:pageBreakBefore w:val="0"/>
        <w:kinsoku/>
        <w:wordWrap w:val="0"/>
        <w:bidi w:val="0"/>
        <w:spacing w:line="540" w:lineRule="exac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六</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资格审查资料</w:t>
      </w:r>
    </w:p>
    <w:p>
      <w:pPr>
        <w:pageBreakBefore w:val="0"/>
        <w:kinsoku/>
        <w:wordWrap w:val="0"/>
        <w:bidi w:val="0"/>
        <w:spacing w:line="540" w:lineRule="exac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七</w:t>
      </w:r>
      <w:r>
        <w:rPr>
          <w:rFonts w:hint="default" w:ascii="Times New Roman" w:hAnsi="Times New Roman" w:cs="Times New Roman"/>
          <w:color w:val="auto"/>
          <w:sz w:val="24"/>
          <w:szCs w:val="24"/>
          <w:highlight w:val="none"/>
        </w:rPr>
        <w:t>、投标设备技术性能指标的详细描述</w:t>
      </w:r>
      <w:r>
        <w:rPr>
          <w:rFonts w:hint="default" w:ascii="Times New Roman" w:hAnsi="Times New Roman" w:cs="Times New Roman"/>
          <w:color w:val="auto"/>
          <w:sz w:val="24"/>
          <w:szCs w:val="24"/>
          <w:highlight w:val="none"/>
          <w:lang w:val="en-US" w:eastAsia="zh-CN"/>
        </w:rPr>
        <w:t>/投标材料质量标准的详细描述</w:t>
      </w:r>
    </w:p>
    <w:p>
      <w:pPr>
        <w:pageBreakBefore w:val="0"/>
        <w:kinsoku/>
        <w:wordWrap w:val="0"/>
        <w:bidi w:val="0"/>
        <w:spacing w:line="540" w:lineRule="exact"/>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八、技术支持资料</w:t>
      </w:r>
    </w:p>
    <w:p>
      <w:pPr>
        <w:pageBreakBefore w:val="0"/>
        <w:kinsoku/>
        <w:wordWrap w:val="0"/>
        <w:bidi w:val="0"/>
        <w:spacing w:line="540" w:lineRule="exact"/>
        <w:rPr>
          <w:rFonts w:hint="default" w:ascii="Times New Roman" w:hAnsi="Times New Roman" w:eastAsia="宋体" w:cs="Times New Roman"/>
          <w:color w:val="auto"/>
          <w:sz w:val="24"/>
          <w:szCs w:val="24"/>
          <w:highlight w:val="none"/>
          <w:lang w:val="en-US" w:eastAsia="zh-CN"/>
        </w:rPr>
      </w:pPr>
      <w:bookmarkStart w:id="595" w:name="_Toc352691655"/>
      <w:bookmarkStart w:id="596" w:name="_Toc369531691"/>
      <w:bookmarkStart w:id="597" w:name="_Toc7039"/>
      <w:r>
        <w:rPr>
          <w:rFonts w:hint="default" w:ascii="Times New Roman" w:hAnsi="Times New Roman" w:cs="Times New Roman"/>
          <w:color w:val="auto"/>
          <w:sz w:val="24"/>
          <w:szCs w:val="24"/>
          <w:highlight w:val="none"/>
          <w:lang w:val="en-US" w:eastAsia="zh-CN"/>
        </w:rPr>
        <w:t>九、技术服务和质保期服务计划/相关服务计划</w:t>
      </w:r>
    </w:p>
    <w:p>
      <w:pPr>
        <w:pageBreakBefore w:val="0"/>
        <w:kinsoku/>
        <w:wordWrap w:val="0"/>
        <w:bidi w:val="0"/>
        <w:spacing w:line="540" w:lineRule="exac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十、投标人告知承诺函</w:t>
      </w:r>
    </w:p>
    <w:p>
      <w:pPr>
        <w:pageBreakBefore w:val="0"/>
        <w:kinsoku/>
        <w:wordWrap w:val="0"/>
        <w:bidi w:val="0"/>
        <w:spacing w:line="5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十一、</w:t>
      </w:r>
      <w:r>
        <w:rPr>
          <w:rFonts w:hint="default" w:ascii="Times New Roman" w:hAnsi="Times New Roman" w:cs="Times New Roman"/>
          <w:color w:val="auto"/>
          <w:sz w:val="24"/>
          <w:szCs w:val="24"/>
          <w:highlight w:val="none"/>
        </w:rPr>
        <w:t>其他资料</w:t>
      </w:r>
    </w:p>
    <w:p>
      <w:pPr>
        <w:pageBreakBefore w:val="0"/>
        <w:kinsoku/>
        <w:wordWrap w:val="0"/>
        <w:bidi w:val="0"/>
        <w:spacing w:line="540" w:lineRule="exact"/>
        <w:rPr>
          <w:rFonts w:hint="default" w:ascii="Times New Roman" w:hAnsi="Times New Roman" w:eastAsia="黑体" w:cs="Times New Roman"/>
          <w:color w:val="auto"/>
          <w:sz w:val="20"/>
          <w:highlight w:val="none"/>
        </w:rPr>
      </w:pPr>
    </w:p>
    <w:bookmarkEnd w:id="508"/>
    <w:bookmarkEnd w:id="509"/>
    <w:bookmarkEnd w:id="510"/>
    <w:bookmarkEnd w:id="511"/>
    <w:bookmarkEnd w:id="512"/>
    <w:bookmarkEnd w:id="513"/>
    <w:bookmarkEnd w:id="514"/>
    <w:bookmarkEnd w:id="515"/>
    <w:bookmarkEnd w:id="516"/>
    <w:bookmarkEnd w:id="595"/>
    <w:bookmarkEnd w:id="596"/>
    <w:bookmarkEnd w:id="597"/>
    <w:p>
      <w:pPr>
        <w:keepNext/>
        <w:topLinePunct/>
        <w:adjustRightInd w:val="0"/>
        <w:spacing w:line="440" w:lineRule="exact"/>
        <w:jc w:val="center"/>
        <w:textAlignment w:val="baseline"/>
        <w:outlineLvl w:val="1"/>
        <w:rPr>
          <w:rFonts w:hint="default" w:ascii="Times New Roman" w:hAnsi="Times New Roman" w:eastAsia="黑体" w:cs="Times New Roman"/>
          <w:color w:val="auto"/>
          <w:kern w:val="0"/>
          <w:sz w:val="28"/>
          <w:szCs w:val="20"/>
          <w:highlight w:val="none"/>
        </w:rPr>
        <w:sectPr>
          <w:headerReference r:id="rId11" w:type="even"/>
          <w:footnotePr>
            <w:numFmt w:val="decimalEnclosedCircleChinese"/>
            <w:numRestart w:val="eachPage"/>
          </w:footnotePr>
          <w:pgSz w:w="11905" w:h="16838"/>
          <w:pgMar w:top="1417" w:right="1417" w:bottom="1701" w:left="1417" w:header="850" w:footer="850" w:gutter="0"/>
          <w:pgNumType w:fmt="decimal"/>
          <w:cols w:space="720" w:num="1"/>
          <w:docGrid w:linePitch="312" w:charSpace="0"/>
        </w:sectPr>
      </w:pPr>
      <w:bookmarkStart w:id="598" w:name="_Toc137074941"/>
      <w:bookmarkStart w:id="599" w:name="_Toc320625052"/>
    </w:p>
    <w:p>
      <w:pPr>
        <w:keepNext/>
        <w:topLinePunct/>
        <w:adjustRightInd w:val="0"/>
        <w:spacing w:before="157" w:beforeLines="50" w:after="157" w:afterLines="50" w:line="240" w:lineRule="auto"/>
        <w:ind w:firstLine="0" w:firstLineChars="0"/>
        <w:jc w:val="center"/>
        <w:textAlignment w:val="baseline"/>
        <w:outlineLvl w:val="1"/>
        <w:rPr>
          <w:rFonts w:hint="default" w:ascii="Times New Roman" w:hAnsi="Times New Roman" w:eastAsia="黑体" w:cs="Times New Roman"/>
          <w:bCs w:val="0"/>
          <w:color w:val="auto"/>
          <w:kern w:val="0"/>
          <w:sz w:val="28"/>
          <w:szCs w:val="20"/>
          <w:highlight w:val="none"/>
        </w:rPr>
      </w:pPr>
      <w:bookmarkStart w:id="600" w:name="_Toc23071"/>
      <w:r>
        <w:rPr>
          <w:rFonts w:hint="default" w:ascii="Times New Roman" w:hAnsi="Times New Roman" w:eastAsia="黑体" w:cs="Times New Roman"/>
          <w:color w:val="auto"/>
          <w:kern w:val="0"/>
          <w:sz w:val="28"/>
          <w:szCs w:val="20"/>
          <w:highlight w:val="none"/>
        </w:rPr>
        <w:t>一、投标函</w:t>
      </w:r>
      <w:bookmarkEnd w:id="598"/>
      <w:bookmarkEnd w:id="599"/>
      <w:bookmarkEnd w:id="600"/>
    </w:p>
    <w:p>
      <w:pPr>
        <w:spacing w:line="440" w:lineRule="exact"/>
        <w:rPr>
          <w:rFonts w:ascii="Times New Roman" w:hAnsi="Times New Roman"/>
          <w:color w:val="auto"/>
          <w:szCs w:val="21"/>
          <w:highlight w:val="none"/>
        </w:rPr>
      </w:pPr>
      <w:r>
        <w:rPr>
          <w:rFonts w:ascii="Times New Roman" w:hAnsi="Times New Roman"/>
          <w:color w:val="auto"/>
          <w:highlight w:val="none"/>
          <w:u w:val="single"/>
        </w:rPr>
        <w:t xml:space="preserve">                  </w:t>
      </w:r>
      <w:r>
        <w:rPr>
          <w:rFonts w:ascii="Times New Roman" w:hAnsi="Times New Roman"/>
          <w:color w:val="auto"/>
          <w:szCs w:val="21"/>
          <w:highlight w:val="none"/>
        </w:rPr>
        <w:t>（招标人名称）：</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1．我方已仔细研究了</w:t>
      </w:r>
      <w:r>
        <w:rPr>
          <w:rFonts w:ascii="Times New Roman" w:hAnsi="Times New Roman"/>
          <w:color w:val="auto"/>
          <w:highlight w:val="none"/>
          <w:u w:val="single"/>
        </w:rPr>
        <w:t xml:space="preserve">                  </w:t>
      </w:r>
      <w:r>
        <w:rPr>
          <w:rFonts w:ascii="Times New Roman" w:hAnsi="Times New Roman"/>
          <w:color w:val="auto"/>
          <w:highlight w:val="none"/>
        </w:rPr>
        <w:t>（项目名称）</w:t>
      </w:r>
      <w:r>
        <w:rPr>
          <w:rFonts w:hint="default" w:ascii="Times New Roman" w:hAnsi="Times New Roman"/>
          <w:color w:val="auto"/>
          <w:highlight w:val="none"/>
          <w:u w:val="single"/>
        </w:rPr>
        <w:t xml:space="preserve">         </w:t>
      </w:r>
      <w:r>
        <w:rPr>
          <w:rFonts w:hint="default" w:ascii="Times New Roman" w:hAnsi="Times New Roman"/>
          <w:color w:val="auto"/>
          <w:highlight w:val="none"/>
        </w:rPr>
        <w:t>（标段名称）</w:t>
      </w:r>
      <w:r>
        <w:rPr>
          <w:rFonts w:ascii="Times New Roman" w:hAnsi="Times New Roman"/>
          <w:color w:val="auto"/>
          <w:highlight w:val="none"/>
        </w:rPr>
        <w:t>采购招标项目</w:t>
      </w:r>
      <w:r>
        <w:rPr>
          <w:rFonts w:ascii="Times New Roman" w:hAnsi="Times New Roman"/>
          <w:color w:val="auto"/>
          <w:szCs w:val="21"/>
          <w:highlight w:val="none"/>
        </w:rPr>
        <w:t>招标文件的全部内容</w:t>
      </w:r>
      <w:r>
        <w:rPr>
          <w:rFonts w:hint="default" w:ascii="Times New Roman" w:hAnsi="Times New Roman"/>
          <w:color w:val="auto"/>
          <w:szCs w:val="21"/>
          <w:highlight w:val="none"/>
        </w:rPr>
        <w:t>（含补遗书第___号至第___号）</w:t>
      </w:r>
      <w:r>
        <w:rPr>
          <w:rFonts w:ascii="Times New Roman" w:hAnsi="Times New Roman"/>
          <w:color w:val="auto"/>
          <w:szCs w:val="21"/>
          <w:highlight w:val="none"/>
        </w:rPr>
        <w:t>，</w:t>
      </w:r>
      <w:r>
        <w:rPr>
          <w:rFonts w:hint="default" w:ascii="Times New Roman" w:hAnsi="Times New Roman"/>
          <w:color w:val="auto"/>
          <w:szCs w:val="21"/>
          <w:highlight w:val="none"/>
        </w:rPr>
        <w:t>愿意以第二个信封（报价文件）中的投标总报价（或根据招标文件规定修正核实后确定的另一金额）</w:t>
      </w:r>
      <w:r>
        <w:rPr>
          <w:rFonts w:ascii="Times New Roman" w:hAnsi="Times New Roman"/>
          <w:color w:val="auto"/>
          <w:szCs w:val="21"/>
          <w:highlight w:val="none"/>
        </w:rPr>
        <w:t>提供</w:t>
      </w:r>
      <w:r>
        <w:rPr>
          <w:rFonts w:ascii="Times New Roman" w:hAnsi="Times New Roman"/>
          <w:color w:val="auto"/>
          <w:highlight w:val="none"/>
          <w:u w:val="single"/>
        </w:rPr>
        <w:t xml:space="preserve">                 </w:t>
      </w:r>
      <w:r>
        <w:rPr>
          <w:rFonts w:ascii="Times New Roman" w:hAnsi="Times New Roman"/>
          <w:color w:val="auto"/>
          <w:szCs w:val="21"/>
          <w:highlight w:val="none"/>
        </w:rPr>
        <w:t>（设备名称及技术服务和质保期服务）</w:t>
      </w:r>
      <w:r>
        <w:rPr>
          <w:rFonts w:hint="default" w:ascii="Times New Roman" w:hAnsi="Times New Roman"/>
          <w:color w:val="auto"/>
          <w:szCs w:val="21"/>
          <w:highlight w:val="none"/>
          <w:lang w:val="en-US" w:eastAsia="zh-CN"/>
        </w:rPr>
        <w:t>/</w:t>
      </w:r>
      <w:r>
        <w:rPr>
          <w:rFonts w:ascii="Times New Roman" w:hAnsi="Times New Roman"/>
          <w:color w:val="auto"/>
          <w:szCs w:val="21"/>
          <w:highlight w:val="none"/>
        </w:rPr>
        <w:t>（材料名称及相关服务），并按合同约定履行义务。</w:t>
      </w:r>
    </w:p>
    <w:p>
      <w:pPr>
        <w:spacing w:line="440" w:lineRule="exact"/>
        <w:ind w:firstLine="480" w:firstLineChars="200"/>
        <w:rPr>
          <w:rFonts w:hint="default" w:ascii="Times New Roman" w:hAnsi="Times New Roman" w:eastAsia="宋体"/>
          <w:color w:val="auto"/>
          <w:szCs w:val="21"/>
          <w:highlight w:val="none"/>
          <w:lang w:val="en-US" w:eastAsia="zh-CN"/>
        </w:rPr>
      </w:pPr>
      <w:r>
        <w:rPr>
          <w:rFonts w:hint="eastAsia" w:ascii="Times New Roman" w:hAnsi="Times New Roman"/>
          <w:color w:val="auto"/>
          <w:szCs w:val="21"/>
          <w:highlight w:val="none"/>
          <w:lang w:val="en-US" w:eastAsia="zh-CN"/>
        </w:rPr>
        <w:t>2.</w:t>
      </w:r>
      <w:r>
        <w:rPr>
          <w:rFonts w:hint="eastAsia" w:ascii="Times New Roman" w:hAnsi="Times New Roman" w:cs="Times New Roman"/>
          <w:color w:val="auto"/>
          <w:sz w:val="24"/>
          <w:highlight w:val="none"/>
          <w:lang w:val="en-US" w:eastAsia="zh-CN"/>
        </w:rPr>
        <w:t>交货期</w:t>
      </w:r>
      <w:r>
        <w:rPr>
          <w:rFonts w:hint="default" w:ascii="Times New Roman" w:hAnsi="Times New Roman" w:cs="Times New Roman"/>
          <w:color w:val="auto"/>
          <w:sz w:val="24"/>
          <w:highlight w:val="none"/>
        </w:rPr>
        <w:t>：</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w:t>
      </w:r>
    </w:p>
    <w:p>
      <w:pPr>
        <w:spacing w:line="440" w:lineRule="exact"/>
        <w:ind w:firstLine="480" w:firstLineChars="200"/>
        <w:rPr>
          <w:rFonts w:ascii="Times New Roman" w:hAnsi="Times New Roman"/>
          <w:color w:val="auto"/>
          <w:szCs w:val="21"/>
          <w:highlight w:val="none"/>
        </w:rPr>
      </w:pPr>
      <w:r>
        <w:rPr>
          <w:rFonts w:hint="eastAsia" w:ascii="Times New Roman" w:hAnsi="Times New Roman"/>
          <w:color w:val="auto"/>
          <w:szCs w:val="21"/>
          <w:highlight w:val="none"/>
          <w:lang w:val="en-US" w:eastAsia="zh-CN"/>
        </w:rPr>
        <w:t>3</w:t>
      </w:r>
      <w:r>
        <w:rPr>
          <w:rFonts w:ascii="Times New Roman" w:hAnsi="Times New Roman"/>
          <w:color w:val="auto"/>
          <w:szCs w:val="21"/>
          <w:highlight w:val="none"/>
        </w:rPr>
        <w:t>. 我方的投标文件</w:t>
      </w:r>
      <w:r>
        <w:rPr>
          <w:rFonts w:hint="default" w:ascii="Times New Roman" w:hAnsi="Times New Roman"/>
          <w:color w:val="auto"/>
          <w:szCs w:val="21"/>
          <w:highlight w:val="none"/>
          <w:lang w:eastAsia="zh-CN"/>
        </w:rPr>
        <w:t>（</w:t>
      </w:r>
      <w:r>
        <w:rPr>
          <w:rFonts w:hint="default" w:ascii="Times New Roman" w:hAnsi="Times New Roman"/>
          <w:color w:val="auto"/>
          <w:szCs w:val="21"/>
          <w:highlight w:val="none"/>
          <w:lang w:val="en-US" w:eastAsia="zh-CN"/>
        </w:rPr>
        <w:t>第一个信封  商务及技术文件</w:t>
      </w:r>
      <w:r>
        <w:rPr>
          <w:rFonts w:hint="default" w:ascii="Times New Roman" w:hAnsi="Times New Roman"/>
          <w:color w:val="auto"/>
          <w:szCs w:val="21"/>
          <w:highlight w:val="none"/>
          <w:lang w:eastAsia="zh-CN"/>
        </w:rPr>
        <w:t>）</w:t>
      </w:r>
      <w:r>
        <w:rPr>
          <w:rFonts w:ascii="Times New Roman" w:hAnsi="Times New Roman"/>
          <w:color w:val="auto"/>
          <w:szCs w:val="21"/>
          <w:highlight w:val="none"/>
        </w:rPr>
        <w:t>包括下列内容：</w:t>
      </w:r>
    </w:p>
    <w:p>
      <w:pPr>
        <w:spacing w:line="400" w:lineRule="exact"/>
        <w:ind w:firstLine="405"/>
        <w:rPr>
          <w:rFonts w:ascii="Times New Roman" w:hAnsi="Times New Roman"/>
          <w:color w:val="auto"/>
          <w:highlight w:val="none"/>
        </w:rPr>
      </w:pPr>
      <w:r>
        <w:rPr>
          <w:rFonts w:ascii="Times New Roman" w:hAnsi="Times New Roman"/>
          <w:color w:val="auto"/>
          <w:highlight w:val="none"/>
        </w:rPr>
        <w:t>（1）投标函；</w:t>
      </w:r>
    </w:p>
    <w:p>
      <w:pPr>
        <w:spacing w:line="400" w:lineRule="exact"/>
        <w:ind w:firstLine="405"/>
        <w:rPr>
          <w:rFonts w:ascii="Times New Roman" w:hAnsi="Times New Roman"/>
          <w:color w:val="auto"/>
          <w:highlight w:val="none"/>
        </w:rPr>
      </w:pPr>
      <w:r>
        <w:rPr>
          <w:rFonts w:ascii="Times New Roman" w:hAnsi="Times New Roman"/>
          <w:color w:val="auto"/>
          <w:highlight w:val="none"/>
        </w:rPr>
        <w:t>（2）法定代表人（单位负责人）身份证明或授权委托书；</w:t>
      </w:r>
    </w:p>
    <w:p>
      <w:pPr>
        <w:spacing w:line="400" w:lineRule="exact"/>
        <w:ind w:firstLine="405"/>
        <w:rPr>
          <w:rFonts w:ascii="Times New Roman" w:hAnsi="Times New Roman"/>
          <w:color w:val="auto"/>
          <w:highlight w:val="none"/>
        </w:rPr>
      </w:pPr>
      <w:r>
        <w:rPr>
          <w:rFonts w:ascii="Times New Roman" w:hAnsi="Times New Roman"/>
          <w:color w:val="auto"/>
          <w:highlight w:val="none"/>
        </w:rPr>
        <w:t>（3）联合体协议书（如有）；</w:t>
      </w:r>
    </w:p>
    <w:p>
      <w:pPr>
        <w:spacing w:line="400" w:lineRule="exact"/>
        <w:ind w:firstLine="405"/>
        <w:rPr>
          <w:rFonts w:ascii="Times New Roman" w:hAnsi="Times New Roman"/>
          <w:color w:val="auto"/>
          <w:highlight w:val="none"/>
        </w:rPr>
      </w:pPr>
      <w:r>
        <w:rPr>
          <w:rFonts w:ascii="Times New Roman" w:hAnsi="Times New Roman"/>
          <w:color w:val="auto"/>
          <w:highlight w:val="none"/>
        </w:rPr>
        <w:t>（4）投标保证金（如有）；</w:t>
      </w:r>
    </w:p>
    <w:p>
      <w:pPr>
        <w:spacing w:line="400" w:lineRule="exact"/>
        <w:ind w:firstLine="405"/>
        <w:rPr>
          <w:rFonts w:ascii="Times New Roman" w:hAnsi="Times New Roman"/>
          <w:color w:val="auto"/>
          <w:highlight w:val="none"/>
        </w:rPr>
      </w:pPr>
      <w:r>
        <w:rPr>
          <w:rFonts w:ascii="Times New Roman" w:hAnsi="Times New Roman"/>
          <w:color w:val="auto"/>
          <w:highlight w:val="none"/>
        </w:rPr>
        <w:t>（5）商务和技术偏差表；</w:t>
      </w:r>
    </w:p>
    <w:p>
      <w:pPr>
        <w:spacing w:line="400" w:lineRule="exact"/>
        <w:ind w:firstLine="405"/>
        <w:rPr>
          <w:rFonts w:ascii="Times New Roman" w:hAnsi="Times New Roman"/>
          <w:color w:val="auto"/>
          <w:highlight w:val="none"/>
        </w:rPr>
      </w:pPr>
      <w:r>
        <w:rPr>
          <w:rFonts w:ascii="Times New Roman" w:hAnsi="Times New Roman"/>
          <w:color w:val="auto"/>
          <w:highlight w:val="none"/>
        </w:rPr>
        <w:t>（6）资格审查资料；</w:t>
      </w:r>
    </w:p>
    <w:p>
      <w:pPr>
        <w:spacing w:line="400" w:lineRule="exact"/>
        <w:ind w:firstLine="405"/>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lang w:val="en-US" w:eastAsia="zh-CN"/>
        </w:rPr>
        <w:t>7</w:t>
      </w:r>
      <w:r>
        <w:rPr>
          <w:rFonts w:ascii="Times New Roman" w:hAnsi="Times New Roman"/>
          <w:color w:val="auto"/>
          <w:highlight w:val="none"/>
        </w:rPr>
        <w:t>）投标设备技术性能指标的详细描述</w:t>
      </w:r>
      <w:r>
        <w:rPr>
          <w:rFonts w:hint="eastAsia" w:ascii="Times New Roman" w:hAnsi="Times New Roman"/>
          <w:color w:val="auto"/>
          <w:highlight w:val="none"/>
        </w:rPr>
        <w:t>/投标材料质量标准的详细描述</w:t>
      </w:r>
      <w:r>
        <w:rPr>
          <w:rFonts w:ascii="Times New Roman" w:hAnsi="Times New Roman"/>
          <w:color w:val="auto"/>
          <w:highlight w:val="none"/>
        </w:rPr>
        <w:t>；</w:t>
      </w:r>
    </w:p>
    <w:p>
      <w:pPr>
        <w:spacing w:line="400" w:lineRule="exact"/>
        <w:ind w:firstLine="405"/>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lang w:val="en-US" w:eastAsia="zh-CN"/>
        </w:rPr>
        <w:t>8</w:t>
      </w:r>
      <w:r>
        <w:rPr>
          <w:rFonts w:ascii="Times New Roman" w:hAnsi="Times New Roman"/>
          <w:color w:val="auto"/>
          <w:highlight w:val="none"/>
        </w:rPr>
        <w:t>）技术支持资料；</w:t>
      </w:r>
    </w:p>
    <w:p>
      <w:pPr>
        <w:spacing w:line="400" w:lineRule="exact"/>
        <w:ind w:firstLine="405"/>
        <w:rPr>
          <w:rFonts w:ascii="Times New Roman" w:hAnsi="Times New Roman"/>
          <w:color w:val="auto"/>
          <w:highlight w:val="none"/>
        </w:rPr>
      </w:pPr>
      <w:r>
        <w:rPr>
          <w:rFonts w:ascii="Times New Roman" w:hAnsi="Times New Roman"/>
          <w:color w:val="auto"/>
          <w:highlight w:val="none"/>
        </w:rPr>
        <w:t>（</w:t>
      </w:r>
      <w:r>
        <w:rPr>
          <w:rFonts w:hint="default" w:ascii="Times New Roman" w:hAnsi="Times New Roman"/>
          <w:color w:val="auto"/>
          <w:highlight w:val="none"/>
          <w:lang w:val="en-US" w:eastAsia="zh-CN"/>
        </w:rPr>
        <w:t>9</w:t>
      </w:r>
      <w:r>
        <w:rPr>
          <w:rFonts w:ascii="Times New Roman" w:hAnsi="Times New Roman"/>
          <w:color w:val="auto"/>
          <w:highlight w:val="none"/>
        </w:rPr>
        <w:t>）技术服务和质保期服务计划</w:t>
      </w:r>
      <w:r>
        <w:rPr>
          <w:rFonts w:hint="default" w:ascii="Times New Roman" w:hAnsi="Times New Roman"/>
          <w:color w:val="auto"/>
          <w:highlight w:val="none"/>
          <w:lang w:val="en-US" w:eastAsia="zh-CN"/>
        </w:rPr>
        <w:t>/相关服务计划</w:t>
      </w:r>
      <w:r>
        <w:rPr>
          <w:rFonts w:ascii="Times New Roman" w:hAnsi="Times New Roman"/>
          <w:color w:val="auto"/>
          <w:highlight w:val="none"/>
        </w:rPr>
        <w:t>；</w:t>
      </w:r>
    </w:p>
    <w:p>
      <w:pPr>
        <w:spacing w:line="400" w:lineRule="exact"/>
        <w:ind w:firstLine="405"/>
        <w:rPr>
          <w:rFonts w:hint="default" w:ascii="Times New Roman" w:hAnsi="Times New Roman"/>
          <w:color w:val="auto"/>
          <w:highlight w:val="none"/>
          <w:lang w:val="en-US" w:eastAsia="zh-CN"/>
        </w:rPr>
      </w:pPr>
      <w:r>
        <w:rPr>
          <w:rFonts w:hint="default" w:ascii="Times New Roman" w:hAnsi="Times New Roman"/>
          <w:color w:val="auto"/>
          <w:highlight w:val="none"/>
          <w:lang w:eastAsia="zh-CN"/>
        </w:rPr>
        <w:t>（</w:t>
      </w:r>
      <w:r>
        <w:rPr>
          <w:rFonts w:hint="default" w:ascii="Times New Roman" w:hAnsi="Times New Roman"/>
          <w:color w:val="auto"/>
          <w:highlight w:val="none"/>
          <w:lang w:val="en-US" w:eastAsia="zh-CN"/>
        </w:rPr>
        <w:t>10</w:t>
      </w:r>
      <w:r>
        <w:rPr>
          <w:rFonts w:hint="default" w:ascii="Times New Roman" w:hAnsi="Times New Roman"/>
          <w:color w:val="auto"/>
          <w:highlight w:val="none"/>
          <w:lang w:eastAsia="zh-CN"/>
        </w:rPr>
        <w:t>）</w:t>
      </w:r>
      <w:r>
        <w:rPr>
          <w:rFonts w:hint="default" w:ascii="Times New Roman" w:hAnsi="Times New Roman"/>
          <w:color w:val="auto"/>
          <w:highlight w:val="none"/>
          <w:lang w:val="en-US" w:eastAsia="zh-CN"/>
        </w:rPr>
        <w:t>投标人告知承诺函；</w:t>
      </w:r>
    </w:p>
    <w:p>
      <w:pPr>
        <w:spacing w:line="400" w:lineRule="exact"/>
        <w:ind w:firstLine="405"/>
        <w:rPr>
          <w:rFonts w:hint="default" w:ascii="Times New Roman" w:hAnsi="Times New Roman"/>
          <w:color w:val="auto"/>
          <w:highlight w:val="none"/>
          <w:lang w:val="en-US" w:eastAsia="zh-CN"/>
        </w:rPr>
      </w:pPr>
      <w:r>
        <w:rPr>
          <w:rFonts w:hint="default" w:ascii="Times New Roman" w:hAnsi="Times New Roman"/>
          <w:color w:val="auto"/>
          <w:highlight w:val="none"/>
          <w:lang w:val="en-US" w:eastAsia="zh-CN"/>
        </w:rPr>
        <w:t>（11）其他资料；</w:t>
      </w:r>
    </w:p>
    <w:p>
      <w:pPr>
        <w:spacing w:line="400" w:lineRule="exact"/>
        <w:ind w:firstLine="405"/>
        <w:rPr>
          <w:rFonts w:ascii="Times New Roman" w:hAnsi="Times New Roman"/>
          <w:color w:val="auto"/>
          <w:sz w:val="22"/>
          <w:highlight w:val="none"/>
        </w:rPr>
      </w:pPr>
      <w:r>
        <w:rPr>
          <w:rFonts w:ascii="Times New Roman" w:hAnsi="Times New Roman"/>
          <w:color w:val="auto"/>
          <w:highlight w:val="none"/>
        </w:rPr>
        <w:t>……</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投标文件的上述组成部分如存在内容不一致的，以投标函为准。</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3．我方承诺除</w:t>
      </w:r>
      <w:r>
        <w:rPr>
          <w:rFonts w:ascii="Times New Roman" w:hAnsi="Times New Roman"/>
          <w:color w:val="auto"/>
          <w:sz w:val="22"/>
          <w:highlight w:val="none"/>
        </w:rPr>
        <w:t>商务和技术</w:t>
      </w:r>
      <w:r>
        <w:rPr>
          <w:rFonts w:ascii="Times New Roman" w:hAnsi="Times New Roman"/>
          <w:color w:val="auto"/>
          <w:szCs w:val="21"/>
          <w:highlight w:val="none"/>
        </w:rPr>
        <w:t>偏差表列出的偏差外，我方响应招标文件的全部要求。</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4．我方承诺在招标文件规定的投标有效期内不撤销投标文件。</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5．如我方中标，我方承诺：</w:t>
      </w:r>
    </w:p>
    <w:p>
      <w:pPr>
        <w:spacing w:line="440" w:lineRule="exact"/>
        <w:ind w:left="1080" w:leftChars="400" w:hanging="120" w:hangingChars="50"/>
        <w:rPr>
          <w:rFonts w:ascii="Times New Roman" w:hAnsi="Times New Roman"/>
          <w:color w:val="auto"/>
          <w:szCs w:val="21"/>
          <w:highlight w:val="none"/>
        </w:rPr>
      </w:pPr>
      <w:r>
        <w:rPr>
          <w:rFonts w:ascii="Times New Roman" w:hAnsi="Times New Roman"/>
          <w:color w:val="auto"/>
          <w:szCs w:val="21"/>
          <w:highlight w:val="none"/>
        </w:rPr>
        <w:t>（1）在收到中标通知书后，在中标通知书规定的期限内与你方签订合同；</w:t>
      </w:r>
    </w:p>
    <w:p>
      <w:pPr>
        <w:spacing w:line="440" w:lineRule="exact"/>
        <w:ind w:left="1080" w:leftChars="400" w:hanging="120" w:hangingChars="50"/>
        <w:rPr>
          <w:rFonts w:ascii="Times New Roman" w:hAnsi="Times New Roman"/>
          <w:color w:val="auto"/>
          <w:szCs w:val="21"/>
          <w:highlight w:val="none"/>
        </w:rPr>
      </w:pPr>
      <w:r>
        <w:rPr>
          <w:rFonts w:ascii="Times New Roman" w:hAnsi="Times New Roman"/>
          <w:color w:val="auto"/>
          <w:szCs w:val="21"/>
          <w:highlight w:val="none"/>
        </w:rPr>
        <w:t>（2）在签订合同时不向你方提出附加条件；</w:t>
      </w:r>
    </w:p>
    <w:p>
      <w:pPr>
        <w:spacing w:line="440" w:lineRule="exact"/>
        <w:ind w:left="1080" w:leftChars="400" w:hanging="120" w:hangingChars="50"/>
        <w:rPr>
          <w:rFonts w:ascii="Times New Roman" w:hAnsi="Times New Roman"/>
          <w:color w:val="auto"/>
          <w:szCs w:val="21"/>
          <w:highlight w:val="none"/>
        </w:rPr>
      </w:pPr>
      <w:r>
        <w:rPr>
          <w:rFonts w:ascii="Times New Roman" w:hAnsi="Times New Roman"/>
          <w:color w:val="auto"/>
          <w:szCs w:val="21"/>
          <w:highlight w:val="none"/>
        </w:rPr>
        <w:t>（3）按照招标文件要求提交履约保证金；</w:t>
      </w:r>
      <w:bookmarkStart w:id="601" w:name="_Toc369531694"/>
      <w:bookmarkStart w:id="602" w:name="_Toc352691658"/>
      <w:bookmarkStart w:id="603" w:name="_Toc1187"/>
    </w:p>
    <w:p>
      <w:pPr>
        <w:spacing w:line="440" w:lineRule="exact"/>
        <w:ind w:left="1080" w:leftChars="400" w:hanging="120" w:hangingChars="50"/>
        <w:rPr>
          <w:rFonts w:ascii="Times New Roman" w:hAnsi="Times New Roman"/>
          <w:color w:val="auto"/>
          <w:szCs w:val="21"/>
          <w:highlight w:val="none"/>
        </w:rPr>
      </w:pPr>
      <w:r>
        <w:rPr>
          <w:rFonts w:ascii="Times New Roman" w:hAnsi="Times New Roman"/>
          <w:color w:val="auto"/>
          <w:szCs w:val="21"/>
          <w:highlight w:val="none"/>
        </w:rPr>
        <w:t>（4）在合</w:t>
      </w:r>
      <w:bookmarkEnd w:id="601"/>
      <w:bookmarkEnd w:id="602"/>
      <w:bookmarkEnd w:id="603"/>
      <w:r>
        <w:rPr>
          <w:rFonts w:ascii="Times New Roman" w:hAnsi="Times New Roman"/>
          <w:color w:val="auto"/>
          <w:szCs w:val="21"/>
          <w:highlight w:val="none"/>
        </w:rPr>
        <w:t>同约定的期限内完成合同规定的全部义务。</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6．</w:t>
      </w:r>
      <w:r>
        <w:rPr>
          <w:rFonts w:ascii="Times New Roman" w:hAnsi="Times New Roman"/>
          <w:color w:val="auto"/>
          <w:highlight w:val="none"/>
        </w:rPr>
        <w:t>我方在此声明，所递交的投标文件及有关资料内容完整、真实和准确，且不存在第二章</w:t>
      </w:r>
      <w:r>
        <w:rPr>
          <w:rFonts w:hint="eastAsia" w:ascii="宋体" w:hAnsi="宋体" w:eastAsia="宋体" w:cs="宋体"/>
          <w:color w:val="auto"/>
          <w:highlight w:val="none"/>
        </w:rPr>
        <w:t>“</w:t>
      </w:r>
      <w:r>
        <w:rPr>
          <w:rFonts w:ascii="Times New Roman" w:hAnsi="Times New Roman"/>
          <w:color w:val="auto"/>
          <w:highlight w:val="none"/>
        </w:rPr>
        <w:t>投标人须知</w:t>
      </w:r>
      <w:r>
        <w:rPr>
          <w:rFonts w:hint="eastAsia" w:ascii="宋体" w:hAnsi="宋体" w:eastAsia="宋体" w:cs="宋体"/>
          <w:color w:val="auto"/>
          <w:highlight w:val="none"/>
        </w:rPr>
        <w:t>”</w:t>
      </w:r>
      <w:r>
        <w:rPr>
          <w:rFonts w:ascii="Times New Roman" w:hAnsi="Times New Roman"/>
          <w:color w:val="auto"/>
          <w:highlight w:val="none"/>
        </w:rPr>
        <w:t>第1.4.3项规定的任何一种情形。</w:t>
      </w:r>
    </w:p>
    <w:p>
      <w:pPr>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7．</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rPr>
        <w:t>（其他补充说明）。</w:t>
      </w:r>
    </w:p>
    <w:p>
      <w:pPr>
        <w:spacing w:line="440" w:lineRule="exact"/>
        <w:ind w:firstLine="480" w:firstLineChars="200"/>
        <w:rPr>
          <w:rFonts w:ascii="Times New Roman" w:hAnsi="Times New Roman"/>
          <w:color w:val="auto"/>
          <w:szCs w:val="21"/>
          <w:highlight w:val="none"/>
        </w:rPr>
      </w:pPr>
    </w:p>
    <w:p>
      <w:pPr>
        <w:spacing w:line="440" w:lineRule="exact"/>
        <w:ind w:firstLine="1680" w:firstLineChars="700"/>
        <w:jc w:val="left"/>
        <w:rPr>
          <w:rFonts w:ascii="Times New Roman" w:hAnsi="Times New Roman"/>
          <w:color w:val="auto"/>
          <w:szCs w:val="21"/>
          <w:highlight w:val="none"/>
        </w:rPr>
      </w:pPr>
      <w:bookmarkStart w:id="604" w:name="_Toc16824"/>
      <w:bookmarkEnd w:id="604"/>
      <w:bookmarkStart w:id="605" w:name="_Toc352691660"/>
      <w:bookmarkEnd w:id="605"/>
      <w:bookmarkStart w:id="606" w:name="_Toc352691659"/>
      <w:bookmarkEnd w:id="606"/>
      <w:bookmarkStart w:id="607" w:name="_Toc369531695"/>
      <w:bookmarkEnd w:id="607"/>
      <w:bookmarkStart w:id="608" w:name="_Toc16568"/>
      <w:bookmarkEnd w:id="608"/>
      <w:bookmarkStart w:id="609" w:name="_Toc369531696"/>
      <w:bookmarkEnd w:id="609"/>
      <w:r>
        <w:rPr>
          <w:rFonts w:ascii="Times New Roman" w:hAnsi="Times New Roman"/>
          <w:color w:val="auto"/>
          <w:szCs w:val="21"/>
          <w:highlight w:val="none"/>
        </w:rPr>
        <w:t>投 标 人：</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rPr>
        <w:t>（盖单位</w:t>
      </w:r>
      <w:r>
        <w:rPr>
          <w:rFonts w:hint="default" w:ascii="Times New Roman" w:hAnsi="Times New Roman"/>
          <w:color w:val="auto"/>
          <w:szCs w:val="21"/>
          <w:highlight w:val="none"/>
          <w:lang w:val="en-US" w:eastAsia="zh-CN"/>
        </w:rPr>
        <w:t>电子印</w:t>
      </w:r>
      <w:r>
        <w:rPr>
          <w:rFonts w:ascii="Times New Roman" w:hAnsi="Times New Roman"/>
          <w:color w:val="auto"/>
          <w:szCs w:val="21"/>
          <w:highlight w:val="none"/>
        </w:rPr>
        <w:t>章）</w:t>
      </w:r>
    </w:p>
    <w:p>
      <w:pPr>
        <w:spacing w:line="440" w:lineRule="exact"/>
        <w:jc w:val="left"/>
        <w:rPr>
          <w:rFonts w:ascii="Times New Roman" w:hAnsi="Times New Roman"/>
          <w:color w:val="auto"/>
          <w:szCs w:val="21"/>
          <w:highlight w:val="none"/>
        </w:rPr>
      </w:pPr>
      <w:r>
        <w:rPr>
          <w:rFonts w:ascii="Times New Roman" w:hAnsi="Times New Roman"/>
          <w:color w:val="auto"/>
          <w:highlight w:val="none"/>
        </w:rPr>
        <w:t xml:space="preserve">          法定代表人</w:t>
      </w:r>
      <w:r>
        <w:rPr>
          <w:rFonts w:ascii="Times New Roman" w:hAnsi="Times New Roman"/>
          <w:color w:val="auto"/>
          <w:szCs w:val="21"/>
          <w:highlight w:val="none"/>
        </w:rPr>
        <w:t>或其委托代理人：</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rPr>
        <w:t>（</w:t>
      </w:r>
      <w:r>
        <w:rPr>
          <w:rFonts w:hint="default" w:ascii="Times New Roman" w:hAnsi="Times New Roman"/>
          <w:color w:val="auto"/>
          <w:szCs w:val="21"/>
          <w:highlight w:val="none"/>
          <w:lang w:val="en-US" w:eastAsia="zh-CN"/>
        </w:rPr>
        <w:t>个人电子签名或电子印章</w:t>
      </w:r>
      <w:r>
        <w:rPr>
          <w:rFonts w:ascii="Times New Roman" w:hAnsi="Times New Roman"/>
          <w:color w:val="auto"/>
          <w:szCs w:val="21"/>
          <w:highlight w:val="none"/>
        </w:rPr>
        <w:t>）</w:t>
      </w:r>
    </w:p>
    <w:p>
      <w:pPr>
        <w:spacing w:line="440" w:lineRule="exact"/>
        <w:ind w:firstLine="1680" w:firstLineChars="700"/>
        <w:jc w:val="left"/>
        <w:rPr>
          <w:rFonts w:ascii="Times New Roman" w:hAnsi="Times New Roman"/>
          <w:color w:val="auto"/>
          <w:szCs w:val="21"/>
          <w:highlight w:val="none"/>
        </w:rPr>
      </w:pPr>
      <w:r>
        <w:rPr>
          <w:rFonts w:ascii="Times New Roman" w:hAnsi="Times New Roman"/>
          <w:color w:val="auto"/>
          <w:szCs w:val="21"/>
          <w:highlight w:val="none"/>
        </w:rPr>
        <w:t>地    址：</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r>
        <w:rPr>
          <w:rFonts w:hint="default"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p>
    <w:p>
      <w:pPr>
        <w:spacing w:line="440" w:lineRule="exact"/>
        <w:ind w:firstLine="1680" w:firstLineChars="700"/>
        <w:jc w:val="left"/>
        <w:rPr>
          <w:rFonts w:ascii="Times New Roman" w:hAnsi="Times New Roman"/>
          <w:color w:val="auto"/>
          <w:szCs w:val="21"/>
          <w:highlight w:val="none"/>
        </w:rPr>
      </w:pPr>
      <w:r>
        <w:rPr>
          <w:rFonts w:ascii="Times New Roman" w:hAnsi="Times New Roman"/>
          <w:color w:val="auto"/>
          <w:szCs w:val="21"/>
          <w:highlight w:val="none"/>
        </w:rPr>
        <w:t>网    址：</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p>
    <w:p>
      <w:pPr>
        <w:spacing w:line="440" w:lineRule="exact"/>
        <w:ind w:firstLine="1680" w:firstLineChars="700"/>
        <w:jc w:val="left"/>
        <w:rPr>
          <w:rFonts w:ascii="Times New Roman" w:hAnsi="Times New Roman"/>
          <w:color w:val="auto"/>
          <w:szCs w:val="21"/>
          <w:highlight w:val="none"/>
        </w:rPr>
      </w:pPr>
      <w:r>
        <w:rPr>
          <w:rFonts w:ascii="Times New Roman" w:hAnsi="Times New Roman"/>
          <w:color w:val="auto"/>
          <w:szCs w:val="21"/>
          <w:highlight w:val="none"/>
        </w:rPr>
        <w:t>电    话：</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r>
        <w:rPr>
          <w:rFonts w:hint="default"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p>
    <w:p>
      <w:pPr>
        <w:spacing w:line="440" w:lineRule="exact"/>
        <w:ind w:firstLine="1680" w:firstLineChars="700"/>
        <w:jc w:val="left"/>
        <w:rPr>
          <w:rFonts w:ascii="Times New Roman" w:hAnsi="Times New Roman"/>
          <w:color w:val="auto"/>
          <w:szCs w:val="21"/>
          <w:highlight w:val="none"/>
        </w:rPr>
      </w:pPr>
      <w:r>
        <w:rPr>
          <w:rFonts w:ascii="Times New Roman" w:hAnsi="Times New Roman"/>
          <w:color w:val="auto"/>
          <w:szCs w:val="21"/>
          <w:highlight w:val="none"/>
        </w:rPr>
        <w:t>传    真：</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r>
        <w:rPr>
          <w:rFonts w:hint="default"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p>
    <w:p>
      <w:pPr>
        <w:spacing w:line="440" w:lineRule="exact"/>
        <w:ind w:firstLine="1680" w:firstLineChars="700"/>
        <w:jc w:val="left"/>
        <w:rPr>
          <w:rFonts w:ascii="Times New Roman" w:hAnsi="Times New Roman"/>
          <w:color w:val="auto"/>
          <w:szCs w:val="21"/>
          <w:highlight w:val="none"/>
        </w:rPr>
      </w:pPr>
      <w:r>
        <w:rPr>
          <w:rFonts w:ascii="Times New Roman" w:hAnsi="Times New Roman"/>
          <w:color w:val="auto"/>
          <w:szCs w:val="21"/>
          <w:highlight w:val="none"/>
        </w:rPr>
        <w:t>邮政编码：</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r>
        <w:rPr>
          <w:rFonts w:hint="default"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p>
    <w:p>
      <w:pPr>
        <w:spacing w:line="440" w:lineRule="exact"/>
        <w:ind w:firstLine="5400" w:firstLineChars="2250"/>
        <w:jc w:val="center"/>
        <w:rPr>
          <w:rFonts w:ascii="Times New Roman" w:hAnsi="Times New Roman"/>
          <w:color w:val="auto"/>
          <w:szCs w:val="21"/>
          <w:highlight w:val="none"/>
        </w:rPr>
      </w:pPr>
      <w:r>
        <w:rPr>
          <w:rFonts w:ascii="Times New Roman" w:hAnsi="Times New Roman"/>
          <w:color w:val="auto"/>
          <w:highlight w:val="none"/>
          <w:u w:val="single"/>
        </w:rPr>
        <w:t xml:space="preserve">      </w:t>
      </w:r>
      <w:r>
        <w:rPr>
          <w:rFonts w:ascii="Times New Roman" w:hAnsi="Times New Roman"/>
          <w:color w:val="auto"/>
          <w:szCs w:val="21"/>
          <w:highlight w:val="none"/>
        </w:rPr>
        <w:t>年</w:t>
      </w:r>
      <w:r>
        <w:rPr>
          <w:rFonts w:ascii="Times New Roman" w:hAnsi="Times New Roman"/>
          <w:color w:val="auto"/>
          <w:highlight w:val="none"/>
          <w:u w:val="single"/>
        </w:rPr>
        <w:t xml:space="preserve">      </w:t>
      </w:r>
      <w:r>
        <w:rPr>
          <w:rFonts w:ascii="Times New Roman" w:hAnsi="Times New Roman"/>
          <w:color w:val="auto"/>
          <w:szCs w:val="21"/>
          <w:highlight w:val="none"/>
        </w:rPr>
        <w:t>月</w:t>
      </w:r>
      <w:r>
        <w:rPr>
          <w:rFonts w:ascii="Times New Roman" w:hAnsi="Times New Roman"/>
          <w:color w:val="auto"/>
          <w:highlight w:val="none"/>
          <w:u w:val="single"/>
        </w:rPr>
        <w:t xml:space="preserve">      </w:t>
      </w:r>
      <w:r>
        <w:rPr>
          <w:rFonts w:ascii="Times New Roman" w:hAnsi="Times New Roman"/>
          <w:color w:val="auto"/>
          <w:szCs w:val="21"/>
          <w:highlight w:val="none"/>
        </w:rPr>
        <w:t>日</w:t>
      </w:r>
    </w:p>
    <w:p>
      <w:pPr>
        <w:spacing w:line="440" w:lineRule="exact"/>
        <w:rPr>
          <w:rFonts w:ascii="Times New Roman" w:hAnsi="Times New Roman"/>
          <w:color w:val="auto"/>
          <w:szCs w:val="21"/>
          <w:highlight w:val="none"/>
        </w:rPr>
      </w:pPr>
    </w:p>
    <w:p>
      <w:pPr>
        <w:topLinePunct/>
        <w:snapToGrid w:val="0"/>
        <w:spacing w:line="440" w:lineRule="exact"/>
        <w:jc w:val="right"/>
        <w:rPr>
          <w:rFonts w:hint="default" w:ascii="Times New Roman" w:hAnsi="Times New Roman" w:cs="Times New Roman"/>
          <w:color w:val="auto"/>
          <w:sz w:val="24"/>
          <w:highlight w:val="none"/>
        </w:rPr>
      </w:pPr>
    </w:p>
    <w:p>
      <w:pPr>
        <w:topLinePunct/>
        <w:snapToGrid w:val="0"/>
        <w:spacing w:line="440" w:lineRule="exact"/>
        <w:ind w:right="240" w:firstLine="480" w:firstLineChars="200"/>
        <w:jc w:val="left"/>
        <w:rPr>
          <w:rFonts w:hint="default" w:ascii="Times New Roman" w:hAnsi="Times New Roman" w:eastAsia="黑体" w:cs="Times New Roman"/>
          <w:color w:val="auto"/>
          <w:sz w:val="24"/>
          <w:highlight w:val="none"/>
        </w:rPr>
      </w:pPr>
    </w:p>
    <w:p>
      <w:pPr>
        <w:rPr>
          <w:rFonts w:hint="default" w:ascii="Times New Roman" w:hAnsi="Times New Roman" w:cs="Times New Roman"/>
          <w:color w:val="auto"/>
          <w:highlight w:val="none"/>
        </w:rPr>
      </w:pPr>
      <w:r>
        <w:rPr>
          <w:rFonts w:hint="default" w:ascii="Times New Roman" w:hAnsi="Times New Roman" w:eastAsia="黑体" w:cs="Times New Roman"/>
          <w:color w:val="auto"/>
          <w:kern w:val="0"/>
          <w:sz w:val="36"/>
          <w:szCs w:val="20"/>
          <w:highlight w:val="none"/>
        </w:rPr>
        <w:br w:type="page"/>
      </w:r>
      <w:bookmarkStart w:id="610" w:name="_Toc246267695"/>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jc w:val="center"/>
        <w:rPr>
          <w:rFonts w:hint="default" w:ascii="Times New Roman" w:hAnsi="Times New Roman" w:cs="Times New Roman"/>
          <w:color w:val="auto"/>
          <w:highlight w:val="none"/>
        </w:rPr>
      </w:pPr>
    </w:p>
    <w:p>
      <w:pPr>
        <w:pStyle w:val="3"/>
        <w:numPr>
          <w:ilvl w:val="0"/>
          <w:numId w:val="0"/>
        </w:numPr>
        <w:spacing w:before="157" w:beforeLines="50" w:after="157" w:afterLines="50" w:line="240" w:lineRule="auto"/>
        <w:ind w:left="181" w:firstLine="280" w:firstLineChars="100"/>
        <w:jc w:val="center"/>
        <w:rPr>
          <w:rFonts w:hint="default" w:ascii="Times New Roman" w:hAnsi="Times New Roman" w:eastAsia="黑体" w:cs="Times New Roman"/>
          <w:b w:val="0"/>
          <w:color w:val="auto"/>
          <w:kern w:val="0"/>
          <w:sz w:val="28"/>
          <w:szCs w:val="20"/>
          <w:highlight w:val="none"/>
          <w:lang w:val="en-US" w:eastAsia="zh-CN" w:bidi="ar-SA"/>
        </w:rPr>
      </w:pPr>
      <w:bookmarkStart w:id="611" w:name="_Toc438571660"/>
      <w:bookmarkStart w:id="612" w:name="_Toc458576166"/>
      <w:bookmarkStart w:id="613" w:name="_Toc500352763"/>
      <w:bookmarkStart w:id="614" w:name="_Toc137074942"/>
      <w:bookmarkStart w:id="615" w:name="_Toc13463"/>
      <w:bookmarkStart w:id="616" w:name="_Toc112032692"/>
      <w:r>
        <w:rPr>
          <w:rFonts w:hint="default" w:ascii="Times New Roman" w:hAnsi="Times New Roman" w:eastAsia="黑体" w:cs="Times New Roman"/>
          <w:b w:val="0"/>
          <w:color w:val="auto"/>
          <w:kern w:val="0"/>
          <w:sz w:val="28"/>
          <w:szCs w:val="20"/>
          <w:highlight w:val="none"/>
          <w:lang w:val="en-US" w:eastAsia="zh-CN" w:bidi="ar-SA"/>
        </w:rPr>
        <w:t>二、授权委托书或法定代表人身份证明</w:t>
      </w:r>
      <w:bookmarkEnd w:id="611"/>
      <w:bookmarkEnd w:id="612"/>
      <w:bookmarkEnd w:id="613"/>
      <w:bookmarkEnd w:id="614"/>
      <w:bookmarkEnd w:id="615"/>
      <w:bookmarkEnd w:id="616"/>
    </w:p>
    <w:p>
      <w:pPr>
        <w:rPr>
          <w:rFonts w:hint="default" w:ascii="Times New Roman" w:hAnsi="Times New Roman" w:eastAsia="黑体" w:cs="Times New Roman"/>
          <w:color w:val="auto"/>
          <w:szCs w:val="21"/>
          <w:highlight w:val="none"/>
        </w:rPr>
      </w:pPr>
    </w:p>
    <w:p>
      <w:pPr>
        <w:rPr>
          <w:rFonts w:hint="default" w:ascii="Times New Roman" w:hAnsi="Times New Roman" w:eastAsia="黑体" w:cs="Times New Roman"/>
          <w:color w:val="auto"/>
          <w:szCs w:val="21"/>
          <w:highlight w:val="none"/>
        </w:rPr>
      </w:pPr>
    </w:p>
    <w:p>
      <w:pPr>
        <w:spacing w:line="360" w:lineRule="auto"/>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注：</w:t>
      </w:r>
      <w:r>
        <w:rPr>
          <w:rFonts w:hint="default" w:ascii="Times New Roman" w:hAnsi="Times New Roman" w:cs="Times New Roman"/>
          <w:color w:val="auto"/>
          <w:sz w:val="24"/>
          <w:highlight w:val="none"/>
        </w:rPr>
        <w:t>①</w:t>
      </w:r>
      <w:r>
        <w:rPr>
          <w:rFonts w:hint="default" w:ascii="Times New Roman" w:hAnsi="Times New Roman" w:eastAsia="黑体" w:cs="Times New Roman"/>
          <w:color w:val="auto"/>
          <w:sz w:val="24"/>
          <w:highlight w:val="none"/>
        </w:rPr>
        <w:t>如果由投标人的委托代理人签署投标文件，则只须按要求提供《授权委托书》；</w:t>
      </w:r>
    </w:p>
    <w:p>
      <w:pPr>
        <w:spacing w:line="360" w:lineRule="auto"/>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rPr>
        <w:t>②</w:t>
      </w:r>
      <w:r>
        <w:rPr>
          <w:rFonts w:hint="default" w:ascii="Times New Roman" w:hAnsi="Times New Roman" w:eastAsia="黑体" w:cs="Times New Roman"/>
          <w:color w:val="auto"/>
          <w:sz w:val="24"/>
          <w:highlight w:val="none"/>
        </w:rPr>
        <w:t>如果由投标人的法定代表人签署投标文件，则只须按要求提供《法定代表人身份证明》。</w:t>
      </w:r>
    </w:p>
    <w:p>
      <w:pPr>
        <w:spacing w:line="360" w:lineRule="auto"/>
        <w:ind w:firstLine="480" w:firstLineChars="200"/>
        <w:rPr>
          <w:rFonts w:hint="default" w:ascii="Times New Roman" w:hAnsi="Times New Roman" w:eastAsia="黑体" w:cs="Times New Roman"/>
          <w:color w:val="auto"/>
          <w:sz w:val="24"/>
          <w:highlight w:val="none"/>
        </w:rPr>
      </w:pPr>
    </w:p>
    <w:p>
      <w:pPr>
        <w:keepNext/>
        <w:keepLines/>
        <w:widowControl/>
        <w:tabs>
          <w:tab w:val="left" w:pos="1440"/>
        </w:tabs>
        <w:wordWrap w:val="0"/>
        <w:topLinePunct/>
        <w:spacing w:line="440" w:lineRule="exact"/>
        <w:jc w:val="center"/>
        <w:outlineLvl w:val="9"/>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617" w:name="_Toc483640988"/>
      <w:bookmarkStart w:id="618" w:name="_Toc495663699"/>
      <w:bookmarkStart w:id="619" w:name="_Toc500352764"/>
      <w:r>
        <w:rPr>
          <w:rFonts w:hint="default" w:ascii="Times New Roman" w:hAnsi="Times New Roman" w:eastAsia="黑体" w:cs="Times New Roman"/>
          <w:bCs/>
          <w:color w:val="auto"/>
          <w:kern w:val="0"/>
          <w:sz w:val="24"/>
          <w:highlight w:val="none"/>
        </w:rPr>
        <w:t>（一）授权委托书</w:t>
      </w:r>
    </w:p>
    <w:p>
      <w:pPr>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（投标人名称）的法定代表人，现委托</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（姓名）为我方代理人。代理人根据授权，以我方名义签署、澄清确认、递交、撤回、修改</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投标文件、签订合同和处理有关事宜，其法律后果由我方承担。</w:t>
      </w:r>
    </w:p>
    <w:p>
      <w:pPr>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委托期限：自本委托书签署之日起至投标有效期期满。</w:t>
      </w:r>
    </w:p>
    <w:p>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代理人无转委托权。</w:t>
      </w:r>
    </w:p>
    <w:p>
      <w:pPr>
        <w:wordWrap w:val="0"/>
        <w:topLinePunct/>
        <w:spacing w:line="440" w:lineRule="exact"/>
        <w:ind w:firstLine="480" w:firstLineChars="200"/>
        <w:rPr>
          <w:rFonts w:hint="default" w:ascii="Times New Roman" w:hAnsi="Times New Roman" w:cs="Times New Roman"/>
          <w:color w:val="auto"/>
          <w:sz w:val="24"/>
          <w:highlight w:val="none"/>
        </w:rPr>
      </w:pPr>
    </w:p>
    <w:p>
      <w:pPr>
        <w:ind w:firstLine="720" w:firstLineChars="300"/>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法定代表人身份证</w:t>
      </w:r>
      <w:r>
        <w:rPr>
          <w:rFonts w:hint="default" w:ascii="Times New Roman" w:hAnsi="Times New Roman" w:eastAsia="黑体" w:cs="Times New Roman"/>
          <w:color w:val="auto"/>
          <w:sz w:val="24"/>
          <w:highlight w:val="none"/>
          <w:lang w:val="en-US" w:eastAsia="zh-CN"/>
        </w:rPr>
        <w:t>原件扫描件</w:t>
      </w:r>
      <w:r>
        <w:rPr>
          <w:rFonts w:hint="default" w:ascii="Times New Roman" w:hAnsi="Times New Roman" w:eastAsia="黑体" w:cs="Times New Roman"/>
          <w:color w:val="auto"/>
          <w:sz w:val="24"/>
          <w:highlight w:val="none"/>
        </w:rPr>
        <w:t xml:space="preserve">       </w:t>
      </w:r>
      <w:r>
        <w:rPr>
          <w:rFonts w:hint="eastAsia" w:ascii="Times New Roman" w:hAnsi="Times New Roman" w:eastAsia="黑体" w:cs="Times New Roman"/>
          <w:color w:val="auto"/>
          <w:sz w:val="24"/>
          <w:highlight w:val="none"/>
          <w:lang w:val="en-US" w:eastAsia="zh-CN"/>
        </w:rPr>
        <w:t xml:space="preserve">    </w:t>
      </w:r>
      <w:r>
        <w:rPr>
          <w:rFonts w:hint="default" w:ascii="Times New Roman" w:hAnsi="Times New Roman" w:eastAsia="黑体" w:cs="Times New Roman"/>
          <w:color w:val="auto"/>
          <w:sz w:val="24"/>
          <w:highlight w:val="none"/>
        </w:rPr>
        <w:t>委托代理人身份证</w:t>
      </w:r>
      <w:r>
        <w:rPr>
          <w:rFonts w:hint="default" w:ascii="Times New Roman" w:hAnsi="Times New Roman" w:eastAsia="黑体" w:cs="Times New Roman"/>
          <w:color w:val="auto"/>
          <w:sz w:val="24"/>
          <w:highlight w:val="none"/>
          <w:lang w:val="en-US" w:eastAsia="zh-CN"/>
        </w:rPr>
        <w:t>原件扫描件</w:t>
      </w:r>
    </w:p>
    <w:tbl>
      <w:tblPr>
        <w:tblStyle w:val="3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国徽</w:t>
            </w:r>
            <w:r>
              <w:rPr>
                <w:rFonts w:hint="default" w:ascii="Times New Roman" w:hAnsi="Times New Roman" w:cs="Times New Roman"/>
                <w:color w:val="auto"/>
                <w:sz w:val="24"/>
                <w:highlight w:val="none"/>
              </w:rPr>
              <w:t>面）</w:t>
            </w:r>
          </w:p>
        </w:tc>
        <w:tc>
          <w:tcPr>
            <w:tcW w:w="4644" w:type="dxa"/>
            <w:vAlign w:val="center"/>
          </w:tcPr>
          <w:p>
            <w:pPr>
              <w:topLinePun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国徽</w:t>
            </w:r>
            <w:r>
              <w:rPr>
                <w:rFonts w:hint="default" w:ascii="Times New Roman" w:hAnsi="Times New Roman" w:cs="Times New Roman"/>
                <w:color w:val="auto"/>
                <w:sz w:val="24"/>
                <w:highlight w:val="none"/>
              </w:rPr>
              <w:t>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trPr>
        <w:tc>
          <w:tcPr>
            <w:tcW w:w="4645" w:type="dxa"/>
            <w:vAlign w:val="center"/>
          </w:tcPr>
          <w:p>
            <w:pPr>
              <w:topLinePunct w:val="0"/>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人像</w:t>
            </w:r>
            <w:r>
              <w:rPr>
                <w:rFonts w:hint="default" w:ascii="Times New Roman" w:hAnsi="Times New Roman" w:cs="Times New Roman"/>
                <w:color w:val="auto"/>
                <w:sz w:val="24"/>
                <w:highlight w:val="none"/>
              </w:rPr>
              <w:t>面）</w:t>
            </w:r>
          </w:p>
        </w:tc>
        <w:tc>
          <w:tcPr>
            <w:tcW w:w="4644" w:type="dxa"/>
            <w:vAlign w:val="center"/>
          </w:tcPr>
          <w:p>
            <w:pPr>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人像</w:t>
            </w:r>
            <w:r>
              <w:rPr>
                <w:rFonts w:hint="default" w:ascii="Times New Roman" w:hAnsi="Times New Roman" w:cs="Times New Roman"/>
                <w:color w:val="auto"/>
                <w:sz w:val="24"/>
                <w:highlight w:val="none"/>
              </w:rPr>
              <w:t>面）</w:t>
            </w:r>
          </w:p>
        </w:tc>
      </w:tr>
    </w:tbl>
    <w:p>
      <w:pPr>
        <w:wordWrap w:val="0"/>
        <w:topLinePunct/>
        <w:spacing w:line="440" w:lineRule="exact"/>
        <w:rPr>
          <w:rFonts w:hint="default" w:ascii="Times New Roman" w:hAnsi="Times New Roman" w:cs="Times New Roman"/>
          <w:color w:val="auto"/>
          <w:sz w:val="24"/>
          <w:highlight w:val="none"/>
        </w:rPr>
      </w:pPr>
    </w:p>
    <w:p>
      <w:pPr>
        <w:wordWrap w:val="0"/>
        <w:topLinePunct/>
        <w:spacing w:line="400" w:lineRule="atLeast"/>
        <w:ind w:firstLine="3290" w:firstLineChars="137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w:t>
      </w:r>
      <w:r>
        <w:rPr>
          <w:rFonts w:hint="default" w:ascii="Times New Roman" w:hAnsi="Times New Roman" w:cs="Times New Roman"/>
          <w:color w:val="auto"/>
          <w:sz w:val="24"/>
          <w:highlight w:val="none"/>
          <w:lang w:val="en-US" w:eastAsia="zh-CN"/>
        </w:rPr>
        <w:t>盖单位电子印章</w:t>
      </w:r>
      <w:r>
        <w:rPr>
          <w:rFonts w:hint="default" w:ascii="Times New Roman" w:hAnsi="Times New Roman" w:cs="Times New Roman"/>
          <w:color w:val="auto"/>
          <w:sz w:val="24"/>
          <w:highlight w:val="none"/>
        </w:rPr>
        <w:t>）</w:t>
      </w:r>
    </w:p>
    <w:p>
      <w:pPr>
        <w:wordWrap w:val="0"/>
        <w:topLinePunct/>
        <w:spacing w:line="400" w:lineRule="atLeast"/>
        <w:ind w:firstLine="3290" w:firstLineChars="137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法定代表人：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或电子印章）</w:t>
      </w:r>
    </w:p>
    <w:p>
      <w:pPr>
        <w:wordWrap w:val="0"/>
        <w:topLinePunct/>
        <w:spacing w:line="400" w:lineRule="atLeast"/>
        <w:ind w:firstLine="3290" w:firstLineChars="1371"/>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wordWrap w:val="0"/>
        <w:topLinePunct/>
        <w:spacing w:line="400" w:lineRule="atLeast"/>
        <w:rPr>
          <w:rFonts w:hint="default" w:ascii="Times New Roman" w:hAnsi="Times New Roman" w:cs="Times New Roman"/>
          <w:color w:val="auto"/>
          <w:sz w:val="24"/>
          <w:highlight w:val="none"/>
        </w:rPr>
      </w:pPr>
    </w:p>
    <w:p>
      <w:pPr>
        <w:wordWrap w:val="0"/>
        <w:topLinePunct/>
        <w:spacing w:line="400" w:lineRule="atLeast"/>
        <w:ind w:firstLine="3290" w:firstLineChars="137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委托代理人：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或电子印章）</w:t>
      </w:r>
    </w:p>
    <w:p>
      <w:pPr>
        <w:wordWrap w:val="0"/>
        <w:topLinePunct/>
        <w:spacing w:line="400" w:lineRule="atLeast"/>
        <w:ind w:firstLine="3290" w:firstLineChars="1371"/>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身份证号码：</w:t>
      </w:r>
      <w:r>
        <w:rPr>
          <w:rFonts w:hint="default" w:ascii="Times New Roman" w:hAnsi="Times New Roman" w:cs="Times New Roman"/>
          <w:color w:val="auto"/>
          <w:sz w:val="24"/>
          <w:highlight w:val="none"/>
          <w:u w:val="single"/>
        </w:rPr>
        <w:t xml:space="preserve">                            </w:t>
      </w:r>
    </w:p>
    <w:p>
      <w:pPr>
        <w:wordWrap w:val="0"/>
        <w:topLinePunct/>
        <w:spacing w:line="400" w:lineRule="atLeast"/>
        <w:ind w:left="478" w:leftChars="199" w:firstLine="3720" w:firstLineChars="1550"/>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年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月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日</w:t>
      </w:r>
    </w:p>
    <w:p>
      <w:pPr>
        <w:wordWrap w:val="0"/>
        <w:topLinePunct/>
        <w:spacing w:line="400" w:lineRule="atLeast"/>
        <w:ind w:firstLine="480" w:firstLineChars="200"/>
        <w:rPr>
          <w:rFonts w:hint="default" w:ascii="Times New Roman" w:hAnsi="Times New Roman" w:eastAsia="黑体" w:cs="Times New Roman"/>
          <w:color w:val="auto"/>
          <w:szCs w:val="21"/>
          <w:highlight w:val="none"/>
        </w:rPr>
      </w:pP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以联合体形式投标的，本授权委托书应由联合体牵头人的法定代表人按上述规定签署。</w:t>
      </w:r>
    </w:p>
    <w:p>
      <w:pPr>
        <w:spacing w:line="360" w:lineRule="auto"/>
        <w:ind w:firstLine="3360"/>
        <w:jc w:val="right"/>
        <w:rPr>
          <w:rFonts w:hint="default" w:ascii="Times New Roman" w:hAnsi="Times New Roman" w:eastAsia="仿宋_GB2312" w:cs="Times New Roman"/>
          <w:color w:val="auto"/>
          <w:sz w:val="32"/>
          <w:szCs w:val="32"/>
          <w:highlight w:val="none"/>
        </w:rPr>
      </w:pPr>
    </w:p>
    <w:p>
      <w:pPr>
        <w:keepNext/>
        <w:keepLines/>
        <w:widowControl/>
        <w:tabs>
          <w:tab w:val="left" w:pos="1440"/>
        </w:tabs>
        <w:wordWrap w:val="0"/>
        <w:topLinePunct/>
        <w:spacing w:line="440" w:lineRule="exact"/>
        <w:jc w:val="center"/>
        <w:outlineLvl w:val="9"/>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bCs/>
          <w:color w:val="auto"/>
          <w:kern w:val="0"/>
          <w:sz w:val="24"/>
          <w:highlight w:val="none"/>
        </w:rPr>
        <w:t>（二）法定代表人身份证明</w:t>
      </w:r>
      <w:bookmarkEnd w:id="617"/>
      <w:bookmarkEnd w:id="618"/>
      <w:bookmarkEnd w:id="619"/>
    </w:p>
    <w:p>
      <w:pPr>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投标人名称：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w:t>
      </w: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姓名：</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bCs/>
          <w:color w:val="auto"/>
          <w:sz w:val="24"/>
          <w:highlight w:val="none"/>
          <w:u w:val="single"/>
        </w:rPr>
        <w:t>（法定代表人个人</w:t>
      </w:r>
      <w:r>
        <w:rPr>
          <w:rFonts w:hint="default" w:ascii="Times New Roman" w:hAnsi="Times New Roman" w:cs="Times New Roman"/>
          <w:bCs/>
          <w:color w:val="auto"/>
          <w:sz w:val="24"/>
          <w:highlight w:val="none"/>
          <w:u w:val="single"/>
          <w:lang w:eastAsia="zh-CN"/>
        </w:rPr>
        <w:t>电子签名</w:t>
      </w:r>
      <w:r>
        <w:rPr>
          <w:rFonts w:hint="default" w:ascii="Times New Roman" w:hAnsi="Times New Roman" w:cs="Times New Roman"/>
          <w:bCs/>
          <w:color w:val="auto"/>
          <w:sz w:val="24"/>
          <w:highlight w:val="none"/>
          <w:u w:val="single"/>
        </w:rPr>
        <w:t>或电子印章）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性别：</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年龄：</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职务：</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系</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 xml:space="preserve"> （投标人名称）的法定代表人。</w:t>
      </w:r>
    </w:p>
    <w:p>
      <w:pPr>
        <w:wordWrap w:val="0"/>
        <w:topLinePunct/>
        <w:spacing w:line="44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特此证明。</w:t>
      </w:r>
    </w:p>
    <w:p>
      <w:pPr>
        <w:wordWrap w:val="0"/>
        <w:topLinePunct/>
        <w:spacing w:line="440" w:lineRule="exact"/>
        <w:rPr>
          <w:rFonts w:hint="default" w:ascii="Times New Roman" w:hAnsi="Times New Roman" w:cs="Times New Roman"/>
          <w:color w:val="auto"/>
          <w:sz w:val="24"/>
          <w:highlight w:val="none"/>
        </w:rPr>
      </w:pPr>
    </w:p>
    <w:p>
      <w:pPr>
        <w:topLinePunct/>
        <w:spacing w:line="440" w:lineRule="exact"/>
        <w:jc w:val="center"/>
        <w:rPr>
          <w:rFonts w:hint="default" w:ascii="Times New Roman" w:hAnsi="Times New Roman" w:eastAsia="黑体" w:cs="Times New Roman"/>
          <w:color w:val="auto"/>
          <w:sz w:val="24"/>
          <w:highlight w:val="none"/>
          <w:lang w:val="en-US" w:eastAsia="zh-CN"/>
        </w:rPr>
      </w:pPr>
      <w:r>
        <w:rPr>
          <w:rFonts w:hint="default" w:ascii="Times New Roman" w:hAnsi="Times New Roman" w:eastAsia="黑体" w:cs="Times New Roman"/>
          <w:color w:val="auto"/>
          <w:sz w:val="24"/>
          <w:highlight w:val="none"/>
        </w:rPr>
        <w:t>法定代表人身份证</w:t>
      </w:r>
      <w:r>
        <w:rPr>
          <w:rFonts w:hint="default" w:ascii="Times New Roman" w:hAnsi="Times New Roman" w:eastAsia="黑体" w:cs="Times New Roman"/>
          <w:color w:val="auto"/>
          <w:sz w:val="24"/>
          <w:highlight w:val="none"/>
          <w:lang w:val="en-US" w:eastAsia="zh-CN"/>
        </w:rPr>
        <w:t>原件扫描件</w:t>
      </w:r>
    </w:p>
    <w:p>
      <w:pPr>
        <w:ind w:firstLine="420"/>
        <w:rPr>
          <w:rFonts w:hint="default" w:ascii="Times New Roman" w:hAnsi="Times New Roman" w:cs="Times New Roman"/>
          <w:color w:val="auto"/>
          <w:highlight w:val="none"/>
        </w:rPr>
      </w:pPr>
    </w:p>
    <w:tbl>
      <w:tblPr>
        <w:tblStyle w:val="30"/>
        <w:tblW w:w="92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5"/>
        <w:gridCol w:w="4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4" w:hRule="atLeast"/>
        </w:trPr>
        <w:tc>
          <w:tcPr>
            <w:tcW w:w="4645"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国徽</w:t>
            </w:r>
            <w:r>
              <w:rPr>
                <w:rFonts w:hint="default" w:ascii="Times New Roman" w:hAnsi="Times New Roman" w:cs="Times New Roman"/>
                <w:color w:val="auto"/>
                <w:sz w:val="24"/>
                <w:highlight w:val="none"/>
              </w:rPr>
              <w:t>面）</w:t>
            </w:r>
          </w:p>
        </w:tc>
        <w:tc>
          <w:tcPr>
            <w:tcW w:w="4644" w:type="dxa"/>
            <w:vAlign w:val="center"/>
          </w:tcPr>
          <w:p>
            <w:pPr>
              <w:wordWrap w:val="0"/>
              <w:topLinePunct/>
              <w:spacing w:line="440" w:lineRule="exact"/>
              <w:jc w:val="cente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人像</w:t>
            </w:r>
            <w:r>
              <w:rPr>
                <w:rFonts w:hint="default" w:ascii="Times New Roman" w:hAnsi="Times New Roman" w:cs="Times New Roman"/>
                <w:color w:val="auto"/>
                <w:sz w:val="24"/>
                <w:highlight w:val="none"/>
              </w:rPr>
              <w:t>面）</w:t>
            </w:r>
          </w:p>
        </w:tc>
      </w:tr>
    </w:tbl>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投标人：</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（全称） （盖单位</w:t>
      </w:r>
      <w:r>
        <w:rPr>
          <w:rFonts w:hint="default" w:ascii="Times New Roman" w:hAnsi="Times New Roman" w:cs="Times New Roman"/>
          <w:color w:val="auto"/>
          <w:sz w:val="24"/>
          <w:highlight w:val="none"/>
          <w:lang w:val="en-US" w:eastAsia="zh-CN"/>
        </w:rPr>
        <w:t>电子印</w:t>
      </w:r>
      <w:r>
        <w:rPr>
          <w:rFonts w:hint="default" w:ascii="Times New Roman" w:hAnsi="Times New Roman" w:cs="Times New Roman"/>
          <w:color w:val="auto"/>
          <w:sz w:val="24"/>
          <w:highlight w:val="none"/>
        </w:rPr>
        <w:t>章）</w:t>
      </w:r>
    </w:p>
    <w:p>
      <w:pPr>
        <w:wordWrap w:val="0"/>
        <w:topLinePunct/>
        <w:spacing w:line="44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wordWrap w:val="0"/>
        <w:topLinePunct/>
        <w:spacing w:line="440" w:lineRule="exact"/>
        <w:rPr>
          <w:rFonts w:hint="default" w:ascii="Times New Roman" w:hAnsi="Times New Roman" w:eastAsia="黑体" w:cs="Times New Roman"/>
          <w:color w:val="auto"/>
          <w:sz w:val="24"/>
          <w:highlight w:val="none"/>
        </w:rPr>
      </w:pPr>
    </w:p>
    <w:p>
      <w:pPr>
        <w:wordWrap w:val="0"/>
        <w:topLinePunct/>
        <w:spacing w:line="440" w:lineRule="exact"/>
        <w:rPr>
          <w:rFonts w:hint="default" w:ascii="Times New Roman" w:hAnsi="Times New Roman" w:eastAsia="黑体" w:cs="Times New Roman"/>
          <w:color w:val="auto"/>
          <w:sz w:val="24"/>
          <w:highlight w:val="none"/>
        </w:rPr>
      </w:pPr>
    </w:p>
    <w:p>
      <w:pPr>
        <w:wordWrap w:val="0"/>
        <w:topLinePunct/>
        <w:spacing w:line="440" w:lineRule="exact"/>
        <w:rPr>
          <w:rFonts w:hint="default" w:ascii="Times New Roman" w:hAnsi="Times New Roman" w:eastAsia="黑体" w:cs="Times New Roman"/>
          <w:color w:val="auto"/>
          <w:sz w:val="24"/>
          <w:highlight w:val="none"/>
        </w:rPr>
      </w:pPr>
    </w:p>
    <w:p>
      <w:pPr>
        <w:wordWrap w:val="0"/>
        <w:topLinePunct/>
        <w:spacing w:line="400" w:lineRule="atLeast"/>
        <w:ind w:firstLine="420" w:firstLineChars="200"/>
        <w:rPr>
          <w:rFonts w:hint="default" w:ascii="Times New Roman" w:hAnsi="Times New Roman" w:eastAsia="黑体" w:cs="Times New Roman"/>
          <w:color w:val="auto"/>
          <w:szCs w:val="21"/>
          <w:highlight w:val="none"/>
        </w:rPr>
      </w:pPr>
      <w:r>
        <w:rPr>
          <w:rFonts w:hint="default" w:ascii="Times New Roman" w:hAnsi="Times New Roman" w:cs="Times New Roman"/>
          <w:color w:val="auto"/>
          <w:kern w:val="2"/>
          <w:sz w:val="21"/>
          <w:szCs w:val="21"/>
          <w:highlight w:val="none"/>
        </w:rPr>
        <w:t>注：</w:t>
      </w:r>
      <w:r>
        <w:rPr>
          <w:rFonts w:hint="default" w:ascii="Times New Roman" w:hAnsi="Times New Roman" w:cs="Times New Roman"/>
          <w:color w:val="auto"/>
          <w:szCs w:val="21"/>
          <w:highlight w:val="none"/>
        </w:rPr>
        <w:t>以联合体形式投标的，本法定代表人身份证明应由联合体牵头人的法定代表人按上述规定签署。</w:t>
      </w:r>
    </w:p>
    <w:p>
      <w:pPr>
        <w:wordWrap w:val="0"/>
        <w:topLinePunct/>
        <w:snapToGrid w:val="0"/>
        <w:rPr>
          <w:rFonts w:hint="default" w:ascii="Times New Roman" w:hAnsi="Times New Roman" w:eastAsia="黑体" w:cs="Times New Roman"/>
          <w:color w:val="auto"/>
          <w:szCs w:val="21"/>
          <w:highlight w:val="none"/>
        </w:rPr>
      </w:pPr>
    </w:p>
    <w:p>
      <w:pPr>
        <w:pStyle w:val="3"/>
        <w:spacing w:before="157" w:beforeLines="50" w:after="157" w:afterLines="50" w:line="240" w:lineRule="auto"/>
        <w:jc w:val="center"/>
        <w:outlineLvl w:val="1"/>
        <w:rPr>
          <w:rFonts w:hint="default" w:ascii="Times New Roman" w:hAnsi="Times New Roman" w:eastAsia="黑体" w:cs="Times New Roman"/>
          <w:color w:val="auto"/>
          <w:sz w:val="28"/>
          <w:szCs w:val="28"/>
          <w:highlight w:val="none"/>
        </w:rPr>
      </w:pPr>
      <w:r>
        <w:rPr>
          <w:rFonts w:hint="default" w:ascii="Times New Roman" w:hAnsi="Times New Roman" w:cs="Times New Roman"/>
          <w:color w:val="auto"/>
          <w:szCs w:val="21"/>
          <w:highlight w:val="none"/>
        </w:rPr>
        <w:br w:type="page"/>
      </w:r>
      <w:bookmarkEnd w:id="610"/>
      <w:bookmarkStart w:id="620" w:name="_Toc501257484"/>
      <w:bookmarkStart w:id="621" w:name="_Toc234833261"/>
      <w:bookmarkStart w:id="622" w:name="_Toc15442"/>
      <w:bookmarkStart w:id="623" w:name="_Toc320625058"/>
      <w:bookmarkStart w:id="624" w:name="_Toc137074943"/>
      <w:r>
        <w:rPr>
          <w:rFonts w:hint="default" w:ascii="Times New Roman" w:hAnsi="Times New Roman" w:eastAsia="黑体" w:cs="Times New Roman"/>
          <w:b w:val="0"/>
          <w:color w:val="auto"/>
          <w:kern w:val="0"/>
          <w:sz w:val="28"/>
          <w:szCs w:val="20"/>
          <w:highlight w:val="none"/>
          <w:lang w:val="en-US" w:eastAsia="zh-CN" w:bidi="ar-SA"/>
        </w:rPr>
        <w:t>三、联合体协议书</w:t>
      </w:r>
      <w:r>
        <w:rPr>
          <w:rStyle w:val="37"/>
          <w:rFonts w:hint="default" w:ascii="Times New Roman" w:hAnsi="Times New Roman" w:eastAsia="黑体" w:cs="Times New Roman"/>
          <w:color w:val="auto"/>
          <w:sz w:val="28"/>
          <w:szCs w:val="28"/>
          <w:highlight w:val="none"/>
        </w:rPr>
        <w:footnoteReference w:id="28"/>
      </w:r>
      <w:bookmarkEnd w:id="620"/>
      <w:bookmarkEnd w:id="621"/>
      <w:bookmarkEnd w:id="622"/>
    </w:p>
    <w:p>
      <w:pPr>
        <w:spacing w:line="440" w:lineRule="exact"/>
        <w:jc w:val="center"/>
        <w:rPr>
          <w:rFonts w:hint="default" w:ascii="Times New Roman" w:hAnsi="Times New Roman" w:eastAsia="黑体" w:cs="Times New Roman"/>
          <w:color w:val="auto"/>
          <w:sz w:val="24"/>
          <w:highlight w:val="none"/>
        </w:rPr>
      </w:pPr>
    </w:p>
    <w:p>
      <w:pPr>
        <w:topLinePunct/>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u w:val="single"/>
        </w:rPr>
        <w:t xml:space="preserve">                </w:t>
      </w:r>
      <w:r>
        <w:rPr>
          <w:rFonts w:ascii="Times New Roman" w:hAnsi="Times New Roman"/>
          <w:color w:val="auto"/>
          <w:szCs w:val="21"/>
          <w:highlight w:val="none"/>
        </w:rPr>
        <w:t>（所有成员单位名称）自愿组成</w:t>
      </w:r>
      <w:r>
        <w:rPr>
          <w:rFonts w:ascii="Times New Roman" w:hAnsi="Times New Roman"/>
          <w:color w:val="auto"/>
          <w:szCs w:val="21"/>
          <w:highlight w:val="none"/>
          <w:u w:val="single"/>
        </w:rPr>
        <w:t xml:space="preserve">        </w:t>
      </w:r>
      <w:r>
        <w:rPr>
          <w:rFonts w:ascii="Times New Roman" w:hAnsi="Times New Roman"/>
          <w:color w:val="auto"/>
          <w:szCs w:val="21"/>
          <w:highlight w:val="none"/>
        </w:rPr>
        <w:t>（联合体名称）联合体，共同参加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ascii="Times New Roman" w:hAnsi="Times New Roman"/>
          <w:color w:val="auto"/>
          <w:szCs w:val="21"/>
          <w:highlight w:val="none"/>
        </w:rPr>
        <w:t>采购招标项目投标。现就联合体投标事宜订立如下协议。</w:t>
      </w:r>
    </w:p>
    <w:p>
      <w:pPr>
        <w:topLinePunct/>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 xml:space="preserve">1. </w:t>
      </w:r>
      <w:r>
        <w:rPr>
          <w:rFonts w:ascii="Times New Roman" w:hAnsi="Times New Roman"/>
          <w:color w:val="auto"/>
          <w:szCs w:val="21"/>
          <w:highlight w:val="none"/>
          <w:u w:val="single"/>
        </w:rPr>
        <w:t xml:space="preserve">                  </w:t>
      </w:r>
      <w:r>
        <w:rPr>
          <w:rFonts w:ascii="Times New Roman" w:hAnsi="Times New Roman"/>
          <w:color w:val="auto"/>
          <w:szCs w:val="21"/>
          <w:highlight w:val="none"/>
        </w:rPr>
        <w:t>（某成员单位名称）为</w:t>
      </w:r>
      <w:r>
        <w:rPr>
          <w:rFonts w:ascii="Times New Roman" w:hAnsi="Times New Roman"/>
          <w:color w:val="auto"/>
          <w:szCs w:val="21"/>
          <w:highlight w:val="none"/>
          <w:u w:val="single"/>
        </w:rPr>
        <w:t xml:space="preserve">        </w:t>
      </w:r>
      <w:r>
        <w:rPr>
          <w:rFonts w:ascii="Times New Roman" w:hAnsi="Times New Roman"/>
          <w:color w:val="auto"/>
          <w:szCs w:val="21"/>
          <w:highlight w:val="none"/>
        </w:rPr>
        <w:t>（联合体名称）牵头人。</w:t>
      </w:r>
    </w:p>
    <w:p>
      <w:pPr>
        <w:topLinePunct/>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2. 联合体各成员授权牵头人代表联合体参加投标活动，签署文件，提交和接收相关的资料、信息及指示，进行合同谈判活动，负责合同实施阶段的组织和协调工作，以及处理与本招标项目有关的一切事宜。</w:t>
      </w:r>
    </w:p>
    <w:p>
      <w:pPr>
        <w:topLinePunct/>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3</w:t>
      </w:r>
      <w:bookmarkStart w:id="625" w:name="_Toc152042580"/>
      <w:bookmarkStart w:id="626" w:name="_Toc144974860"/>
      <w:bookmarkStart w:id="627" w:name="_Toc247514283"/>
      <w:bookmarkStart w:id="628" w:name="_Toc352691665"/>
      <w:bookmarkStart w:id="629" w:name="_Toc369531701"/>
      <w:bookmarkStart w:id="630" w:name="_Toc361508756"/>
      <w:bookmarkStart w:id="631" w:name="_Toc384308380"/>
      <w:bookmarkStart w:id="632" w:name="_Toc247527831"/>
      <w:bookmarkStart w:id="633" w:name="_Toc300835213"/>
      <w:bookmarkStart w:id="634" w:name="_Toc152045791"/>
      <w:bookmarkStart w:id="635" w:name="_Toc27930"/>
      <w:r>
        <w:rPr>
          <w:rFonts w:ascii="Times New Roman" w:hAnsi="Times New Roman"/>
          <w:color w:val="auto"/>
          <w:szCs w:val="21"/>
          <w:highlight w:val="none"/>
        </w:rPr>
        <w:t>. 联合体牵头人在本项目中签署的一切文件和处理</w:t>
      </w:r>
      <w:bookmarkEnd w:id="625"/>
      <w:bookmarkEnd w:id="626"/>
      <w:bookmarkEnd w:id="627"/>
      <w:bookmarkEnd w:id="628"/>
      <w:bookmarkEnd w:id="629"/>
      <w:bookmarkEnd w:id="630"/>
      <w:bookmarkEnd w:id="631"/>
      <w:bookmarkEnd w:id="632"/>
      <w:bookmarkEnd w:id="633"/>
      <w:bookmarkEnd w:id="634"/>
      <w:bookmarkEnd w:id="635"/>
      <w:r>
        <w:rPr>
          <w:rFonts w:ascii="Times New Roman" w:hAnsi="Times New Roman"/>
          <w:color w:val="auto"/>
          <w:szCs w:val="21"/>
          <w:highlight w:val="none"/>
        </w:rPr>
        <w:t>的一切事宜，联合体各成员均予以承认。联合体各成员将严格按照招标文件、投标文件和合同的要求全面履行义务，并向招标人承担连带责任。</w:t>
      </w:r>
    </w:p>
    <w:p>
      <w:pPr>
        <w:wordWrap w:val="0"/>
        <w:topLinePunct/>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4. 联合体各成员单位内部的职责分工如下：</w:t>
      </w:r>
      <w:r>
        <w:rPr>
          <w:rFonts w:ascii="Times New Roman" w:hAnsi="Times New Roman"/>
          <w:color w:val="auto"/>
          <w:szCs w:val="21"/>
          <w:highlight w:val="none"/>
          <w:u w:val="single"/>
        </w:rPr>
        <w:t xml:space="preserve">                                  </w:t>
      </w:r>
      <w:r>
        <w:rPr>
          <w:rFonts w:ascii="Times New Roman" w:hAnsi="Times New Roman"/>
          <w:color w:val="auto"/>
          <w:szCs w:val="21"/>
          <w:highlight w:val="none"/>
        </w:rPr>
        <w:t>。</w:t>
      </w:r>
    </w:p>
    <w:p>
      <w:pPr>
        <w:topLinePunct/>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5. 本协议书自所有成员单位法定代表人（单位负责人）或其委托代理人签字或盖单位章之日起生效，合同履行完毕后自动失效。</w:t>
      </w:r>
    </w:p>
    <w:p>
      <w:pPr>
        <w:topLinePunct/>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6. 本协议书一式</w:t>
      </w:r>
      <w:r>
        <w:rPr>
          <w:rFonts w:ascii="Times New Roman" w:hAnsi="Times New Roman"/>
          <w:color w:val="auto"/>
          <w:szCs w:val="21"/>
          <w:highlight w:val="none"/>
          <w:u w:val="single"/>
        </w:rPr>
        <w:t xml:space="preserve">    </w:t>
      </w:r>
      <w:r>
        <w:rPr>
          <w:rFonts w:ascii="Times New Roman" w:hAnsi="Times New Roman"/>
          <w:color w:val="auto"/>
          <w:szCs w:val="21"/>
          <w:highlight w:val="none"/>
        </w:rPr>
        <w:t>份，联合体成员和招标人各执一份。</w:t>
      </w:r>
    </w:p>
    <w:p>
      <w:pPr>
        <w:topLinePunct/>
        <w:spacing w:line="440" w:lineRule="exact"/>
        <w:ind w:firstLine="480" w:firstLineChars="200"/>
        <w:rPr>
          <w:rFonts w:ascii="Times New Roman" w:hAnsi="Times New Roman"/>
          <w:color w:val="auto"/>
          <w:szCs w:val="21"/>
          <w:highlight w:val="none"/>
        </w:rPr>
      </w:pPr>
    </w:p>
    <w:p>
      <w:pPr>
        <w:topLinePunct/>
        <w:spacing w:line="440" w:lineRule="exact"/>
        <w:ind w:firstLine="480" w:firstLineChars="200"/>
        <w:rPr>
          <w:rFonts w:ascii="Times New Roman" w:hAnsi="Times New Roman"/>
          <w:color w:val="auto"/>
          <w:szCs w:val="21"/>
          <w:highlight w:val="none"/>
        </w:rPr>
      </w:pPr>
      <w:r>
        <w:rPr>
          <w:rFonts w:ascii="Times New Roman" w:hAnsi="Times New Roman"/>
          <w:color w:val="auto"/>
          <w:szCs w:val="21"/>
          <w:highlight w:val="none"/>
        </w:rPr>
        <w:t>注：本协议书由法定代表人（单位负责人）签字的，应附法定代表人（单位负责人）身份证明；由委托代理人签字的，应附授权委托书。</w:t>
      </w:r>
    </w:p>
    <w:p>
      <w:pPr>
        <w:topLinePunct/>
        <w:spacing w:line="440" w:lineRule="exact"/>
        <w:rPr>
          <w:rFonts w:ascii="Times New Roman" w:hAnsi="Times New Roman"/>
          <w:color w:val="auto"/>
          <w:szCs w:val="21"/>
          <w:highlight w:val="none"/>
        </w:rPr>
      </w:pPr>
    </w:p>
    <w:p>
      <w:pPr>
        <w:topLinePunct/>
        <w:spacing w:line="440" w:lineRule="exact"/>
        <w:ind w:firstLine="960" w:firstLineChars="400"/>
        <w:rPr>
          <w:rFonts w:ascii="Times New Roman" w:hAnsi="Times New Roman"/>
          <w:color w:val="auto"/>
          <w:szCs w:val="21"/>
          <w:highlight w:val="none"/>
        </w:rPr>
      </w:pPr>
      <w:r>
        <w:rPr>
          <w:rFonts w:ascii="Times New Roman" w:hAnsi="Times New Roman"/>
          <w:color w:val="auto"/>
          <w:szCs w:val="21"/>
          <w:highlight w:val="none"/>
        </w:rPr>
        <w:t>联合体牵头人名称：</w:t>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u w:val="single"/>
        </w:rPr>
        <w:tab/>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rPr>
        <w:t>（</w:t>
      </w:r>
      <w:r>
        <w:rPr>
          <w:rFonts w:hint="default" w:ascii="Times New Roman" w:hAnsi="Times New Roman"/>
          <w:color w:val="auto"/>
          <w:szCs w:val="21"/>
          <w:highlight w:val="none"/>
        </w:rPr>
        <w:t>盖单位章或盖单位电子印章</w:t>
      </w:r>
      <w:r>
        <w:rPr>
          <w:rFonts w:ascii="Times New Roman" w:hAnsi="Times New Roman"/>
          <w:color w:val="auto"/>
          <w:szCs w:val="21"/>
          <w:highlight w:val="none"/>
        </w:rPr>
        <w:t>）</w:t>
      </w:r>
    </w:p>
    <w:p>
      <w:pPr>
        <w:topLinePunct/>
        <w:spacing w:line="440" w:lineRule="exact"/>
        <w:ind w:firstLine="960" w:firstLineChars="400"/>
        <w:jc w:val="left"/>
        <w:rPr>
          <w:rFonts w:ascii="Times New Roman" w:hAnsi="Times New Roman"/>
          <w:color w:val="auto"/>
          <w:szCs w:val="21"/>
          <w:highlight w:val="none"/>
        </w:rPr>
      </w:pPr>
      <w:r>
        <w:rPr>
          <w:rFonts w:ascii="Times New Roman" w:hAnsi="Times New Roman"/>
          <w:color w:val="auto"/>
          <w:szCs w:val="21"/>
          <w:highlight w:val="none"/>
        </w:rPr>
        <w:t>法定代表人：</w:t>
      </w:r>
      <w:r>
        <w:rPr>
          <w:rFonts w:ascii="Times New Roman" w:hAnsi="Times New Roman"/>
          <w:color w:val="auto"/>
          <w:szCs w:val="21"/>
          <w:highlight w:val="none"/>
          <w:u w:val="single"/>
        </w:rPr>
        <w:t xml:space="preserve">     </w:t>
      </w:r>
      <w:r>
        <w:rPr>
          <w:rFonts w:hint="default"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rPr>
        <w:t>（</w:t>
      </w:r>
      <w:r>
        <w:rPr>
          <w:rFonts w:hint="default" w:ascii="Times New Roman" w:hAnsi="Times New Roman"/>
          <w:color w:val="auto"/>
          <w:szCs w:val="21"/>
          <w:highlight w:val="none"/>
        </w:rPr>
        <w:t>签字或个人电子签名或个人电子印章</w:t>
      </w:r>
      <w:r>
        <w:rPr>
          <w:rFonts w:ascii="Times New Roman" w:hAnsi="Times New Roman"/>
          <w:color w:val="auto"/>
          <w:szCs w:val="21"/>
          <w:highlight w:val="none"/>
        </w:rPr>
        <w:t>）</w:t>
      </w:r>
    </w:p>
    <w:p>
      <w:pPr>
        <w:topLinePunct/>
        <w:spacing w:line="440" w:lineRule="exact"/>
        <w:ind w:firstLine="2752" w:firstLineChars="1147"/>
        <w:jc w:val="left"/>
        <w:rPr>
          <w:rFonts w:ascii="Times New Roman" w:hAnsi="Times New Roman"/>
          <w:color w:val="auto"/>
          <w:szCs w:val="21"/>
          <w:highlight w:val="none"/>
        </w:rPr>
      </w:pPr>
    </w:p>
    <w:p>
      <w:pPr>
        <w:topLinePunct/>
        <w:spacing w:line="440" w:lineRule="exact"/>
        <w:ind w:firstLine="960" w:firstLineChars="400"/>
        <w:jc w:val="left"/>
        <w:rPr>
          <w:rFonts w:ascii="Times New Roman" w:hAnsi="Times New Roman"/>
          <w:color w:val="auto"/>
          <w:szCs w:val="21"/>
          <w:highlight w:val="none"/>
        </w:rPr>
      </w:pPr>
      <w:r>
        <w:rPr>
          <w:rFonts w:ascii="Times New Roman" w:hAnsi="Times New Roman"/>
          <w:color w:val="auto"/>
          <w:szCs w:val="21"/>
          <w:highlight w:val="none"/>
        </w:rPr>
        <w:t>联合体成员名称：</w:t>
      </w:r>
      <w:r>
        <w:rPr>
          <w:rFonts w:ascii="Times New Roman" w:hAnsi="Times New Roman"/>
          <w:color w:val="auto"/>
          <w:szCs w:val="21"/>
          <w:highlight w:val="none"/>
          <w:u w:val="single"/>
        </w:rPr>
        <w:t xml:space="preserve">                     </w:t>
      </w:r>
      <w:r>
        <w:rPr>
          <w:rFonts w:ascii="Times New Roman" w:hAnsi="Times New Roman"/>
          <w:color w:val="auto"/>
          <w:szCs w:val="21"/>
          <w:highlight w:val="none"/>
          <w:u w:val="single"/>
        </w:rPr>
        <w:tab/>
      </w:r>
      <w:r>
        <w:rPr>
          <w:rFonts w:ascii="Times New Roman" w:hAnsi="Times New Roman"/>
          <w:color w:val="auto"/>
          <w:szCs w:val="21"/>
          <w:highlight w:val="none"/>
        </w:rPr>
        <w:t>（</w:t>
      </w:r>
      <w:r>
        <w:rPr>
          <w:rFonts w:hint="default" w:ascii="Times New Roman" w:hAnsi="Times New Roman"/>
          <w:color w:val="auto"/>
          <w:szCs w:val="21"/>
          <w:highlight w:val="none"/>
        </w:rPr>
        <w:t>盖单位章或盖单位电子印章</w:t>
      </w:r>
      <w:r>
        <w:rPr>
          <w:rFonts w:ascii="Times New Roman" w:hAnsi="Times New Roman"/>
          <w:color w:val="auto"/>
          <w:szCs w:val="21"/>
          <w:highlight w:val="none"/>
        </w:rPr>
        <w:t>）</w:t>
      </w:r>
    </w:p>
    <w:p>
      <w:pPr>
        <w:topLinePunct/>
        <w:spacing w:line="440" w:lineRule="exact"/>
        <w:ind w:firstLine="960" w:firstLineChars="400"/>
        <w:jc w:val="left"/>
        <w:rPr>
          <w:rFonts w:ascii="Times New Roman" w:hAnsi="Times New Roman"/>
          <w:color w:val="auto"/>
          <w:szCs w:val="21"/>
          <w:highlight w:val="none"/>
        </w:rPr>
      </w:pPr>
      <w:r>
        <w:rPr>
          <w:rFonts w:ascii="Times New Roman" w:hAnsi="Times New Roman"/>
          <w:color w:val="auto"/>
          <w:szCs w:val="21"/>
          <w:highlight w:val="none"/>
        </w:rPr>
        <w:t>法定代表人：</w:t>
      </w:r>
      <w:r>
        <w:rPr>
          <w:rFonts w:ascii="Times New Roman" w:hAnsi="Times New Roman"/>
          <w:color w:val="auto"/>
          <w:szCs w:val="21"/>
          <w:highlight w:val="none"/>
          <w:u w:val="single"/>
        </w:rPr>
        <w:t xml:space="preserve">     </w:t>
      </w:r>
      <w:r>
        <w:rPr>
          <w:rFonts w:hint="default"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rPr>
        <w:t>（</w:t>
      </w:r>
      <w:r>
        <w:rPr>
          <w:rFonts w:hint="default" w:ascii="Times New Roman" w:hAnsi="Times New Roman"/>
          <w:color w:val="auto"/>
          <w:szCs w:val="21"/>
          <w:highlight w:val="none"/>
        </w:rPr>
        <w:t>签字或个人电子签名或个人电子印章</w:t>
      </w:r>
      <w:r>
        <w:rPr>
          <w:rFonts w:ascii="Times New Roman" w:hAnsi="Times New Roman"/>
          <w:color w:val="auto"/>
          <w:szCs w:val="21"/>
          <w:highlight w:val="none"/>
        </w:rPr>
        <w:t>）</w:t>
      </w:r>
    </w:p>
    <w:p>
      <w:pPr>
        <w:topLinePunct/>
        <w:spacing w:line="440" w:lineRule="exact"/>
        <w:ind w:firstLine="4190" w:firstLineChars="1746"/>
        <w:rPr>
          <w:rFonts w:ascii="Times New Roman" w:hAnsi="Times New Roman"/>
          <w:color w:val="auto"/>
          <w:szCs w:val="21"/>
          <w:highlight w:val="none"/>
        </w:rPr>
      </w:pPr>
      <w:r>
        <w:rPr>
          <w:rFonts w:ascii="Times New Roman" w:hAnsi="Times New Roman"/>
          <w:color w:val="auto"/>
          <w:szCs w:val="21"/>
          <w:highlight w:val="none"/>
        </w:rPr>
        <w:t xml:space="preserve">…… </w:t>
      </w:r>
    </w:p>
    <w:p>
      <w:pPr>
        <w:spacing w:line="400" w:lineRule="atLeast"/>
        <w:ind w:firstLine="3530" w:firstLineChars="1471"/>
        <w:rPr>
          <w:rFonts w:ascii="Times New Roman" w:hAnsi="Times New Roman"/>
          <w:color w:val="auto"/>
          <w:sz w:val="21"/>
          <w:szCs w:val="21"/>
          <w:highlight w:val="none"/>
        </w:rPr>
      </w:pPr>
      <w:r>
        <w:rPr>
          <w:rFonts w:ascii="Times New Roman" w:hAnsi="Times New Roman"/>
          <w:color w:val="auto"/>
          <w:szCs w:val="21"/>
          <w:highlight w:val="none"/>
          <w:u w:val="single"/>
        </w:rPr>
        <w:t xml:space="preserve">       </w:t>
      </w:r>
      <w:r>
        <w:rPr>
          <w:rFonts w:ascii="Times New Roman" w:hAnsi="Times New Roman"/>
          <w:color w:val="auto"/>
          <w:szCs w:val="21"/>
          <w:highlight w:val="none"/>
        </w:rPr>
        <w:t>年</w:t>
      </w:r>
      <w:r>
        <w:rPr>
          <w:rFonts w:ascii="Times New Roman" w:hAnsi="Times New Roman"/>
          <w:color w:val="auto"/>
          <w:szCs w:val="21"/>
          <w:highlight w:val="none"/>
          <w:u w:val="single"/>
        </w:rPr>
        <w:t xml:space="preserve">       </w:t>
      </w:r>
      <w:r>
        <w:rPr>
          <w:rFonts w:ascii="Times New Roman" w:hAnsi="Times New Roman"/>
          <w:color w:val="auto"/>
          <w:szCs w:val="21"/>
          <w:highlight w:val="none"/>
        </w:rPr>
        <w:t>月</w:t>
      </w:r>
      <w:r>
        <w:rPr>
          <w:rFonts w:ascii="Times New Roman" w:hAnsi="Times New Roman"/>
          <w:color w:val="auto"/>
          <w:szCs w:val="21"/>
          <w:highlight w:val="none"/>
          <w:u w:val="single"/>
        </w:rPr>
        <w:t xml:space="preserve">       </w:t>
      </w:r>
      <w:r>
        <w:rPr>
          <w:rFonts w:ascii="Times New Roman" w:hAnsi="Times New Roman"/>
          <w:color w:val="auto"/>
          <w:szCs w:val="21"/>
          <w:highlight w:val="none"/>
        </w:rPr>
        <w:t>日</w:t>
      </w:r>
    </w:p>
    <w:p>
      <w:pPr>
        <w:spacing w:line="240" w:lineRule="auto"/>
        <w:ind w:firstLine="0"/>
        <w:rPr>
          <w:rFonts w:ascii="Times New Roman" w:hAnsi="Times New Roman"/>
          <w:color w:val="auto"/>
          <w:sz w:val="24"/>
          <w:szCs w:val="24"/>
          <w:highlight w:val="none"/>
        </w:rPr>
      </w:pPr>
      <w:r>
        <w:rPr>
          <w:rFonts w:ascii="Times New Roman" w:hAnsi="Times New Roman"/>
          <w:color w:val="auto"/>
          <w:sz w:val="24"/>
          <w:szCs w:val="24"/>
          <w:highlight w:val="none"/>
        </w:rPr>
        <w:br w:type="page"/>
      </w:r>
    </w:p>
    <w:p>
      <w:pPr>
        <w:keepNext/>
        <w:topLinePunct/>
        <w:adjustRightInd w:val="0"/>
        <w:spacing w:before="157" w:beforeLines="50" w:after="157" w:afterLines="50" w:line="240" w:lineRule="auto"/>
        <w:jc w:val="center"/>
        <w:textAlignment w:val="baseline"/>
        <w:outlineLvl w:val="1"/>
        <w:rPr>
          <w:rFonts w:hint="default" w:ascii="Times New Roman" w:hAnsi="Times New Roman" w:eastAsia="黑体" w:cs="Times New Roman"/>
          <w:color w:val="auto"/>
          <w:kern w:val="0"/>
          <w:sz w:val="28"/>
          <w:szCs w:val="20"/>
          <w:highlight w:val="none"/>
        </w:rPr>
      </w:pPr>
      <w:bookmarkStart w:id="636" w:name="_Toc31270"/>
      <w:r>
        <w:rPr>
          <w:rFonts w:hint="default" w:ascii="Times New Roman" w:hAnsi="Times New Roman" w:eastAsia="黑体" w:cs="Times New Roman"/>
          <w:b w:val="0"/>
          <w:color w:val="auto"/>
          <w:sz w:val="28"/>
          <w:szCs w:val="28"/>
          <w:highlight w:val="none"/>
          <w:lang w:val="en-US" w:eastAsia="zh-CN"/>
        </w:rPr>
        <w:t>四</w:t>
      </w:r>
      <w:r>
        <w:rPr>
          <w:rFonts w:hint="default" w:ascii="Times New Roman" w:hAnsi="Times New Roman" w:eastAsia="黑体" w:cs="Times New Roman"/>
          <w:color w:val="auto"/>
          <w:kern w:val="0"/>
          <w:sz w:val="28"/>
          <w:szCs w:val="20"/>
          <w:highlight w:val="none"/>
        </w:rPr>
        <w:t>、投标保证金</w:t>
      </w:r>
      <w:bookmarkEnd w:id="623"/>
      <w:bookmarkEnd w:id="624"/>
      <w:bookmarkEnd w:id="636"/>
    </w:p>
    <w:p>
      <w:pPr>
        <w:spacing w:line="400" w:lineRule="atLeast"/>
        <w:ind w:firstLine="508" w:firstLineChars="21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若采用现金，投标人应在此提供汇款凭证的</w:t>
      </w:r>
      <w:r>
        <w:rPr>
          <w:rFonts w:hint="default" w:ascii="Times New Roman" w:hAnsi="Times New Roman" w:cs="Times New Roman"/>
          <w:color w:val="auto"/>
          <w:sz w:val="24"/>
          <w:highlight w:val="none"/>
          <w:lang w:val="en-US" w:eastAsia="zh-CN"/>
        </w:rPr>
        <w:t>原件扫描件</w:t>
      </w:r>
      <w:r>
        <w:rPr>
          <w:rFonts w:hint="default" w:ascii="Times New Roman" w:hAnsi="Times New Roman" w:cs="Times New Roman"/>
          <w:color w:val="auto"/>
          <w:sz w:val="24"/>
          <w:highlight w:val="none"/>
        </w:rPr>
        <w:t>。</w:t>
      </w:r>
    </w:p>
    <w:p>
      <w:pPr>
        <w:spacing w:line="400" w:lineRule="exact"/>
        <w:ind w:firstLine="480" w:firstLineChars="20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若采用电子保函，投标人应在此提供电子化保函验真渠道和从投标人基本账户支出的保函财务费用支付凭证</w:t>
      </w:r>
      <w:r>
        <w:rPr>
          <w:rFonts w:hint="default" w:ascii="Times New Roman" w:hAnsi="Times New Roman" w:cs="Times New Roman"/>
          <w:b w:val="0"/>
          <w:bCs w:val="0"/>
          <w:color w:val="auto"/>
          <w:sz w:val="24"/>
          <w:szCs w:val="24"/>
          <w:highlight w:val="none"/>
          <w:lang w:val="en-US" w:eastAsia="zh-CN"/>
        </w:rPr>
        <w:t>。</w:t>
      </w:r>
    </w:p>
    <w:p>
      <w:pPr>
        <w:spacing w:line="400" w:lineRule="exact"/>
        <w:ind w:firstLine="480" w:firstLineChars="200"/>
        <w:rPr>
          <w:rFonts w:hint="default" w:ascii="Times New Roman" w:hAnsi="Times New Roman" w:eastAsia="黑体" w:cs="Times New Roman"/>
          <w:color w:val="auto"/>
          <w:sz w:val="24"/>
          <w:highlight w:val="none"/>
        </w:rPr>
      </w:pPr>
      <w:r>
        <w:rPr>
          <w:rFonts w:hint="default" w:ascii="Times New Roman" w:hAnsi="Times New Roman" w:cs="Times New Roman"/>
          <w:color w:val="auto"/>
          <w:sz w:val="24"/>
          <w:highlight w:val="none"/>
          <w:lang w:val="en-US" w:eastAsia="zh-CN"/>
        </w:rPr>
        <w:t>若</w:t>
      </w:r>
      <w:r>
        <w:rPr>
          <w:rFonts w:hint="default" w:ascii="Times New Roman" w:hAnsi="Times New Roman" w:cs="Times New Roman"/>
          <w:color w:val="auto"/>
          <w:sz w:val="24"/>
          <w:highlight w:val="none"/>
        </w:rPr>
        <w:t>采用银行保函，投标人应在此提供银行保函</w:t>
      </w:r>
      <w:r>
        <w:rPr>
          <w:rFonts w:hint="default" w:ascii="Times New Roman" w:hAnsi="Times New Roman" w:cs="Times New Roman"/>
          <w:color w:val="auto"/>
          <w:sz w:val="24"/>
          <w:highlight w:val="none"/>
          <w:lang w:val="en-US" w:eastAsia="zh-CN"/>
        </w:rPr>
        <w:t>原件扫描件</w:t>
      </w:r>
      <w:r>
        <w:rPr>
          <w:rFonts w:hint="default" w:ascii="Times New Roman" w:hAnsi="Times New Roman" w:cs="Times New Roman"/>
          <w:color w:val="auto"/>
          <w:sz w:val="24"/>
          <w:highlight w:val="none"/>
        </w:rPr>
        <w:t>，格式如下。</w:t>
      </w:r>
    </w:p>
    <w:p>
      <w:pPr>
        <w:spacing w:line="400" w:lineRule="exact"/>
        <w:ind w:firstLine="480" w:firstLineChars="200"/>
        <w:rPr>
          <w:rFonts w:hint="default" w:ascii="Times New Roman" w:hAnsi="Times New Roman" w:cs="Times New Roman"/>
          <w:color w:val="auto"/>
          <w:sz w:val="24"/>
          <w:highlight w:val="none"/>
        </w:rPr>
      </w:pPr>
    </w:p>
    <w:p>
      <w:pPr>
        <w:spacing w:line="400" w:lineRule="exact"/>
        <w:jc w:val="center"/>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投标保函</w:t>
      </w:r>
    </w:p>
    <w:p>
      <w:pPr>
        <w:spacing w:line="400" w:lineRule="exact"/>
        <w:rPr>
          <w:rFonts w:hint="default" w:ascii="Times New Roman" w:hAnsi="Times New Roman" w:cs="Times New Roman"/>
          <w:color w:val="auto"/>
          <w:sz w:val="24"/>
          <w:highlight w:val="none"/>
          <w:u w:val="single"/>
        </w:rPr>
      </w:pPr>
    </w:p>
    <w:p>
      <w:pPr>
        <w:spacing w:line="400" w:lineRule="exac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你方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w:t>
      </w:r>
    </w:p>
    <w:p>
      <w:pPr>
        <w:spacing w:line="400" w:lineRule="exact"/>
        <w:jc w:val="center"/>
        <w:rPr>
          <w:rFonts w:hint="default" w:ascii="Times New Roman" w:hAnsi="Times New Roman" w:cs="Times New Roman"/>
          <w:color w:val="auto"/>
          <w:sz w:val="24"/>
          <w:highlight w:val="none"/>
        </w:rPr>
      </w:pPr>
    </w:p>
    <w:p>
      <w:pPr>
        <w:wordWrap w:val="0"/>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鉴于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（投标人名称）（以下称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日参加</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的投标，</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（担保人名称，以下简称</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我方</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无条件地、不可撤销地保证：若投标人在投标有效期内撤销投标文件，中标后无正当理由不与招标人订立合同，在签订合同时向招标人提出附加条件，不按照招标文件要求提交履约保证金，或发生招标文件明确规定可以不予退还投标保证金的其他情形，我方承担保证责任。投标人发生以上任一情况时，收到你方书面通知后，我方在7日内向你方无条件支付人民币（大写）</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元。</w:t>
      </w:r>
    </w:p>
    <w:p>
      <w:pPr>
        <w:spacing w:line="40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本保函在投标有效期或经延长的投标有效期内保持有效。要求我方承担保证责任的通知应在上述期限内送达我方。你方延长投标有效期的决定，应通知我方。</w:t>
      </w:r>
    </w:p>
    <w:p>
      <w:pPr>
        <w:rPr>
          <w:rFonts w:hint="default" w:ascii="Times New Roman" w:hAnsi="Times New Roman" w:cs="Times New Roman"/>
          <w:color w:val="auto"/>
          <w:sz w:val="24"/>
          <w:highlight w:val="none"/>
        </w:rPr>
      </w:pPr>
    </w:p>
    <w:p>
      <w:pPr>
        <w:rPr>
          <w:rFonts w:hint="default" w:ascii="Times New Roman" w:hAnsi="Times New Roman" w:cs="Times New Roman"/>
          <w:color w:val="auto"/>
          <w:sz w:val="24"/>
          <w:highlight w:val="none"/>
        </w:rPr>
      </w:pPr>
    </w:p>
    <w:p>
      <w:pPr>
        <w:spacing w:line="400" w:lineRule="exact"/>
        <w:ind w:firstLine="2925" w:firstLineChars="1219"/>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（盖单位章）</w:t>
      </w:r>
    </w:p>
    <w:p>
      <w:pPr>
        <w:autoSpaceDE w:val="0"/>
        <w:autoSpaceDN w:val="0"/>
        <w:adjustRightInd w:val="0"/>
        <w:spacing w:line="400" w:lineRule="atLeast"/>
        <w:ind w:firstLine="2925" w:firstLineChars="1219"/>
        <w:jc w:val="left"/>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担保人法定代表人或其委托代理人（签字）：</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753" w:leftChars="1147" w:firstLine="172" w:firstLineChars="72"/>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担保人地址：</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753" w:leftChars="1147" w:firstLine="172" w:firstLineChars="72"/>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担保人电话：</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autoSpaceDE w:val="0"/>
        <w:autoSpaceDN w:val="0"/>
        <w:adjustRightInd w:val="0"/>
        <w:spacing w:line="400" w:lineRule="atLeast"/>
        <w:ind w:left="2753" w:leftChars="1147" w:firstLine="172" w:firstLineChars="72"/>
        <w:rPr>
          <w:rFonts w:hint="default" w:ascii="Times New Roman" w:hAnsi="Times New Roman" w:cs="Times New Roman"/>
          <w:color w:val="auto"/>
          <w:sz w:val="24"/>
          <w:highlight w:val="none"/>
          <w:u w:val="single"/>
        </w:rPr>
      </w:pPr>
      <w:r>
        <w:rPr>
          <w:rFonts w:hint="default" w:ascii="Times New Roman" w:hAnsi="Times New Roman" w:cs="Times New Roman"/>
          <w:color w:val="auto"/>
          <w:sz w:val="24"/>
          <w:highlight w:val="none"/>
        </w:rPr>
        <w:t>担保人传真：</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p>
    <w:p>
      <w:pPr>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年</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月</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日</w:t>
      </w:r>
    </w:p>
    <w:p>
      <w:pPr>
        <w:ind w:firstLine="480" w:firstLineChars="200"/>
        <w:rPr>
          <w:rFonts w:hint="default" w:ascii="Times New Roman" w:hAnsi="Times New Roman" w:eastAsia="黑体" w:cs="Times New Roman"/>
          <w:color w:val="auto"/>
          <w:sz w:val="24"/>
          <w:highlight w:val="none"/>
        </w:rPr>
      </w:pPr>
    </w:p>
    <w:p>
      <w:pPr>
        <w:ind w:firstLine="480" w:firstLineChars="200"/>
        <w:rPr>
          <w:rFonts w:hint="default" w:ascii="Times New Roman" w:hAnsi="Times New Roman" w:eastAsia="黑体" w:cs="Times New Roman"/>
          <w:color w:val="auto"/>
          <w:sz w:val="24"/>
          <w:highlight w:val="none"/>
        </w:rPr>
      </w:pPr>
    </w:p>
    <w:p>
      <w:pPr>
        <w:ind w:firstLine="480" w:firstLineChars="200"/>
        <w:rPr>
          <w:rFonts w:hint="default" w:ascii="Times New Roman" w:hAnsi="Times New Roman" w:eastAsia="黑体" w:cs="Times New Roman"/>
          <w:color w:val="auto"/>
          <w:sz w:val="24"/>
          <w:highlight w:val="none"/>
        </w:rPr>
      </w:pPr>
    </w:p>
    <w:p>
      <w:pPr>
        <w:ind w:firstLine="480" w:firstLineChars="200"/>
        <w:rPr>
          <w:rFonts w:hint="default" w:ascii="Times New Roman" w:hAnsi="Times New Roman" w:eastAsia="黑体" w:cs="Times New Roman"/>
          <w:color w:val="auto"/>
          <w:sz w:val="24"/>
          <w:highlight w:val="none"/>
        </w:rPr>
      </w:pPr>
    </w:p>
    <w:p>
      <w:pPr>
        <w:keepNext/>
        <w:topLinePunct/>
        <w:adjustRightInd w:val="0"/>
        <w:spacing w:before="157" w:beforeLines="50" w:after="157" w:afterLines="50" w:line="240" w:lineRule="auto"/>
        <w:jc w:val="center"/>
        <w:textAlignment w:val="baseline"/>
        <w:outlineLvl w:val="1"/>
        <w:rPr>
          <w:rFonts w:hint="default" w:ascii="Times New Roman" w:hAnsi="Times New Roman" w:eastAsia="黑体" w:cs="Times New Roman"/>
          <w:color w:val="auto"/>
          <w:kern w:val="0"/>
          <w:sz w:val="36"/>
          <w:szCs w:val="20"/>
          <w:highlight w:val="none"/>
          <w:lang w:val="en-US" w:eastAsia="zh-CN"/>
        </w:rPr>
      </w:pPr>
      <w:r>
        <w:rPr>
          <w:rFonts w:hint="default" w:ascii="Times New Roman" w:hAnsi="Times New Roman" w:eastAsia="黑体" w:cs="Times New Roman"/>
          <w:color w:val="auto"/>
          <w:kern w:val="0"/>
          <w:sz w:val="24"/>
          <w:szCs w:val="20"/>
          <w:highlight w:val="none"/>
        </w:rPr>
        <w:br w:type="page"/>
      </w:r>
      <w:bookmarkStart w:id="637" w:name="_Toc137074944"/>
      <w:bookmarkStart w:id="638" w:name="_Toc320625070"/>
      <w:bookmarkStart w:id="639" w:name="_Toc12877"/>
      <w:r>
        <w:rPr>
          <w:rFonts w:hint="default" w:ascii="Times New Roman" w:hAnsi="Times New Roman" w:eastAsia="黑体" w:cs="Times New Roman"/>
          <w:color w:val="auto"/>
          <w:kern w:val="0"/>
          <w:sz w:val="28"/>
          <w:szCs w:val="20"/>
          <w:highlight w:val="none"/>
          <w:lang w:val="en-US" w:eastAsia="zh-CN"/>
        </w:rPr>
        <w:t>五</w:t>
      </w:r>
      <w:r>
        <w:rPr>
          <w:rFonts w:hint="default" w:ascii="Times New Roman" w:hAnsi="Times New Roman" w:eastAsia="黑体" w:cs="Times New Roman"/>
          <w:color w:val="auto"/>
          <w:kern w:val="0"/>
          <w:sz w:val="28"/>
          <w:szCs w:val="20"/>
          <w:highlight w:val="none"/>
        </w:rPr>
        <w:t>、</w:t>
      </w:r>
      <w:bookmarkEnd w:id="637"/>
      <w:bookmarkEnd w:id="638"/>
      <w:r>
        <w:rPr>
          <w:rFonts w:hint="default" w:ascii="Times New Roman" w:hAnsi="Times New Roman" w:eastAsia="黑体" w:cs="Times New Roman"/>
          <w:color w:val="auto"/>
          <w:kern w:val="0"/>
          <w:sz w:val="28"/>
          <w:szCs w:val="20"/>
          <w:highlight w:val="none"/>
          <w:lang w:val="en-US" w:eastAsia="zh-CN"/>
        </w:rPr>
        <w:t>商务和技术偏差表</w:t>
      </w:r>
      <w:bookmarkEnd w:id="639"/>
    </w:p>
    <w:p>
      <w:pPr>
        <w:spacing w:line="440" w:lineRule="exact"/>
        <w:ind w:firstLine="900" w:firstLineChars="375"/>
        <w:rPr>
          <w:rFonts w:hint="default" w:ascii="Times New Roman" w:hAnsi="Times New Roman" w:cs="Times New Roman"/>
          <w:color w:val="auto"/>
          <w:sz w:val="24"/>
          <w:highlight w:val="none"/>
        </w:rPr>
      </w:pPr>
    </w:p>
    <w:tbl>
      <w:tblPr>
        <w:tblStyle w:val="30"/>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694"/>
        <w:gridCol w:w="2979"/>
        <w:gridCol w:w="1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pPr>
              <w:widowControl/>
              <w:snapToGrid w:val="0"/>
              <w:ind w:firstLine="0" w:firstLineChars="0"/>
              <w:jc w:val="center"/>
              <w:rPr>
                <w:rFonts w:ascii="Times New Roman" w:hAnsi="Times New Roman"/>
                <w:b/>
                <w:color w:val="auto"/>
                <w:kern w:val="0"/>
                <w:szCs w:val="21"/>
                <w:highlight w:val="none"/>
              </w:rPr>
            </w:pPr>
            <w:r>
              <w:rPr>
                <w:rFonts w:ascii="Times New Roman" w:hAnsi="Times New Roman"/>
                <w:b/>
                <w:color w:val="auto"/>
                <w:kern w:val="0"/>
                <w:szCs w:val="21"/>
                <w:highlight w:val="none"/>
              </w:rPr>
              <w:t>序号</w:t>
            </w:r>
          </w:p>
        </w:tc>
        <w:tc>
          <w:tcPr>
            <w:tcW w:w="2694" w:type="dxa"/>
            <w:vAlign w:val="center"/>
          </w:tcPr>
          <w:p>
            <w:pPr>
              <w:widowControl/>
              <w:snapToGrid w:val="0"/>
              <w:ind w:firstLine="0" w:firstLineChars="0"/>
              <w:jc w:val="center"/>
              <w:rPr>
                <w:rFonts w:ascii="Times New Roman" w:hAnsi="Times New Roman"/>
                <w:b/>
                <w:color w:val="auto"/>
                <w:kern w:val="0"/>
                <w:szCs w:val="21"/>
                <w:highlight w:val="none"/>
              </w:rPr>
            </w:pPr>
            <w:r>
              <w:rPr>
                <w:rFonts w:ascii="Times New Roman" w:hAnsi="Times New Roman"/>
                <w:b/>
                <w:color w:val="auto"/>
                <w:kern w:val="0"/>
                <w:szCs w:val="21"/>
                <w:highlight w:val="none"/>
              </w:rPr>
              <w:t>招标文件章节及条款号</w:t>
            </w:r>
          </w:p>
        </w:tc>
        <w:tc>
          <w:tcPr>
            <w:tcW w:w="2979" w:type="dxa"/>
            <w:vAlign w:val="center"/>
          </w:tcPr>
          <w:p>
            <w:pPr>
              <w:widowControl/>
              <w:snapToGrid w:val="0"/>
              <w:ind w:firstLine="0" w:firstLineChars="0"/>
              <w:jc w:val="center"/>
              <w:rPr>
                <w:rFonts w:ascii="Times New Roman" w:hAnsi="Times New Roman"/>
                <w:b/>
                <w:color w:val="auto"/>
                <w:kern w:val="0"/>
                <w:szCs w:val="21"/>
                <w:highlight w:val="none"/>
              </w:rPr>
            </w:pPr>
            <w:r>
              <w:rPr>
                <w:rFonts w:ascii="Times New Roman" w:hAnsi="Times New Roman"/>
                <w:b/>
                <w:color w:val="auto"/>
                <w:kern w:val="0"/>
                <w:szCs w:val="21"/>
                <w:highlight w:val="none"/>
              </w:rPr>
              <w:t>投标文件章节及条款号</w:t>
            </w:r>
          </w:p>
        </w:tc>
        <w:tc>
          <w:tcPr>
            <w:tcW w:w="1624" w:type="dxa"/>
            <w:vAlign w:val="center"/>
          </w:tcPr>
          <w:p>
            <w:pPr>
              <w:widowControl/>
              <w:snapToGrid w:val="0"/>
              <w:ind w:firstLine="0" w:firstLineChars="0"/>
              <w:jc w:val="center"/>
              <w:rPr>
                <w:rFonts w:ascii="Times New Roman" w:hAnsi="Times New Roman"/>
                <w:b/>
                <w:color w:val="auto"/>
                <w:kern w:val="0"/>
                <w:szCs w:val="21"/>
                <w:highlight w:val="none"/>
              </w:rPr>
            </w:pPr>
            <w:r>
              <w:rPr>
                <w:rFonts w:ascii="Times New Roman" w:hAnsi="Times New Roman"/>
                <w:b/>
                <w:color w:val="auto"/>
                <w:kern w:val="0"/>
                <w:szCs w:val="21"/>
                <w:highlight w:val="none"/>
              </w:rPr>
              <w:t>偏差说明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pPr>
              <w:widowControl/>
              <w:snapToGrid w:val="0"/>
              <w:ind w:firstLine="0" w:firstLineChars="0"/>
              <w:jc w:val="center"/>
              <w:rPr>
                <w:rFonts w:ascii="Times New Roman" w:hAnsi="Times New Roman"/>
                <w:color w:val="auto"/>
                <w:kern w:val="0"/>
                <w:szCs w:val="21"/>
                <w:highlight w:val="none"/>
              </w:rPr>
            </w:pPr>
            <w:r>
              <w:rPr>
                <w:rFonts w:ascii="Times New Roman" w:hAnsi="Times New Roman"/>
                <w:color w:val="auto"/>
                <w:kern w:val="0"/>
                <w:szCs w:val="21"/>
                <w:highlight w:val="none"/>
              </w:rPr>
              <w:t>1</w:t>
            </w:r>
          </w:p>
        </w:tc>
        <w:tc>
          <w:tcPr>
            <w:tcW w:w="2694" w:type="dxa"/>
            <w:vAlign w:val="center"/>
          </w:tcPr>
          <w:p>
            <w:pPr>
              <w:widowControl/>
              <w:snapToGrid w:val="0"/>
              <w:jc w:val="center"/>
              <w:rPr>
                <w:rFonts w:ascii="Times New Roman" w:hAnsi="Times New Roman"/>
                <w:color w:val="auto"/>
                <w:kern w:val="0"/>
                <w:szCs w:val="21"/>
                <w:highlight w:val="none"/>
              </w:rPr>
            </w:pPr>
          </w:p>
        </w:tc>
        <w:tc>
          <w:tcPr>
            <w:tcW w:w="2979" w:type="dxa"/>
            <w:vAlign w:val="center"/>
          </w:tcPr>
          <w:p>
            <w:pPr>
              <w:widowControl/>
              <w:snapToGrid w:val="0"/>
              <w:jc w:val="center"/>
              <w:rPr>
                <w:rFonts w:ascii="Times New Roman" w:hAnsi="Times New Roman"/>
                <w:color w:val="auto"/>
                <w:kern w:val="0"/>
                <w:szCs w:val="21"/>
                <w:highlight w:val="none"/>
              </w:rPr>
            </w:pPr>
          </w:p>
        </w:tc>
        <w:tc>
          <w:tcPr>
            <w:tcW w:w="1624" w:type="dxa"/>
            <w:vAlign w:val="center"/>
          </w:tcPr>
          <w:p>
            <w:pPr>
              <w:widowControl/>
              <w:snapToGrid w:val="0"/>
              <w:jc w:val="center"/>
              <w:rPr>
                <w:rFonts w:ascii="Times New Roman" w:hAnsi="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pPr>
              <w:widowControl/>
              <w:snapToGrid w:val="0"/>
              <w:ind w:firstLine="0" w:firstLineChars="0"/>
              <w:jc w:val="center"/>
              <w:rPr>
                <w:rFonts w:ascii="Times New Roman" w:hAnsi="Times New Roman"/>
                <w:color w:val="auto"/>
                <w:kern w:val="0"/>
                <w:szCs w:val="21"/>
                <w:highlight w:val="none"/>
              </w:rPr>
            </w:pPr>
            <w:r>
              <w:rPr>
                <w:rFonts w:ascii="Times New Roman" w:hAnsi="Times New Roman"/>
                <w:color w:val="auto"/>
                <w:kern w:val="0"/>
                <w:szCs w:val="21"/>
                <w:highlight w:val="none"/>
              </w:rPr>
              <w:t>2</w:t>
            </w:r>
          </w:p>
        </w:tc>
        <w:tc>
          <w:tcPr>
            <w:tcW w:w="2694" w:type="dxa"/>
            <w:vAlign w:val="center"/>
          </w:tcPr>
          <w:p>
            <w:pPr>
              <w:widowControl/>
              <w:snapToGrid w:val="0"/>
              <w:jc w:val="center"/>
              <w:rPr>
                <w:rFonts w:ascii="Times New Roman" w:hAnsi="Times New Roman"/>
                <w:color w:val="auto"/>
                <w:kern w:val="0"/>
                <w:szCs w:val="21"/>
                <w:highlight w:val="none"/>
              </w:rPr>
            </w:pPr>
          </w:p>
        </w:tc>
        <w:tc>
          <w:tcPr>
            <w:tcW w:w="2979" w:type="dxa"/>
            <w:vAlign w:val="center"/>
          </w:tcPr>
          <w:p>
            <w:pPr>
              <w:widowControl/>
              <w:snapToGrid w:val="0"/>
              <w:jc w:val="center"/>
              <w:rPr>
                <w:rFonts w:ascii="Times New Roman" w:hAnsi="Times New Roman"/>
                <w:color w:val="auto"/>
                <w:kern w:val="0"/>
                <w:szCs w:val="21"/>
                <w:highlight w:val="none"/>
              </w:rPr>
            </w:pPr>
          </w:p>
        </w:tc>
        <w:tc>
          <w:tcPr>
            <w:tcW w:w="1624" w:type="dxa"/>
            <w:vAlign w:val="center"/>
          </w:tcPr>
          <w:p>
            <w:pPr>
              <w:widowControl/>
              <w:snapToGrid w:val="0"/>
              <w:jc w:val="center"/>
              <w:rPr>
                <w:rFonts w:ascii="Times New Roman" w:hAnsi="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pPr>
              <w:widowControl/>
              <w:snapToGrid w:val="0"/>
              <w:ind w:firstLine="0" w:firstLineChars="0"/>
              <w:jc w:val="center"/>
              <w:rPr>
                <w:rFonts w:ascii="Times New Roman" w:hAnsi="Times New Roman"/>
                <w:color w:val="auto"/>
                <w:kern w:val="0"/>
                <w:szCs w:val="21"/>
                <w:highlight w:val="none"/>
              </w:rPr>
            </w:pPr>
            <w:r>
              <w:rPr>
                <w:rFonts w:ascii="Times New Roman" w:hAnsi="Times New Roman"/>
                <w:color w:val="auto"/>
                <w:kern w:val="0"/>
                <w:szCs w:val="21"/>
                <w:highlight w:val="none"/>
              </w:rPr>
              <w:t>3</w:t>
            </w:r>
          </w:p>
        </w:tc>
        <w:tc>
          <w:tcPr>
            <w:tcW w:w="2694" w:type="dxa"/>
            <w:vAlign w:val="center"/>
          </w:tcPr>
          <w:p>
            <w:pPr>
              <w:widowControl/>
              <w:snapToGrid w:val="0"/>
              <w:jc w:val="center"/>
              <w:rPr>
                <w:rFonts w:ascii="Times New Roman" w:hAnsi="Times New Roman"/>
                <w:color w:val="auto"/>
                <w:kern w:val="0"/>
                <w:szCs w:val="21"/>
                <w:highlight w:val="none"/>
              </w:rPr>
            </w:pPr>
          </w:p>
        </w:tc>
        <w:tc>
          <w:tcPr>
            <w:tcW w:w="2979" w:type="dxa"/>
            <w:vAlign w:val="center"/>
          </w:tcPr>
          <w:p>
            <w:pPr>
              <w:widowControl/>
              <w:snapToGrid w:val="0"/>
              <w:jc w:val="center"/>
              <w:rPr>
                <w:rFonts w:ascii="Times New Roman" w:hAnsi="Times New Roman"/>
                <w:color w:val="auto"/>
                <w:kern w:val="0"/>
                <w:szCs w:val="21"/>
                <w:highlight w:val="none"/>
              </w:rPr>
            </w:pPr>
          </w:p>
        </w:tc>
        <w:tc>
          <w:tcPr>
            <w:tcW w:w="1624" w:type="dxa"/>
            <w:vAlign w:val="center"/>
          </w:tcPr>
          <w:p>
            <w:pPr>
              <w:widowControl/>
              <w:snapToGrid w:val="0"/>
              <w:jc w:val="center"/>
              <w:rPr>
                <w:rFonts w:ascii="Times New Roman" w:hAnsi="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pPr>
              <w:widowControl/>
              <w:snapToGrid w:val="0"/>
              <w:ind w:firstLine="0" w:firstLineChars="0"/>
              <w:jc w:val="center"/>
              <w:rPr>
                <w:rFonts w:ascii="Times New Roman" w:hAnsi="Times New Roman"/>
                <w:color w:val="auto"/>
                <w:kern w:val="0"/>
                <w:szCs w:val="21"/>
                <w:highlight w:val="none"/>
              </w:rPr>
            </w:pPr>
            <w:r>
              <w:rPr>
                <w:rFonts w:ascii="Times New Roman" w:hAnsi="Times New Roman"/>
                <w:color w:val="auto"/>
                <w:kern w:val="0"/>
                <w:szCs w:val="21"/>
                <w:highlight w:val="none"/>
              </w:rPr>
              <w:t>4</w:t>
            </w:r>
          </w:p>
        </w:tc>
        <w:tc>
          <w:tcPr>
            <w:tcW w:w="2694" w:type="dxa"/>
            <w:vAlign w:val="center"/>
          </w:tcPr>
          <w:p>
            <w:pPr>
              <w:widowControl/>
              <w:snapToGrid w:val="0"/>
              <w:jc w:val="center"/>
              <w:rPr>
                <w:rFonts w:ascii="Times New Roman" w:hAnsi="Times New Roman"/>
                <w:color w:val="auto"/>
                <w:kern w:val="0"/>
                <w:szCs w:val="21"/>
                <w:highlight w:val="none"/>
              </w:rPr>
            </w:pPr>
          </w:p>
        </w:tc>
        <w:tc>
          <w:tcPr>
            <w:tcW w:w="2979" w:type="dxa"/>
            <w:vAlign w:val="center"/>
          </w:tcPr>
          <w:p>
            <w:pPr>
              <w:widowControl/>
              <w:snapToGrid w:val="0"/>
              <w:jc w:val="center"/>
              <w:rPr>
                <w:rFonts w:ascii="Times New Roman" w:hAnsi="Times New Roman"/>
                <w:color w:val="auto"/>
                <w:kern w:val="0"/>
                <w:szCs w:val="21"/>
                <w:highlight w:val="none"/>
              </w:rPr>
            </w:pPr>
          </w:p>
        </w:tc>
        <w:tc>
          <w:tcPr>
            <w:tcW w:w="1624" w:type="dxa"/>
            <w:vAlign w:val="center"/>
          </w:tcPr>
          <w:p>
            <w:pPr>
              <w:widowControl/>
              <w:snapToGrid w:val="0"/>
              <w:jc w:val="center"/>
              <w:rPr>
                <w:rFonts w:ascii="Times New Roman" w:hAnsi="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pPr>
              <w:widowControl/>
              <w:snapToGrid w:val="0"/>
              <w:ind w:firstLine="0" w:firstLineChars="0"/>
              <w:jc w:val="center"/>
              <w:rPr>
                <w:rFonts w:ascii="Times New Roman" w:hAnsi="Times New Roman"/>
                <w:color w:val="auto"/>
                <w:kern w:val="0"/>
                <w:szCs w:val="21"/>
                <w:highlight w:val="none"/>
              </w:rPr>
            </w:pPr>
            <w:r>
              <w:rPr>
                <w:rFonts w:ascii="Times New Roman" w:hAnsi="Times New Roman"/>
                <w:color w:val="auto"/>
                <w:kern w:val="0"/>
                <w:szCs w:val="21"/>
                <w:highlight w:val="none"/>
              </w:rPr>
              <w:t>5</w:t>
            </w:r>
          </w:p>
        </w:tc>
        <w:tc>
          <w:tcPr>
            <w:tcW w:w="2694" w:type="dxa"/>
            <w:vAlign w:val="center"/>
          </w:tcPr>
          <w:p>
            <w:pPr>
              <w:widowControl/>
              <w:snapToGrid w:val="0"/>
              <w:jc w:val="center"/>
              <w:rPr>
                <w:rFonts w:ascii="Times New Roman" w:hAnsi="Times New Roman"/>
                <w:color w:val="auto"/>
                <w:kern w:val="0"/>
                <w:szCs w:val="21"/>
                <w:highlight w:val="none"/>
              </w:rPr>
            </w:pPr>
          </w:p>
        </w:tc>
        <w:tc>
          <w:tcPr>
            <w:tcW w:w="2979" w:type="dxa"/>
            <w:vAlign w:val="center"/>
          </w:tcPr>
          <w:p>
            <w:pPr>
              <w:widowControl/>
              <w:snapToGrid w:val="0"/>
              <w:jc w:val="center"/>
              <w:rPr>
                <w:rFonts w:ascii="Times New Roman" w:hAnsi="Times New Roman"/>
                <w:color w:val="auto"/>
                <w:kern w:val="0"/>
                <w:szCs w:val="21"/>
                <w:highlight w:val="none"/>
              </w:rPr>
            </w:pPr>
          </w:p>
        </w:tc>
        <w:tc>
          <w:tcPr>
            <w:tcW w:w="1624" w:type="dxa"/>
            <w:vAlign w:val="center"/>
          </w:tcPr>
          <w:p>
            <w:pPr>
              <w:widowControl/>
              <w:snapToGrid w:val="0"/>
              <w:jc w:val="center"/>
              <w:rPr>
                <w:rFonts w:ascii="Times New Roman" w:hAnsi="Times New Roman"/>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center"/>
          </w:tcPr>
          <w:p>
            <w:pPr>
              <w:widowControl/>
              <w:snapToGrid w:val="0"/>
              <w:ind w:firstLine="0" w:firstLineChars="0"/>
              <w:jc w:val="center"/>
              <w:rPr>
                <w:rFonts w:ascii="Times New Roman" w:hAnsi="Times New Roman"/>
                <w:color w:val="auto"/>
                <w:kern w:val="0"/>
                <w:szCs w:val="21"/>
                <w:highlight w:val="none"/>
              </w:rPr>
            </w:pPr>
            <w:r>
              <w:rPr>
                <w:rFonts w:ascii="Times New Roman" w:hAnsi="Times New Roman"/>
                <w:color w:val="auto"/>
                <w:kern w:val="0"/>
                <w:szCs w:val="21"/>
                <w:highlight w:val="none"/>
              </w:rPr>
              <w:t>……</w:t>
            </w:r>
          </w:p>
        </w:tc>
        <w:tc>
          <w:tcPr>
            <w:tcW w:w="2694" w:type="dxa"/>
            <w:vAlign w:val="center"/>
          </w:tcPr>
          <w:p>
            <w:pPr>
              <w:widowControl/>
              <w:snapToGrid w:val="0"/>
              <w:jc w:val="center"/>
              <w:rPr>
                <w:rFonts w:ascii="Times New Roman" w:hAnsi="Times New Roman"/>
                <w:color w:val="auto"/>
                <w:kern w:val="0"/>
                <w:szCs w:val="21"/>
                <w:highlight w:val="none"/>
              </w:rPr>
            </w:pPr>
          </w:p>
        </w:tc>
        <w:tc>
          <w:tcPr>
            <w:tcW w:w="2979" w:type="dxa"/>
            <w:vAlign w:val="center"/>
          </w:tcPr>
          <w:p>
            <w:pPr>
              <w:widowControl/>
              <w:snapToGrid w:val="0"/>
              <w:jc w:val="center"/>
              <w:rPr>
                <w:rFonts w:ascii="Times New Roman" w:hAnsi="Times New Roman"/>
                <w:color w:val="auto"/>
                <w:kern w:val="0"/>
                <w:szCs w:val="21"/>
                <w:highlight w:val="none"/>
              </w:rPr>
            </w:pPr>
          </w:p>
        </w:tc>
        <w:tc>
          <w:tcPr>
            <w:tcW w:w="1624" w:type="dxa"/>
            <w:vAlign w:val="center"/>
          </w:tcPr>
          <w:p>
            <w:pPr>
              <w:widowControl/>
              <w:snapToGrid w:val="0"/>
              <w:jc w:val="center"/>
              <w:rPr>
                <w:rFonts w:ascii="Times New Roman" w:hAnsi="Times New Roman"/>
                <w:color w:val="auto"/>
                <w:kern w:val="0"/>
                <w:szCs w:val="21"/>
                <w:highlight w:val="none"/>
              </w:rPr>
            </w:pPr>
          </w:p>
        </w:tc>
      </w:tr>
    </w:tbl>
    <w:p>
      <w:pPr>
        <w:topLinePunct/>
        <w:adjustRightInd w:val="0"/>
        <w:snapToGrid w:val="0"/>
        <w:jc w:val="left"/>
        <w:textAlignment w:val="baseline"/>
        <w:rPr>
          <w:rFonts w:hint="default" w:ascii="Times New Roman" w:hAnsi="Times New Roman" w:eastAsia="黑体" w:cs="Times New Roman"/>
          <w:b/>
          <w:color w:val="auto"/>
          <w:kern w:val="0"/>
          <w:sz w:val="28"/>
          <w:szCs w:val="21"/>
          <w:highlight w:val="none"/>
        </w:rPr>
      </w:pPr>
      <w:r>
        <w:rPr>
          <w:rFonts w:ascii="Times New Roman" w:hAnsi="Times New Roman"/>
          <w:color w:val="auto"/>
          <w:szCs w:val="21"/>
          <w:highlight w:val="none"/>
        </w:rPr>
        <w:t>投标人保证：除商务和技术偏差表列出的偏差外，投标人响应招标文件的全部要求。</w:t>
      </w:r>
    </w:p>
    <w:p>
      <w:pPr>
        <w:keepNext/>
        <w:topLinePunct/>
        <w:adjustRightInd w:val="0"/>
        <w:spacing w:before="157" w:beforeLines="50" w:after="157" w:afterLines="50" w:line="240" w:lineRule="auto"/>
        <w:ind w:firstLine="0" w:firstLineChars="0"/>
        <w:jc w:val="center"/>
        <w:textAlignment w:val="baseline"/>
        <w:outlineLvl w:val="1"/>
        <w:rPr>
          <w:rFonts w:hint="default" w:ascii="Times New Roman" w:hAnsi="Times New Roman" w:eastAsia="黑体" w:cs="Times New Roman"/>
          <w:color w:val="auto"/>
          <w:kern w:val="0"/>
          <w:sz w:val="28"/>
          <w:szCs w:val="20"/>
          <w:highlight w:val="none"/>
        </w:rPr>
      </w:pPr>
      <w:r>
        <w:rPr>
          <w:rFonts w:hint="default" w:ascii="Times New Roman" w:hAnsi="Times New Roman" w:eastAsia="黑体" w:cs="Times New Roman"/>
          <w:color w:val="auto"/>
          <w:kern w:val="0"/>
          <w:szCs w:val="21"/>
          <w:highlight w:val="none"/>
        </w:rPr>
        <w:br w:type="page"/>
      </w:r>
      <w:bookmarkStart w:id="640" w:name="_Toc8930"/>
      <w:bookmarkStart w:id="641" w:name="_Toc320625072"/>
      <w:bookmarkStart w:id="642" w:name="_Toc137074945"/>
      <w:bookmarkStart w:id="643" w:name="_Toc283622758"/>
      <w:bookmarkStart w:id="644" w:name="_Toc243214934"/>
      <w:r>
        <w:rPr>
          <w:rFonts w:hint="default" w:ascii="Times New Roman" w:hAnsi="Times New Roman" w:eastAsia="黑体" w:cs="Times New Roman"/>
          <w:color w:val="auto"/>
          <w:kern w:val="0"/>
          <w:sz w:val="28"/>
          <w:szCs w:val="20"/>
          <w:highlight w:val="none"/>
          <w:lang w:val="en-US" w:eastAsia="zh-CN"/>
        </w:rPr>
        <w:t>六</w:t>
      </w:r>
      <w:r>
        <w:rPr>
          <w:rFonts w:hint="default" w:ascii="Times New Roman" w:hAnsi="Times New Roman" w:eastAsia="黑体" w:cs="Times New Roman"/>
          <w:color w:val="auto"/>
          <w:kern w:val="0"/>
          <w:sz w:val="28"/>
          <w:szCs w:val="20"/>
          <w:highlight w:val="none"/>
        </w:rPr>
        <w:t>、资格审查资料</w:t>
      </w:r>
      <w:bookmarkEnd w:id="640"/>
      <w:bookmarkEnd w:id="641"/>
      <w:bookmarkEnd w:id="642"/>
      <w:bookmarkEnd w:id="643"/>
    </w:p>
    <w:p>
      <w:pPr>
        <w:wordWrap w:val="0"/>
        <w:topLinePunct/>
        <w:spacing w:line="360" w:lineRule="auto"/>
        <w:ind w:firstLine="0" w:firstLineChars="0"/>
        <w:jc w:val="center"/>
        <w:outlineLvl w:val="9"/>
        <w:rPr>
          <w:rFonts w:hint="default" w:ascii="Times New Roman" w:hAnsi="Times New Roman" w:eastAsia="黑体" w:cs="Times New Roman"/>
          <w:color w:val="auto"/>
          <w:sz w:val="24"/>
          <w:highlight w:val="none"/>
        </w:rPr>
      </w:pPr>
      <w:bookmarkStart w:id="645" w:name="_Toc228695497"/>
      <w:bookmarkStart w:id="646" w:name="_Toc202002677"/>
      <w:bookmarkStart w:id="647" w:name="_Toc31803"/>
      <w:bookmarkStart w:id="648" w:name="_Toc184704701"/>
      <w:bookmarkStart w:id="649" w:name="_Toc137074946"/>
      <w:bookmarkStart w:id="650" w:name="_Toc194473808"/>
      <w:bookmarkStart w:id="651" w:name="_Toc184704628"/>
    </w:p>
    <w:p>
      <w:pPr>
        <w:wordWrap w:val="0"/>
        <w:topLinePunct/>
        <w:spacing w:line="360" w:lineRule="auto"/>
        <w:ind w:firstLine="0" w:firstLineChars="0"/>
        <w:jc w:val="center"/>
        <w:outlineLvl w:val="2"/>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（一）投标人基本情况表</w:t>
      </w:r>
      <w:bookmarkEnd w:id="645"/>
      <w:bookmarkEnd w:id="646"/>
      <w:bookmarkEnd w:id="647"/>
      <w:bookmarkEnd w:id="648"/>
      <w:bookmarkEnd w:id="649"/>
      <w:bookmarkEnd w:id="650"/>
      <w:bookmarkEnd w:id="651"/>
    </w:p>
    <w:tbl>
      <w:tblPr>
        <w:tblStyle w:val="30"/>
        <w:tblW w:w="8931" w:type="dxa"/>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469"/>
        <w:gridCol w:w="1020"/>
        <w:gridCol w:w="2039"/>
        <w:gridCol w:w="1351"/>
        <w:gridCol w:w="205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highlight w:val="none"/>
              </w:rPr>
            </w:pPr>
            <w:r>
              <w:rPr>
                <w:rFonts w:ascii="Times New Roman" w:hAnsi="Times New Roman"/>
                <w:color w:val="auto"/>
                <w:highlight w:val="none"/>
              </w:rPr>
              <w:t>投标人名称</w:t>
            </w:r>
          </w:p>
        </w:tc>
        <w:tc>
          <w:tcPr>
            <w:tcW w:w="646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highlight w:val="none"/>
              </w:rPr>
            </w:pPr>
            <w:r>
              <w:rPr>
                <w:rFonts w:ascii="Times New Roman" w:hAnsi="Times New Roman"/>
                <w:color w:val="auto"/>
                <w:highlight w:val="none"/>
              </w:rPr>
              <w:t>注册</w:t>
            </w:r>
            <w:r>
              <w:rPr>
                <w:rFonts w:ascii="Times New Roman" w:hAnsi="Times New Roman"/>
                <w:color w:val="auto"/>
                <w:szCs w:val="21"/>
                <w:highlight w:val="none"/>
              </w:rPr>
              <w:t>资金</w:t>
            </w:r>
          </w:p>
        </w:tc>
        <w:tc>
          <w:tcPr>
            <w:tcW w:w="305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highlight w:val="none"/>
              </w:rPr>
            </w:pPr>
          </w:p>
        </w:tc>
        <w:tc>
          <w:tcPr>
            <w:tcW w:w="13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highlight w:val="none"/>
              </w:rPr>
            </w:pPr>
            <w:r>
              <w:rPr>
                <w:rFonts w:ascii="Times New Roman" w:hAnsi="Times New Roman"/>
                <w:color w:val="auto"/>
                <w:szCs w:val="21"/>
                <w:highlight w:val="none"/>
              </w:rPr>
              <w:t>成立时间</w:t>
            </w:r>
          </w:p>
        </w:tc>
        <w:tc>
          <w:tcPr>
            <w:tcW w:w="205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注册地址</w:t>
            </w:r>
          </w:p>
        </w:tc>
        <w:tc>
          <w:tcPr>
            <w:tcW w:w="646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邮政编码</w:t>
            </w:r>
          </w:p>
        </w:tc>
        <w:tc>
          <w:tcPr>
            <w:tcW w:w="3059" w:type="dxa"/>
            <w:gridSpan w:val="2"/>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c>
          <w:tcPr>
            <w:tcW w:w="13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员工总数</w:t>
            </w:r>
          </w:p>
        </w:tc>
        <w:tc>
          <w:tcPr>
            <w:tcW w:w="205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 w:hRule="atLeast"/>
        </w:trPr>
        <w:tc>
          <w:tcPr>
            <w:tcW w:w="2469" w:type="dxa"/>
            <w:vMerge w:val="restart"/>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联系方式</w:t>
            </w:r>
          </w:p>
        </w:tc>
        <w:tc>
          <w:tcPr>
            <w:tcW w:w="102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联系人</w:t>
            </w:r>
          </w:p>
        </w:tc>
        <w:tc>
          <w:tcPr>
            <w:tcW w:w="203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c>
          <w:tcPr>
            <w:tcW w:w="13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电话</w:t>
            </w:r>
          </w:p>
        </w:tc>
        <w:tc>
          <w:tcPr>
            <w:tcW w:w="205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0" w:hRule="atLeast"/>
        </w:trPr>
        <w:tc>
          <w:tcPr>
            <w:tcW w:w="2469" w:type="dxa"/>
            <w:vMerge w:val="continue"/>
            <w:tcBorders>
              <w:top w:val="single" w:color="auto" w:sz="4" w:space="0"/>
              <w:left w:val="single" w:color="auto" w:sz="4" w:space="0"/>
              <w:bottom w:val="single" w:color="auto" w:sz="4" w:space="0"/>
              <w:right w:val="single" w:color="auto" w:sz="4" w:space="0"/>
            </w:tcBorders>
            <w:vAlign w:val="center"/>
          </w:tcPr>
          <w:p>
            <w:pPr>
              <w:ind w:firstLine="0" w:firstLineChars="0"/>
              <w:rPr>
                <w:rFonts w:ascii="Times New Roman" w:hAnsi="Times New Roman"/>
                <w:color w:val="auto"/>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网址</w:t>
            </w:r>
          </w:p>
        </w:tc>
        <w:tc>
          <w:tcPr>
            <w:tcW w:w="203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c>
          <w:tcPr>
            <w:tcW w:w="13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传真</w:t>
            </w:r>
          </w:p>
        </w:tc>
        <w:tc>
          <w:tcPr>
            <w:tcW w:w="205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法定代表人</w:t>
            </w:r>
          </w:p>
        </w:tc>
        <w:tc>
          <w:tcPr>
            <w:tcW w:w="1020"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姓名</w:t>
            </w:r>
          </w:p>
        </w:tc>
        <w:tc>
          <w:tcPr>
            <w:tcW w:w="203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c>
          <w:tcPr>
            <w:tcW w:w="135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电话</w:t>
            </w:r>
          </w:p>
        </w:tc>
        <w:tc>
          <w:tcPr>
            <w:tcW w:w="2052"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highlight w:val="none"/>
              </w:rPr>
            </w:pPr>
            <w:r>
              <w:rPr>
                <w:rFonts w:ascii="Times New Roman" w:hAnsi="Times New Roman"/>
                <w:color w:val="auto"/>
                <w:szCs w:val="21"/>
                <w:highlight w:val="none"/>
              </w:rPr>
              <w:t>投标人须知要求投标人需具有的各类资质证书</w:t>
            </w:r>
          </w:p>
        </w:tc>
        <w:tc>
          <w:tcPr>
            <w:tcW w:w="646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rPr>
                <w:rFonts w:ascii="Times New Roman" w:hAnsi="Times New Roman"/>
                <w:color w:val="auto"/>
                <w:highlight w:val="none"/>
              </w:rPr>
            </w:pPr>
            <w:r>
              <w:rPr>
                <w:rFonts w:hint="default" w:ascii="Times New Roman" w:hAnsi="Times New Roman"/>
                <w:color w:val="auto"/>
                <w:highlight w:val="none"/>
              </w:rPr>
              <w:t>类型：</w:t>
            </w:r>
            <w:r>
              <w:rPr>
                <w:rFonts w:ascii="Times New Roman" w:hAnsi="Times New Roman"/>
                <w:color w:val="auto"/>
                <w:highlight w:val="none"/>
              </w:rPr>
              <w:t xml:space="preserve">              </w:t>
            </w:r>
            <w:r>
              <w:rPr>
                <w:rFonts w:hint="default" w:ascii="Times New Roman" w:hAnsi="Times New Roman"/>
                <w:color w:val="auto"/>
                <w:highlight w:val="none"/>
              </w:rPr>
              <w:t>等级：</w:t>
            </w:r>
            <w:r>
              <w:rPr>
                <w:rFonts w:ascii="Times New Roman" w:hAnsi="Times New Roman"/>
                <w:color w:val="auto"/>
                <w:highlight w:val="none"/>
              </w:rPr>
              <w:t xml:space="preserve">      </w:t>
            </w:r>
            <w:r>
              <w:rPr>
                <w:rFonts w:hint="default" w:ascii="Times New Roman" w:hAnsi="Times New Roman"/>
                <w:color w:val="auto"/>
                <w:highlight w:val="none"/>
              </w:rPr>
              <w:t xml:space="preserve">        证书号：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highlight w:val="none"/>
              </w:rPr>
            </w:pPr>
            <w:r>
              <w:rPr>
                <w:rFonts w:ascii="Times New Roman" w:hAnsi="Times New Roman"/>
                <w:color w:val="auto"/>
                <w:szCs w:val="21"/>
                <w:highlight w:val="none"/>
              </w:rPr>
              <w:t>基本账户开户银行</w:t>
            </w:r>
          </w:p>
        </w:tc>
        <w:tc>
          <w:tcPr>
            <w:tcW w:w="646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rPr>
                <w:rFonts w:ascii="Times New Roman" w:hAnsi="Times New Roman"/>
                <w:color w:val="auto"/>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基本账户银行账号</w:t>
            </w:r>
          </w:p>
        </w:tc>
        <w:tc>
          <w:tcPr>
            <w:tcW w:w="6462" w:type="dxa"/>
            <w:gridSpan w:val="4"/>
            <w:tcBorders>
              <w:top w:val="single" w:color="auto" w:sz="4" w:space="0"/>
              <w:left w:val="single" w:color="auto" w:sz="4" w:space="0"/>
              <w:right w:val="single" w:color="auto" w:sz="4" w:space="0"/>
            </w:tcBorders>
            <w:vAlign w:val="center"/>
          </w:tcPr>
          <w:p>
            <w:pPr>
              <w:topLinePunct/>
              <w:spacing w:line="440" w:lineRule="exact"/>
              <w:ind w:firstLine="0" w:firstLineChars="0"/>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近三年营业额</w:t>
            </w:r>
          </w:p>
        </w:tc>
        <w:tc>
          <w:tcPr>
            <w:tcW w:w="6462" w:type="dxa"/>
            <w:gridSpan w:val="4"/>
            <w:tcBorders>
              <w:top w:val="single" w:color="auto" w:sz="4" w:space="0"/>
              <w:left w:val="single" w:color="auto" w:sz="4" w:space="0"/>
              <w:right w:val="single" w:color="auto" w:sz="4" w:space="0"/>
            </w:tcBorders>
            <w:vAlign w:val="center"/>
          </w:tcPr>
          <w:p>
            <w:pPr>
              <w:topLinePunct/>
              <w:spacing w:line="440" w:lineRule="exact"/>
              <w:ind w:firstLine="0" w:firstLineChars="0"/>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投标人关联企业情况（包括但不限于与投标人法定代表人（单位负责人）为同一人或者存在控股、管理关系的不同单位）</w:t>
            </w:r>
          </w:p>
        </w:tc>
        <w:tc>
          <w:tcPr>
            <w:tcW w:w="6462" w:type="dxa"/>
            <w:gridSpan w:val="4"/>
            <w:tcBorders>
              <w:top w:val="single" w:color="auto" w:sz="4" w:space="0"/>
              <w:left w:val="single" w:color="auto" w:sz="4" w:space="0"/>
              <w:right w:val="single" w:color="auto" w:sz="4" w:space="0"/>
            </w:tcBorders>
            <w:vAlign w:val="center"/>
          </w:tcPr>
          <w:p>
            <w:pPr>
              <w:topLinePunct/>
              <w:spacing w:line="440" w:lineRule="exact"/>
              <w:ind w:firstLine="0" w:firstLineChars="0"/>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投标设备</w:t>
            </w:r>
            <w:r>
              <w:rPr>
                <w:rFonts w:hint="eastAsia" w:ascii="Times New Roman" w:hAnsi="Times New Roman"/>
                <w:color w:val="auto"/>
                <w:szCs w:val="21"/>
                <w:highlight w:val="none"/>
                <w:lang w:val="en-US" w:eastAsia="zh-CN"/>
              </w:rPr>
              <w:t>/材料</w:t>
            </w:r>
            <w:r>
              <w:rPr>
                <w:rFonts w:ascii="Times New Roman" w:hAnsi="Times New Roman"/>
                <w:color w:val="auto"/>
                <w:szCs w:val="21"/>
                <w:highlight w:val="none"/>
              </w:rPr>
              <w:t>制造商名称</w:t>
            </w:r>
          </w:p>
        </w:tc>
        <w:tc>
          <w:tcPr>
            <w:tcW w:w="6462" w:type="dxa"/>
            <w:gridSpan w:val="4"/>
            <w:tcBorders>
              <w:top w:val="single" w:color="auto" w:sz="4" w:space="0"/>
              <w:left w:val="single" w:color="auto" w:sz="4" w:space="0"/>
              <w:right w:val="single" w:color="auto" w:sz="4" w:space="0"/>
            </w:tcBorders>
            <w:vAlign w:val="center"/>
          </w:tcPr>
          <w:p>
            <w:pPr>
              <w:topLinePunct/>
              <w:spacing w:line="440" w:lineRule="exact"/>
              <w:ind w:firstLine="0" w:firstLineChars="0"/>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投标人须知要求</w:t>
            </w:r>
          </w:p>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投标设备</w:t>
            </w:r>
            <w:r>
              <w:rPr>
                <w:rFonts w:hint="eastAsia" w:ascii="Times New Roman" w:hAnsi="Times New Roman"/>
                <w:color w:val="auto"/>
                <w:szCs w:val="21"/>
                <w:highlight w:val="none"/>
                <w:lang w:val="en-US" w:eastAsia="zh-CN"/>
              </w:rPr>
              <w:t>/</w:t>
            </w:r>
            <w:r>
              <w:rPr>
                <w:rFonts w:hint="default" w:ascii="Times New Roman" w:hAnsi="Times New Roman"/>
                <w:color w:val="auto"/>
                <w:szCs w:val="21"/>
                <w:highlight w:val="none"/>
                <w:lang w:val="en-US" w:eastAsia="zh-CN"/>
              </w:rPr>
              <w:t>材料</w:t>
            </w:r>
            <w:r>
              <w:rPr>
                <w:rFonts w:ascii="Times New Roman" w:hAnsi="Times New Roman"/>
                <w:color w:val="auto"/>
                <w:szCs w:val="21"/>
                <w:highlight w:val="none"/>
              </w:rPr>
              <w:t>制造商需具有的资质证书</w:t>
            </w:r>
          </w:p>
        </w:tc>
        <w:tc>
          <w:tcPr>
            <w:tcW w:w="6462" w:type="dxa"/>
            <w:gridSpan w:val="4"/>
            <w:tcBorders>
              <w:top w:val="single" w:color="auto" w:sz="4" w:space="0"/>
              <w:left w:val="single" w:color="auto" w:sz="4" w:space="0"/>
              <w:right w:val="single" w:color="auto" w:sz="4" w:space="0"/>
            </w:tcBorders>
            <w:vAlign w:val="center"/>
          </w:tcPr>
          <w:p>
            <w:pPr>
              <w:topLinePunct/>
              <w:spacing w:line="440" w:lineRule="exact"/>
              <w:ind w:firstLine="0" w:firstLineChars="0"/>
              <w:rPr>
                <w:rFonts w:ascii="Times New Roman" w:hAnsi="Times New Roman"/>
                <w:color w:val="auto"/>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46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r>
              <w:rPr>
                <w:rFonts w:ascii="Times New Roman" w:hAnsi="Times New Roman"/>
                <w:color w:val="auto"/>
                <w:szCs w:val="21"/>
                <w:highlight w:val="none"/>
              </w:rPr>
              <w:t>备注</w:t>
            </w:r>
          </w:p>
        </w:tc>
        <w:tc>
          <w:tcPr>
            <w:tcW w:w="6462" w:type="dxa"/>
            <w:gridSpan w:val="4"/>
            <w:tcBorders>
              <w:top w:val="single" w:color="auto" w:sz="4" w:space="0"/>
              <w:left w:val="single" w:color="auto" w:sz="4" w:space="0"/>
              <w:bottom w:val="single" w:color="auto" w:sz="4" w:space="0"/>
              <w:right w:val="single" w:color="auto" w:sz="4" w:space="0"/>
            </w:tcBorders>
            <w:vAlign w:val="center"/>
          </w:tcPr>
          <w:p>
            <w:pPr>
              <w:topLinePunct/>
              <w:spacing w:line="440" w:lineRule="exact"/>
              <w:ind w:firstLine="0" w:firstLineChars="0"/>
              <w:jc w:val="center"/>
              <w:rPr>
                <w:rFonts w:ascii="Times New Roman" w:hAnsi="Times New Roman"/>
                <w:color w:val="auto"/>
                <w:szCs w:val="21"/>
                <w:highlight w:val="none"/>
              </w:rPr>
            </w:pPr>
          </w:p>
        </w:tc>
      </w:tr>
    </w:tbl>
    <w:p>
      <w:pPr>
        <w:widowControl/>
        <w:autoSpaceDE w:val="0"/>
        <w:autoSpaceDN w:val="0"/>
        <w:spacing w:line="400" w:lineRule="atLeast"/>
        <w:ind w:left="630" w:hanging="720" w:hangingChars="300"/>
        <w:textAlignment w:val="bottom"/>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项的要求在本表后附相关证明材料。</w:t>
      </w:r>
    </w:p>
    <w:p>
      <w:pPr>
        <w:spacing w:line="380" w:lineRule="exact"/>
        <w:ind w:firstLine="480" w:firstLineChars="200"/>
        <w:rPr>
          <w:rFonts w:hint="default" w:ascii="Times New Roman" w:hAnsi="Times New Roman" w:eastAsia="黑体" w:cs="Times New Roman"/>
          <w:color w:val="auto"/>
          <w:sz w:val="20"/>
          <w:szCs w:val="21"/>
          <w:highlight w:val="none"/>
        </w:rPr>
      </w:pPr>
      <w:r>
        <w:rPr>
          <w:rFonts w:hint="default" w:ascii="Times New Roman" w:hAnsi="Times New Roman" w:cs="Times New Roman"/>
          <w:color w:val="auto"/>
          <w:szCs w:val="21"/>
          <w:highlight w:val="none"/>
        </w:rPr>
        <w:t>2.以联合体形式参与投标的，联合体各成员应分别填写。</w:t>
      </w:r>
    </w:p>
    <w:p>
      <w:pPr>
        <w:pStyle w:val="4"/>
        <w:numPr>
          <w:ilvl w:val="0"/>
          <w:numId w:val="0"/>
        </w:numPr>
        <w:spacing w:before="0" w:after="0" w:line="360" w:lineRule="auto"/>
        <w:jc w:val="center"/>
        <w:rPr>
          <w:rFonts w:hint="default" w:ascii="Times New Roman" w:hAnsi="Times New Roman" w:eastAsia="黑体" w:cs="Times New Roman"/>
          <w:b w:val="0"/>
          <w:color w:val="auto"/>
          <w:kern w:val="2"/>
          <w:sz w:val="24"/>
          <w:szCs w:val="24"/>
          <w:highlight w:val="none"/>
        </w:rPr>
      </w:pPr>
      <w:r>
        <w:rPr>
          <w:rFonts w:hint="default" w:ascii="Times New Roman" w:hAnsi="Times New Roman" w:eastAsia="黑体" w:cs="Times New Roman"/>
          <w:color w:val="auto"/>
          <w:sz w:val="24"/>
          <w:highlight w:val="none"/>
        </w:rPr>
        <w:br w:type="page"/>
      </w:r>
      <w:bookmarkStart w:id="652" w:name="_Toc29030"/>
      <w:bookmarkStart w:id="653" w:name="_Toc137074947"/>
      <w:bookmarkStart w:id="654" w:name="_Toc19543"/>
      <w:bookmarkStart w:id="655" w:name="_Toc517651783"/>
      <w:r>
        <w:rPr>
          <w:rFonts w:hint="default" w:ascii="Times New Roman" w:hAnsi="Times New Roman" w:eastAsia="黑体" w:cs="Times New Roman"/>
          <w:b w:val="0"/>
          <w:color w:val="auto"/>
          <w:kern w:val="2"/>
          <w:sz w:val="24"/>
          <w:szCs w:val="24"/>
          <w:highlight w:val="none"/>
        </w:rPr>
        <w:t>（二）近年财务状况表</w:t>
      </w:r>
      <w:bookmarkEnd w:id="652"/>
      <w:bookmarkEnd w:id="653"/>
      <w:bookmarkEnd w:id="654"/>
      <w:bookmarkEnd w:id="655"/>
    </w:p>
    <w:p>
      <w:pPr>
        <w:rPr>
          <w:rFonts w:hint="default"/>
          <w:color w:val="auto"/>
          <w:highlight w:val="none"/>
        </w:rPr>
      </w:pPr>
    </w:p>
    <w:p>
      <w:pPr>
        <w:spacing w:line="400" w:lineRule="atLeast"/>
        <w:ind w:left="0" w:firstLine="0" w:firstLineChars="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项的要求在本表后附相关证明材料。</w:t>
      </w:r>
    </w:p>
    <w:p>
      <w:pPr>
        <w:spacing w:line="400" w:lineRule="atLeast"/>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2.本表所列数据必须与本表各附件中的数据相一致。</w:t>
      </w:r>
    </w:p>
    <w:p>
      <w:pPr>
        <w:spacing w:line="400" w:lineRule="atLeast"/>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前附表附录2要求及第三章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spacing w:line="400" w:lineRule="atLeast"/>
        <w:ind w:firstLine="480" w:firstLineChars="200"/>
        <w:rPr>
          <w:rFonts w:hint="default" w:ascii="Times New Roman" w:hAnsi="Times New Roman" w:cs="Times New Roman"/>
          <w:color w:val="auto"/>
          <w:szCs w:val="21"/>
          <w:highlight w:val="none"/>
        </w:rPr>
      </w:pPr>
    </w:p>
    <w:p>
      <w:pPr>
        <w:topLinePunct/>
        <w:spacing w:line="440" w:lineRule="exact"/>
        <w:ind w:firstLine="480" w:firstLineChars="200"/>
        <w:rPr>
          <w:rFonts w:hint="default" w:ascii="Times New Roman" w:hAnsi="Times New Roman" w:eastAsia="黑体" w:cs="Times New Roman"/>
          <w:color w:val="auto"/>
          <w:highlight w:val="none"/>
        </w:rPr>
      </w:pPr>
    </w:p>
    <w:p>
      <w:pPr>
        <w:wordWrap w:val="0"/>
        <w:topLinePunct/>
        <w:spacing w:line="360" w:lineRule="auto"/>
        <w:ind w:firstLine="0" w:firstLineChars="0"/>
        <w:jc w:val="center"/>
        <w:outlineLvl w:val="2"/>
        <w:rPr>
          <w:rFonts w:hint="default" w:ascii="Times New Roman" w:hAnsi="Times New Roman" w:eastAsia="黑体" w:cs="Times New Roman"/>
          <w:color w:val="auto"/>
          <w:sz w:val="24"/>
          <w:highlight w:val="none"/>
        </w:rPr>
      </w:pPr>
      <w:r>
        <w:rPr>
          <w:rFonts w:hint="default" w:ascii="Times New Roman" w:hAnsi="Times New Roman" w:cs="Times New Roman"/>
          <w:color w:val="auto"/>
          <w:highlight w:val="none"/>
        </w:rPr>
        <w:br w:type="page"/>
      </w:r>
      <w:bookmarkStart w:id="656" w:name="_Toc28479"/>
      <w:bookmarkStart w:id="657" w:name="_Toc20719"/>
      <w:bookmarkStart w:id="658" w:name="_Toc517651784"/>
      <w:bookmarkStart w:id="659" w:name="_Toc137074948"/>
      <w:r>
        <w:rPr>
          <w:rFonts w:hint="default" w:ascii="Times New Roman" w:hAnsi="Times New Roman" w:eastAsia="黑体" w:cs="Times New Roman"/>
          <w:color w:val="auto"/>
          <w:sz w:val="24"/>
          <w:highlight w:val="none"/>
        </w:rPr>
        <w:t>（三）近年完成的类似供货项目情况表</w:t>
      </w:r>
      <w:bookmarkEnd w:id="656"/>
      <w:bookmarkEnd w:id="657"/>
      <w:bookmarkEnd w:id="658"/>
      <w:bookmarkEnd w:id="659"/>
    </w:p>
    <w:p>
      <w:pPr>
        <w:ind w:firstLine="118"/>
        <w:jc w:val="center"/>
        <w:rPr>
          <w:rFonts w:hint="default" w:ascii="Times New Roman" w:hAnsi="Times New Roman" w:eastAsia="黑体" w:cs="Times New Roman"/>
          <w:color w:val="auto"/>
          <w:sz w:val="24"/>
          <w:highlight w:val="none"/>
        </w:rPr>
      </w:pPr>
    </w:p>
    <w:p>
      <w:pPr>
        <w:ind w:firstLine="118"/>
        <w:jc w:val="center"/>
        <w:rPr>
          <w:rFonts w:hint="default" w:ascii="Times New Roman" w:hAnsi="Times New Roman" w:eastAsia="黑体" w:cs="Times New Roman"/>
          <w:color w:val="auto"/>
          <w:sz w:val="24"/>
          <w:highlight w:val="none"/>
        </w:rPr>
      </w:pPr>
      <w:r>
        <w:rPr>
          <w:rFonts w:hint="default" w:ascii="Times New Roman" w:hAnsi="Times New Roman" w:eastAsia="黑体" w:cs="Times New Roman"/>
          <w:color w:val="auto"/>
          <w:sz w:val="24"/>
          <w:highlight w:val="none"/>
        </w:rPr>
        <w:t>3-</w:t>
      </w:r>
      <w:r>
        <w:rPr>
          <w:rFonts w:hint="eastAsia" w:ascii="Times New Roman" w:hAnsi="Times New Roman" w:eastAsia="黑体" w:cs="Times New Roman"/>
          <w:color w:val="auto"/>
          <w:sz w:val="24"/>
          <w:highlight w:val="none"/>
          <w:lang w:val="en-US" w:eastAsia="zh-CN"/>
        </w:rPr>
        <w:t>1</w:t>
      </w:r>
      <w:r>
        <w:rPr>
          <w:rFonts w:hint="default" w:ascii="Times New Roman" w:hAnsi="Times New Roman" w:eastAsia="黑体" w:cs="Times New Roman"/>
          <w:color w:val="auto"/>
          <w:sz w:val="24"/>
          <w:highlight w:val="none"/>
        </w:rPr>
        <w:t xml:space="preserve">  类似项目情况明细表</w:t>
      </w:r>
    </w:p>
    <w:p>
      <w:pPr>
        <w:ind w:firstLine="118"/>
        <w:jc w:val="center"/>
        <w:rPr>
          <w:rFonts w:hint="default" w:ascii="Times New Roman" w:hAnsi="Times New Roman" w:eastAsia="黑体" w:cs="Times New Roman"/>
          <w:color w:val="auto"/>
          <w:sz w:val="24"/>
          <w:highlight w:val="none"/>
        </w:rPr>
      </w:pPr>
    </w:p>
    <w:tbl>
      <w:tblPr>
        <w:tblStyle w:val="49"/>
        <w:tblW w:w="9287"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69"/>
        <w:gridCol w:w="591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3369" w:type="dxa"/>
            <w:vAlign w:val="center"/>
          </w:tcPr>
          <w:p>
            <w:pPr>
              <w:pStyle w:val="48"/>
              <w:spacing w:before="0" w:line="400" w:lineRule="exact"/>
              <w:ind w:left="0" w:firstLine="0" w:firstLineChars="0"/>
              <w:jc w:val="center"/>
              <w:rPr>
                <w:rFonts w:hint="eastAsia"/>
                <w:color w:val="auto"/>
                <w:spacing w:val="-2"/>
                <w:highlight w:val="none"/>
                <w:lang w:eastAsia="zh-CN"/>
              </w:rPr>
            </w:pPr>
            <w:r>
              <w:rPr>
                <w:rFonts w:hint="eastAsia" w:ascii="宋体" w:hAnsi="宋体" w:eastAsia="宋体" w:cs="宋体"/>
                <w:color w:val="auto"/>
                <w:spacing w:val="-2"/>
                <w:highlight w:val="none"/>
                <w:lang w:val="en-US" w:eastAsia="zh-CN"/>
              </w:rPr>
              <w:t>设备/</w:t>
            </w:r>
            <w:r>
              <w:rPr>
                <w:rFonts w:hint="eastAsia"/>
                <w:color w:val="auto"/>
                <w:spacing w:val="-2"/>
                <w:highlight w:val="none"/>
                <w:lang w:eastAsia="zh-CN"/>
              </w:rPr>
              <w:t>材料名称</w:t>
            </w:r>
          </w:p>
        </w:tc>
        <w:tc>
          <w:tcPr>
            <w:tcW w:w="5918" w:type="dxa"/>
            <w:vAlign w:val="center"/>
          </w:tcPr>
          <w:p>
            <w:pPr>
              <w:pStyle w:val="48"/>
              <w:spacing w:line="400" w:lineRule="exact"/>
              <w:ind w:firstLine="0" w:firstLineChars="0"/>
              <w:jc w:val="center"/>
              <w:rPr>
                <w:rFonts w:hint="eastAsia" w:ascii="宋体" w:hAnsi="宋体" w:eastAsia="宋体" w:cs="宋体"/>
                <w:color w:val="auto"/>
                <w:spacing w:val="-2"/>
                <w:sz w:val="21"/>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3369" w:type="dxa"/>
            <w:vAlign w:val="center"/>
          </w:tcPr>
          <w:p>
            <w:pPr>
              <w:pStyle w:val="48"/>
              <w:spacing w:before="0" w:line="400" w:lineRule="exact"/>
              <w:ind w:left="0" w:firstLine="0" w:firstLineChars="0"/>
              <w:jc w:val="center"/>
              <w:rPr>
                <w:rFonts w:hint="eastAsia"/>
                <w:color w:val="auto"/>
                <w:spacing w:val="-2"/>
                <w:highlight w:val="none"/>
                <w:lang w:eastAsia="zh-CN"/>
              </w:rPr>
            </w:pPr>
            <w:r>
              <w:rPr>
                <w:rFonts w:hint="eastAsia"/>
                <w:color w:val="auto"/>
                <w:spacing w:val="-2"/>
                <w:highlight w:val="none"/>
                <w:lang w:eastAsia="zh-CN"/>
              </w:rPr>
              <w:t>规格和型号</w:t>
            </w:r>
          </w:p>
        </w:tc>
        <w:tc>
          <w:tcPr>
            <w:tcW w:w="5918" w:type="dxa"/>
            <w:vAlign w:val="center"/>
          </w:tcPr>
          <w:p>
            <w:pPr>
              <w:pStyle w:val="48"/>
              <w:spacing w:line="400" w:lineRule="exact"/>
              <w:ind w:firstLine="0" w:firstLineChars="0"/>
              <w:jc w:val="center"/>
              <w:rPr>
                <w:rFonts w:hint="eastAsia" w:ascii="宋体" w:hAnsi="宋体" w:eastAsia="宋体" w:cs="宋体"/>
                <w:color w:val="auto"/>
                <w:spacing w:val="-2"/>
                <w:sz w:val="21"/>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3369" w:type="dxa"/>
            <w:vAlign w:val="center"/>
          </w:tcPr>
          <w:p>
            <w:pPr>
              <w:pStyle w:val="48"/>
              <w:spacing w:before="0" w:line="400" w:lineRule="exact"/>
              <w:ind w:left="0" w:firstLine="0" w:firstLineChars="0"/>
              <w:jc w:val="center"/>
              <w:rPr>
                <w:rFonts w:hint="eastAsia"/>
                <w:color w:val="auto"/>
                <w:spacing w:val="-2"/>
                <w:highlight w:val="none"/>
                <w:lang w:eastAsia="zh-CN"/>
              </w:rPr>
            </w:pPr>
            <w:r>
              <w:rPr>
                <w:rFonts w:hint="eastAsia"/>
                <w:color w:val="auto"/>
                <w:spacing w:val="-2"/>
                <w:highlight w:val="none"/>
                <w:lang w:eastAsia="zh-CN"/>
              </w:rPr>
              <w:t>项目名称</w:t>
            </w:r>
          </w:p>
        </w:tc>
        <w:tc>
          <w:tcPr>
            <w:tcW w:w="5918" w:type="dxa"/>
            <w:vAlign w:val="center"/>
          </w:tcPr>
          <w:p>
            <w:pPr>
              <w:pStyle w:val="48"/>
              <w:spacing w:line="400" w:lineRule="exact"/>
              <w:ind w:firstLine="0" w:firstLineChars="0"/>
              <w:jc w:val="center"/>
              <w:rPr>
                <w:rFonts w:hint="eastAsia" w:ascii="宋体" w:hAnsi="宋体" w:eastAsia="宋体" w:cs="宋体"/>
                <w:color w:val="auto"/>
                <w:spacing w:val="-2"/>
                <w:sz w:val="21"/>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3369" w:type="dxa"/>
            <w:vAlign w:val="center"/>
          </w:tcPr>
          <w:p>
            <w:pPr>
              <w:pStyle w:val="48"/>
              <w:spacing w:before="0" w:line="400" w:lineRule="exact"/>
              <w:ind w:left="0" w:firstLine="0" w:firstLineChars="0"/>
              <w:jc w:val="center"/>
              <w:rPr>
                <w:rFonts w:hint="eastAsia"/>
                <w:color w:val="auto"/>
                <w:spacing w:val="-2"/>
                <w:highlight w:val="none"/>
                <w:lang w:eastAsia="zh-CN"/>
              </w:rPr>
            </w:pPr>
            <w:r>
              <w:rPr>
                <w:rFonts w:hint="eastAsia"/>
                <w:color w:val="auto"/>
                <w:spacing w:val="-2"/>
                <w:highlight w:val="none"/>
                <w:lang w:eastAsia="zh-CN"/>
              </w:rPr>
              <w:t>买方名称</w:t>
            </w:r>
          </w:p>
        </w:tc>
        <w:tc>
          <w:tcPr>
            <w:tcW w:w="5918" w:type="dxa"/>
            <w:vAlign w:val="center"/>
          </w:tcPr>
          <w:p>
            <w:pPr>
              <w:pStyle w:val="48"/>
              <w:spacing w:line="400" w:lineRule="exact"/>
              <w:ind w:firstLine="0" w:firstLineChars="0"/>
              <w:jc w:val="center"/>
              <w:rPr>
                <w:rFonts w:hint="eastAsia" w:ascii="宋体" w:hAnsi="宋体" w:eastAsia="宋体" w:cs="宋体"/>
                <w:color w:val="auto"/>
                <w:spacing w:val="-2"/>
                <w:sz w:val="21"/>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3369" w:type="dxa"/>
            <w:vAlign w:val="center"/>
          </w:tcPr>
          <w:p>
            <w:pPr>
              <w:pStyle w:val="48"/>
              <w:spacing w:before="0" w:line="400" w:lineRule="exact"/>
              <w:ind w:left="0" w:firstLine="0" w:firstLineChars="0"/>
              <w:jc w:val="center"/>
              <w:rPr>
                <w:rFonts w:hint="eastAsia"/>
                <w:color w:val="auto"/>
                <w:spacing w:val="-2"/>
                <w:highlight w:val="none"/>
                <w:lang w:eastAsia="zh-CN"/>
              </w:rPr>
            </w:pPr>
            <w:r>
              <w:rPr>
                <w:rFonts w:hint="eastAsia"/>
                <w:color w:val="auto"/>
                <w:spacing w:val="-2"/>
                <w:highlight w:val="none"/>
                <w:lang w:eastAsia="zh-CN"/>
              </w:rPr>
              <w:t>买方联系人及电话</w:t>
            </w:r>
          </w:p>
        </w:tc>
        <w:tc>
          <w:tcPr>
            <w:tcW w:w="5918" w:type="dxa"/>
            <w:vAlign w:val="center"/>
          </w:tcPr>
          <w:p>
            <w:pPr>
              <w:pStyle w:val="48"/>
              <w:spacing w:line="400" w:lineRule="exact"/>
              <w:ind w:firstLine="0" w:firstLineChars="0"/>
              <w:jc w:val="center"/>
              <w:rPr>
                <w:rFonts w:hint="eastAsia" w:ascii="宋体" w:hAnsi="宋体" w:eastAsia="宋体" w:cs="宋体"/>
                <w:color w:val="auto"/>
                <w:spacing w:val="-2"/>
                <w:sz w:val="21"/>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3369" w:type="dxa"/>
            <w:vAlign w:val="center"/>
          </w:tcPr>
          <w:p>
            <w:pPr>
              <w:pStyle w:val="48"/>
              <w:spacing w:before="0" w:line="400" w:lineRule="exact"/>
              <w:ind w:left="0" w:firstLine="0" w:firstLineChars="0"/>
              <w:jc w:val="center"/>
              <w:rPr>
                <w:rFonts w:hint="eastAsia"/>
                <w:color w:val="auto"/>
                <w:spacing w:val="-2"/>
                <w:highlight w:val="none"/>
                <w:lang w:eastAsia="zh-CN"/>
              </w:rPr>
            </w:pPr>
            <w:r>
              <w:rPr>
                <w:rFonts w:hint="eastAsia"/>
                <w:color w:val="auto"/>
                <w:spacing w:val="-2"/>
                <w:highlight w:val="none"/>
                <w:lang w:eastAsia="zh-CN"/>
              </w:rPr>
              <w:t>合同价格</w:t>
            </w:r>
          </w:p>
        </w:tc>
        <w:tc>
          <w:tcPr>
            <w:tcW w:w="5918" w:type="dxa"/>
            <w:vAlign w:val="center"/>
          </w:tcPr>
          <w:p>
            <w:pPr>
              <w:pStyle w:val="48"/>
              <w:spacing w:line="400" w:lineRule="exact"/>
              <w:ind w:firstLine="0" w:firstLineChars="0"/>
              <w:jc w:val="center"/>
              <w:rPr>
                <w:rFonts w:hint="eastAsia" w:ascii="宋体" w:hAnsi="宋体" w:eastAsia="宋体" w:cs="宋体"/>
                <w:color w:val="auto"/>
                <w:spacing w:val="-2"/>
                <w:sz w:val="21"/>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2" w:hRule="atLeast"/>
        </w:trPr>
        <w:tc>
          <w:tcPr>
            <w:tcW w:w="3369" w:type="dxa"/>
            <w:vAlign w:val="center"/>
          </w:tcPr>
          <w:p>
            <w:pPr>
              <w:pStyle w:val="48"/>
              <w:spacing w:before="0" w:line="400" w:lineRule="exact"/>
              <w:ind w:left="0" w:right="0" w:firstLine="0" w:firstLineChars="0"/>
              <w:jc w:val="center"/>
              <w:rPr>
                <w:rFonts w:hint="eastAsia"/>
                <w:color w:val="auto"/>
                <w:spacing w:val="-2"/>
                <w:highlight w:val="none"/>
                <w:lang w:eastAsia="zh-CN"/>
              </w:rPr>
            </w:pPr>
            <w:r>
              <w:rPr>
                <w:rFonts w:hint="eastAsia"/>
                <w:color w:val="auto"/>
                <w:spacing w:val="-2"/>
                <w:highlight w:val="none"/>
                <w:lang w:eastAsia="zh-CN"/>
              </w:rPr>
              <w:t>项目概况及投标人履约情况</w:t>
            </w:r>
          </w:p>
        </w:tc>
        <w:tc>
          <w:tcPr>
            <w:tcW w:w="5918" w:type="dxa"/>
            <w:vAlign w:val="center"/>
          </w:tcPr>
          <w:p>
            <w:pPr>
              <w:pStyle w:val="48"/>
              <w:spacing w:line="400" w:lineRule="exact"/>
              <w:ind w:firstLine="0" w:firstLineChars="0"/>
              <w:jc w:val="center"/>
              <w:rPr>
                <w:rFonts w:hint="eastAsia" w:ascii="宋体" w:hAnsi="宋体" w:eastAsia="宋体" w:cs="宋体"/>
                <w:color w:val="auto"/>
                <w:spacing w:val="-2"/>
                <w:sz w:val="21"/>
                <w:highlight w:val="none"/>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3369" w:type="dxa"/>
            <w:vAlign w:val="center"/>
          </w:tcPr>
          <w:p>
            <w:pPr>
              <w:pStyle w:val="48"/>
              <w:spacing w:before="0" w:line="400" w:lineRule="exact"/>
              <w:ind w:left="0" w:firstLine="0" w:firstLineChars="0"/>
              <w:jc w:val="center"/>
              <w:rPr>
                <w:rFonts w:hint="eastAsia"/>
                <w:color w:val="auto"/>
                <w:spacing w:val="-2"/>
                <w:highlight w:val="none"/>
                <w:lang w:eastAsia="zh-CN"/>
              </w:rPr>
            </w:pPr>
            <w:r>
              <w:rPr>
                <w:rFonts w:hint="eastAsia"/>
                <w:color w:val="auto"/>
                <w:spacing w:val="-2"/>
                <w:highlight w:val="none"/>
                <w:lang w:eastAsia="zh-CN"/>
              </w:rPr>
              <w:t>备注</w:t>
            </w:r>
          </w:p>
        </w:tc>
        <w:tc>
          <w:tcPr>
            <w:tcW w:w="5918" w:type="dxa"/>
            <w:vAlign w:val="center"/>
          </w:tcPr>
          <w:p>
            <w:pPr>
              <w:pStyle w:val="48"/>
              <w:spacing w:line="400" w:lineRule="exact"/>
              <w:ind w:firstLine="0" w:firstLineChars="0"/>
              <w:jc w:val="center"/>
              <w:rPr>
                <w:rFonts w:hint="eastAsia" w:ascii="宋体" w:hAnsi="宋体" w:eastAsia="宋体" w:cs="宋体"/>
                <w:color w:val="auto"/>
                <w:spacing w:val="-2"/>
                <w:sz w:val="21"/>
                <w:highlight w:val="none"/>
                <w:lang w:eastAsia="zh-CN"/>
              </w:rPr>
            </w:pPr>
          </w:p>
        </w:tc>
      </w:tr>
    </w:tbl>
    <w:p>
      <w:pPr>
        <w:spacing w:line="400" w:lineRule="atLeast"/>
        <w:ind w:left="735" w:hanging="840"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注：1.每张表格只填写一个项目，并标明序号。</w:t>
      </w:r>
    </w:p>
    <w:p>
      <w:pPr>
        <w:numPr>
          <w:ilvl w:val="0"/>
          <w:numId w:val="0"/>
        </w:numPr>
        <w:spacing w:line="400" w:lineRule="atLeast"/>
        <w:ind w:left="0" w:leftChars="0" w:firstLine="480" w:firstLineChars="200"/>
        <w:rPr>
          <w:rFonts w:hint="default" w:ascii="Times New Roman" w:hAnsi="Times New Roman" w:cs="Times New Roman"/>
          <w:color w:val="auto"/>
          <w:highlight w:val="none"/>
        </w:rPr>
      </w:pPr>
      <w:r>
        <w:rPr>
          <w:rFonts w:hint="default" w:ascii="Times New Roman" w:hAnsi="Times New Roman" w:eastAsia="宋体" w:cs="Times New Roman"/>
          <w:color w:val="auto"/>
          <w:kern w:val="2"/>
          <w:sz w:val="24"/>
          <w:szCs w:val="22"/>
          <w:highlight w:val="none"/>
          <w:lang w:val="en-US" w:eastAsia="zh-CN" w:bidi="ar-SA"/>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项的要求在本表后附相关证明材料。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line="400" w:lineRule="atLeast"/>
        <w:ind w:firstLine="480" w:firstLineChars="20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如近年来，投标人法人机构发生合法变更或重组或法人名称变更时，应提供相关部门的合法批件或其他相关证明材料来证明其所附业绩的继承性。</w:t>
      </w:r>
    </w:p>
    <w:p>
      <w:pPr>
        <w:spacing w:line="400" w:lineRule="exact"/>
        <w:ind w:firstLine="480" w:firstLineChars="200"/>
        <w:jc w:val="left"/>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rPr>
        <w:t>4.以联合体形式参与投标的，联合体各成员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前附表附录3要求及第三章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ind w:firstLine="0"/>
        <w:jc w:val="center"/>
        <w:rPr>
          <w:rFonts w:hint="default" w:ascii="Times New Roman" w:hAnsi="Times New Roman" w:eastAsia="黑体" w:cs="Times New Roman"/>
          <w:color w:val="auto"/>
          <w:sz w:val="24"/>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3-</w:t>
      </w:r>
      <w:r>
        <w:rPr>
          <w:rFonts w:hint="eastAsia" w:ascii="Times New Roman" w:hAnsi="Times New Roman" w:eastAsia="黑体" w:cs="Times New Roman"/>
          <w:color w:val="auto"/>
          <w:sz w:val="24"/>
          <w:highlight w:val="none"/>
          <w:lang w:val="en-US" w:eastAsia="zh-CN"/>
        </w:rPr>
        <w:t>2</w:t>
      </w:r>
      <w:r>
        <w:rPr>
          <w:rFonts w:hint="default" w:ascii="Times New Roman" w:hAnsi="Times New Roman" w:eastAsia="黑体" w:cs="Times New Roman"/>
          <w:color w:val="auto"/>
          <w:sz w:val="24"/>
          <w:highlight w:val="none"/>
        </w:rPr>
        <w:t xml:space="preserve">  </w:t>
      </w:r>
      <w:r>
        <w:rPr>
          <w:rFonts w:hint="default" w:ascii="Times New Roman" w:hAnsi="Times New Roman" w:eastAsia="黑体" w:cs="Times New Roman"/>
          <w:color w:val="auto"/>
          <w:sz w:val="24"/>
          <w:highlight w:val="none"/>
          <w:lang w:val="en-US" w:eastAsia="zh-CN"/>
        </w:rPr>
        <w:t>正在供货和新承接的</w:t>
      </w:r>
      <w:r>
        <w:rPr>
          <w:rFonts w:hint="default" w:ascii="Times New Roman" w:hAnsi="Times New Roman" w:eastAsia="黑体" w:cs="Times New Roman"/>
          <w:color w:val="auto"/>
          <w:sz w:val="24"/>
          <w:highlight w:val="none"/>
        </w:rPr>
        <w:t>类似项目情况明细表</w:t>
      </w:r>
    </w:p>
    <w:p>
      <w:pPr>
        <w:ind w:firstLine="0"/>
        <w:jc w:val="center"/>
        <w:rPr>
          <w:rFonts w:hint="default" w:ascii="Times New Roman" w:hAnsi="Times New Roman" w:eastAsia="黑体" w:cs="Times New Roman"/>
          <w:color w:val="auto"/>
          <w:sz w:val="24"/>
          <w:highlight w:val="none"/>
        </w:rPr>
      </w:pPr>
    </w:p>
    <w:tbl>
      <w:tblPr>
        <w:tblStyle w:val="49"/>
        <w:tblW w:w="9287"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69"/>
        <w:gridCol w:w="591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trPr>
        <w:tc>
          <w:tcPr>
            <w:tcW w:w="3369" w:type="dxa"/>
            <w:vAlign w:val="center"/>
          </w:tcPr>
          <w:p>
            <w:pPr>
              <w:pStyle w:val="48"/>
              <w:spacing w:before="0" w:line="400" w:lineRule="exact"/>
              <w:ind w:left="0" w:firstLine="0" w:firstLineChars="0"/>
              <w:jc w:val="center"/>
              <w:rPr>
                <w:color w:val="auto"/>
                <w:highlight w:val="none"/>
              </w:rPr>
            </w:pPr>
            <w:r>
              <w:rPr>
                <w:rFonts w:hint="eastAsia"/>
                <w:color w:val="auto"/>
                <w:spacing w:val="-2"/>
                <w:highlight w:val="none"/>
                <w:lang w:val="en-US" w:eastAsia="zh-CN"/>
              </w:rPr>
              <w:t>设备/</w:t>
            </w:r>
            <w:r>
              <w:rPr>
                <w:color w:val="auto"/>
                <w:spacing w:val="-2"/>
                <w:highlight w:val="none"/>
              </w:rPr>
              <w:t>材料名称</w:t>
            </w:r>
          </w:p>
        </w:tc>
        <w:tc>
          <w:tcPr>
            <w:tcW w:w="5918" w:type="dxa"/>
            <w:vAlign w:val="center"/>
          </w:tcPr>
          <w:p>
            <w:pPr>
              <w:spacing w:line="400" w:lineRule="exact"/>
              <w:jc w:val="cente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trPr>
        <w:tc>
          <w:tcPr>
            <w:tcW w:w="3369" w:type="dxa"/>
            <w:vAlign w:val="center"/>
          </w:tcPr>
          <w:p>
            <w:pPr>
              <w:pStyle w:val="48"/>
              <w:spacing w:before="0" w:line="400" w:lineRule="exact"/>
              <w:ind w:left="0" w:firstLine="0" w:firstLineChars="0"/>
              <w:jc w:val="center"/>
              <w:rPr>
                <w:color w:val="auto"/>
                <w:highlight w:val="none"/>
              </w:rPr>
            </w:pPr>
            <w:r>
              <w:rPr>
                <w:color w:val="auto"/>
                <w:spacing w:val="-2"/>
                <w:highlight w:val="none"/>
              </w:rPr>
              <w:t>规格和型号</w:t>
            </w:r>
          </w:p>
        </w:tc>
        <w:tc>
          <w:tcPr>
            <w:tcW w:w="5918" w:type="dxa"/>
            <w:vAlign w:val="center"/>
          </w:tcPr>
          <w:p>
            <w:pPr>
              <w:spacing w:line="400" w:lineRule="exact"/>
              <w:jc w:val="cente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1" w:hRule="atLeast"/>
        </w:trPr>
        <w:tc>
          <w:tcPr>
            <w:tcW w:w="3369" w:type="dxa"/>
            <w:vAlign w:val="center"/>
          </w:tcPr>
          <w:p>
            <w:pPr>
              <w:pStyle w:val="48"/>
              <w:spacing w:before="0" w:line="400" w:lineRule="exact"/>
              <w:ind w:left="0" w:firstLine="0" w:firstLineChars="0"/>
              <w:jc w:val="center"/>
              <w:rPr>
                <w:color w:val="auto"/>
                <w:highlight w:val="none"/>
              </w:rPr>
            </w:pPr>
            <w:r>
              <w:rPr>
                <w:color w:val="auto"/>
                <w:spacing w:val="-3"/>
                <w:highlight w:val="none"/>
              </w:rPr>
              <w:t>项目名称</w:t>
            </w:r>
          </w:p>
        </w:tc>
        <w:tc>
          <w:tcPr>
            <w:tcW w:w="5918" w:type="dxa"/>
            <w:vAlign w:val="center"/>
          </w:tcPr>
          <w:p>
            <w:pPr>
              <w:spacing w:line="400" w:lineRule="exact"/>
              <w:jc w:val="cente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3369" w:type="dxa"/>
            <w:vAlign w:val="center"/>
          </w:tcPr>
          <w:p>
            <w:pPr>
              <w:pStyle w:val="48"/>
              <w:spacing w:before="0" w:line="400" w:lineRule="exact"/>
              <w:ind w:left="0" w:firstLine="0" w:firstLineChars="0"/>
              <w:jc w:val="center"/>
              <w:rPr>
                <w:color w:val="auto"/>
                <w:highlight w:val="none"/>
              </w:rPr>
            </w:pPr>
            <w:r>
              <w:rPr>
                <w:color w:val="auto"/>
                <w:spacing w:val="-4"/>
                <w:highlight w:val="none"/>
              </w:rPr>
              <w:t>买方名称</w:t>
            </w:r>
          </w:p>
        </w:tc>
        <w:tc>
          <w:tcPr>
            <w:tcW w:w="5918" w:type="dxa"/>
            <w:vAlign w:val="center"/>
          </w:tcPr>
          <w:p>
            <w:pPr>
              <w:spacing w:line="400" w:lineRule="exact"/>
              <w:jc w:val="cente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3369" w:type="dxa"/>
            <w:vAlign w:val="center"/>
          </w:tcPr>
          <w:p>
            <w:pPr>
              <w:pStyle w:val="48"/>
              <w:spacing w:before="0" w:line="400" w:lineRule="exact"/>
              <w:ind w:left="0" w:firstLine="0" w:firstLineChars="0"/>
              <w:jc w:val="center"/>
              <w:rPr>
                <w:color w:val="auto"/>
                <w:highlight w:val="none"/>
              </w:rPr>
            </w:pPr>
            <w:r>
              <w:rPr>
                <w:color w:val="auto"/>
                <w:spacing w:val="-2"/>
                <w:highlight w:val="none"/>
              </w:rPr>
              <w:t>买方联系人及电话</w:t>
            </w:r>
          </w:p>
        </w:tc>
        <w:tc>
          <w:tcPr>
            <w:tcW w:w="5918" w:type="dxa"/>
            <w:vAlign w:val="center"/>
          </w:tcPr>
          <w:p>
            <w:pPr>
              <w:spacing w:line="400" w:lineRule="exact"/>
              <w:jc w:val="cente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3369" w:type="dxa"/>
            <w:vAlign w:val="center"/>
          </w:tcPr>
          <w:p>
            <w:pPr>
              <w:pStyle w:val="48"/>
              <w:spacing w:before="0" w:line="400" w:lineRule="exact"/>
              <w:ind w:left="0" w:firstLine="0" w:firstLineChars="0"/>
              <w:jc w:val="center"/>
              <w:rPr>
                <w:color w:val="auto"/>
                <w:highlight w:val="none"/>
              </w:rPr>
            </w:pPr>
            <w:r>
              <w:rPr>
                <w:color w:val="auto"/>
                <w:spacing w:val="-1"/>
                <w:highlight w:val="none"/>
              </w:rPr>
              <w:t>签约合同价</w:t>
            </w:r>
          </w:p>
        </w:tc>
        <w:tc>
          <w:tcPr>
            <w:tcW w:w="5918" w:type="dxa"/>
            <w:vAlign w:val="center"/>
          </w:tcPr>
          <w:p>
            <w:pPr>
              <w:spacing w:line="400" w:lineRule="exact"/>
              <w:jc w:val="cente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5" w:hRule="atLeast"/>
        </w:trPr>
        <w:tc>
          <w:tcPr>
            <w:tcW w:w="3369" w:type="dxa"/>
            <w:vAlign w:val="center"/>
          </w:tcPr>
          <w:p>
            <w:pPr>
              <w:pStyle w:val="48"/>
              <w:spacing w:before="0" w:line="400" w:lineRule="exact"/>
              <w:ind w:left="0" w:right="186" w:firstLine="0" w:firstLineChars="0"/>
              <w:jc w:val="center"/>
              <w:rPr>
                <w:color w:val="auto"/>
                <w:highlight w:val="none"/>
              </w:rPr>
            </w:pPr>
            <w:r>
              <w:rPr>
                <w:color w:val="auto"/>
                <w:spacing w:val="-1"/>
                <w:highlight w:val="none"/>
              </w:rPr>
              <w:t>项目概况及投标人履</w:t>
            </w:r>
            <w:r>
              <w:rPr>
                <w:color w:val="auto"/>
                <w:spacing w:val="-3"/>
                <w:highlight w:val="none"/>
              </w:rPr>
              <w:t>约情况</w:t>
            </w:r>
          </w:p>
        </w:tc>
        <w:tc>
          <w:tcPr>
            <w:tcW w:w="5918" w:type="dxa"/>
            <w:vAlign w:val="center"/>
          </w:tcPr>
          <w:p>
            <w:pPr>
              <w:spacing w:line="400" w:lineRule="exact"/>
              <w:jc w:val="center"/>
              <w:rPr>
                <w:rFonts w:ascii="Arial"/>
                <w:color w:val="auto"/>
                <w:sz w:val="21"/>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3369" w:type="dxa"/>
            <w:vAlign w:val="center"/>
          </w:tcPr>
          <w:p>
            <w:pPr>
              <w:pStyle w:val="48"/>
              <w:spacing w:before="0" w:line="400" w:lineRule="exact"/>
              <w:ind w:left="0" w:firstLine="0" w:firstLineChars="0"/>
              <w:jc w:val="center"/>
              <w:rPr>
                <w:color w:val="auto"/>
                <w:highlight w:val="none"/>
              </w:rPr>
            </w:pPr>
            <w:r>
              <w:rPr>
                <w:color w:val="auto"/>
                <w:spacing w:val="-3"/>
                <w:highlight w:val="none"/>
              </w:rPr>
              <w:t>备注</w:t>
            </w:r>
          </w:p>
        </w:tc>
        <w:tc>
          <w:tcPr>
            <w:tcW w:w="5918" w:type="dxa"/>
            <w:vAlign w:val="center"/>
          </w:tcPr>
          <w:p>
            <w:pPr>
              <w:spacing w:line="400" w:lineRule="exact"/>
              <w:jc w:val="center"/>
              <w:rPr>
                <w:rFonts w:ascii="Arial"/>
                <w:color w:val="auto"/>
                <w:sz w:val="21"/>
                <w:highlight w:val="none"/>
              </w:rPr>
            </w:pPr>
          </w:p>
        </w:tc>
      </w:tr>
    </w:tbl>
    <w:p>
      <w:pPr>
        <w:spacing w:line="400" w:lineRule="atLeast"/>
        <w:ind w:left="735" w:hanging="840" w:hangingChars="35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注：1.每张表格只填写一个项目，并标明序号。</w:t>
      </w:r>
    </w:p>
    <w:p>
      <w:pPr>
        <w:numPr>
          <w:ilvl w:val="-1"/>
          <w:numId w:val="0"/>
        </w:numPr>
        <w:spacing w:line="400" w:lineRule="atLeast"/>
        <w:ind w:left="0" w:leftChars="0"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项的要求在本表后附相关证明材料。</w:t>
      </w:r>
    </w:p>
    <w:p>
      <w:pPr>
        <w:spacing w:line="400" w:lineRule="exact"/>
        <w:ind w:firstLine="480" w:firstLineChars="200"/>
        <w:jc w:val="left"/>
        <w:rPr>
          <w:rFonts w:hint="default" w:ascii="Times New Roman" w:hAnsi="Times New Roman" w:eastAsia="黑体" w:cs="Times New Roman"/>
          <w:color w:val="auto"/>
          <w:szCs w:val="21"/>
          <w:highlight w:val="none"/>
        </w:rPr>
      </w:pP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以联合体形式参与投标的，联合体各成员</w:t>
      </w:r>
      <w:r>
        <w:rPr>
          <w:rFonts w:hint="default" w:ascii="Times New Roman" w:hAnsi="Times New Roman" w:cs="Times New Roman"/>
          <w:color w:val="auto"/>
          <w:szCs w:val="21"/>
          <w:highlight w:val="none"/>
          <w:lang w:val="en-US" w:eastAsia="zh-CN"/>
        </w:rPr>
        <w:t>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lang w:val="en-US" w:eastAsia="zh-CN"/>
        </w:rPr>
        <w:t>前附表附录3要求及第三章</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评标办法</w:t>
      </w:r>
      <w:r>
        <w:rPr>
          <w:rFonts w:hint="eastAsia" w:ascii="宋体" w:hAnsi="宋体" w:eastAsia="宋体" w:cs="宋体"/>
          <w:color w:val="auto"/>
          <w:highlight w:val="none"/>
          <w:lang w:val="en-US" w:eastAsia="zh-CN"/>
        </w:rPr>
        <w:t>”</w:t>
      </w:r>
      <w:r>
        <w:rPr>
          <w:rFonts w:hint="default" w:ascii="Times New Roman" w:hAnsi="Times New Roman" w:cs="Times New Roman"/>
          <w:color w:val="auto"/>
          <w:highlight w:val="none"/>
          <w:lang w:val="en-US" w:eastAsia="zh-CN"/>
        </w:rPr>
        <w:t>详细评审要求（如有）</w:t>
      </w:r>
      <w:r>
        <w:rPr>
          <w:rFonts w:hint="default" w:ascii="Times New Roman" w:hAnsi="Times New Roman" w:cs="Times New Roman"/>
          <w:color w:val="auto"/>
          <w:szCs w:val="21"/>
          <w:highlight w:val="none"/>
        </w:rPr>
        <w:t>分别填写。</w:t>
      </w:r>
    </w:p>
    <w:p>
      <w:pPr>
        <w:spacing w:line="400" w:lineRule="exact"/>
        <w:ind w:firstLine="0" w:firstLineChars="0"/>
        <w:rPr>
          <w:rFonts w:hint="default" w:ascii="Times New Roman" w:hAnsi="Times New Roman" w:cs="Times New Roman"/>
          <w:color w:val="auto"/>
          <w:highlight w:val="none"/>
        </w:rPr>
      </w:pPr>
    </w:p>
    <w:p>
      <w:pPr>
        <w:numPr>
          <w:ilvl w:val="0"/>
          <w:numId w:val="0"/>
        </w:numPr>
        <w:spacing w:before="0" w:after="0"/>
        <w:jc w:val="center"/>
        <w:rPr>
          <w:rFonts w:hint="default" w:ascii="Times New Roman" w:hAnsi="Times New Roman" w:eastAsia="黑体" w:cs="Times New Roman"/>
          <w:b w:val="0"/>
          <w:bCs/>
          <w:color w:val="auto"/>
          <w:sz w:val="24"/>
          <w:szCs w:val="24"/>
          <w:highlight w:val="none"/>
        </w:rPr>
      </w:pPr>
      <w:bookmarkStart w:id="660" w:name="_Toc483640998"/>
      <w:bookmarkStart w:id="661" w:name="_Toc137074949"/>
      <w:bookmarkStart w:id="662" w:name="_Toc500352774"/>
      <w:bookmarkStart w:id="663" w:name="_Toc10136"/>
      <w:bookmarkStart w:id="664" w:name="_Toc495663709"/>
      <w:bookmarkStart w:id="665" w:name="_Toc517651786"/>
      <w:r>
        <w:rPr>
          <w:rFonts w:hint="default" w:ascii="Times New Roman" w:hAnsi="Times New Roman" w:eastAsia="黑体" w:cs="Times New Roman"/>
          <w:b w:val="0"/>
          <w:bCs/>
          <w:color w:val="auto"/>
          <w:sz w:val="24"/>
          <w:szCs w:val="24"/>
          <w:highlight w:val="none"/>
        </w:rPr>
        <w:br w:type="page"/>
      </w:r>
    </w:p>
    <w:p>
      <w:pPr>
        <w:pStyle w:val="4"/>
        <w:numPr>
          <w:ilvl w:val="0"/>
          <w:numId w:val="0"/>
        </w:numPr>
        <w:spacing w:before="0" w:after="0" w:line="360" w:lineRule="auto"/>
        <w:jc w:val="center"/>
        <w:rPr>
          <w:rFonts w:hint="default" w:ascii="Times New Roman" w:hAnsi="Times New Roman" w:eastAsia="黑体" w:cs="Times New Roman"/>
          <w:b w:val="0"/>
          <w:bCs/>
          <w:color w:val="auto"/>
          <w:sz w:val="24"/>
          <w:szCs w:val="24"/>
          <w:highlight w:val="none"/>
        </w:rPr>
      </w:pPr>
      <w:bookmarkStart w:id="666" w:name="_Toc5566"/>
      <w:r>
        <w:rPr>
          <w:rFonts w:hint="default" w:ascii="Times New Roman" w:hAnsi="Times New Roman" w:eastAsia="黑体" w:cs="Times New Roman"/>
          <w:b w:val="0"/>
          <w:bCs/>
          <w:color w:val="auto"/>
          <w:sz w:val="24"/>
          <w:szCs w:val="24"/>
          <w:highlight w:val="none"/>
        </w:rPr>
        <w:t>（四）近年发生的诉讼及仲裁情况</w:t>
      </w:r>
      <w:bookmarkEnd w:id="666"/>
    </w:p>
    <w:p>
      <w:pPr>
        <w:spacing w:line="4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注：投标人应根据投标人须知第3.5.5项的要求附相关证明材料。</w:t>
      </w:r>
    </w:p>
    <w:p>
      <w:pPr>
        <w:rPr>
          <w:rFonts w:hint="default" w:ascii="Times New Roman" w:hAnsi="Times New Roman" w:cs="Times New Roman"/>
          <w:color w:val="auto"/>
          <w:highlight w:val="none"/>
        </w:rPr>
      </w:pPr>
    </w:p>
    <w:p>
      <w:pPr>
        <w:numPr>
          <w:ilvl w:val="0"/>
          <w:numId w:val="0"/>
        </w:numPr>
        <w:spacing w:before="0" w:after="0"/>
        <w:jc w:val="center"/>
        <w:rPr>
          <w:rFonts w:hint="default" w:ascii="Times New Roman" w:hAnsi="Times New Roman" w:eastAsia="黑体" w:cs="Times New Roman"/>
          <w:b w:val="0"/>
          <w:bCs/>
          <w:color w:val="auto"/>
          <w:sz w:val="24"/>
          <w:szCs w:val="24"/>
          <w:highlight w:val="none"/>
        </w:rPr>
      </w:pPr>
      <w:r>
        <w:rPr>
          <w:rFonts w:hint="default" w:ascii="Times New Roman" w:hAnsi="Times New Roman" w:eastAsia="黑体" w:cs="Times New Roman"/>
          <w:b w:val="0"/>
          <w:bCs/>
          <w:color w:val="auto"/>
          <w:sz w:val="24"/>
          <w:szCs w:val="24"/>
          <w:highlight w:val="none"/>
        </w:rPr>
        <w:br w:type="page"/>
      </w:r>
    </w:p>
    <w:p>
      <w:pPr>
        <w:pStyle w:val="4"/>
        <w:numPr>
          <w:ilvl w:val="0"/>
          <w:numId w:val="0"/>
        </w:numPr>
        <w:spacing w:before="0" w:after="0" w:line="360" w:lineRule="auto"/>
        <w:jc w:val="center"/>
        <w:rPr>
          <w:rFonts w:hint="default" w:ascii="Times New Roman" w:hAnsi="Times New Roman" w:eastAsia="黑体" w:cs="Times New Roman"/>
          <w:b w:val="0"/>
          <w:bCs/>
          <w:color w:val="auto"/>
          <w:sz w:val="24"/>
          <w:szCs w:val="24"/>
          <w:highlight w:val="none"/>
          <w:lang w:val="en-US" w:eastAsia="zh-CN"/>
        </w:rPr>
      </w:pPr>
      <w:bookmarkStart w:id="667" w:name="_Toc22988"/>
      <w:r>
        <w:rPr>
          <w:rFonts w:hint="default" w:ascii="Times New Roman" w:hAnsi="Times New Roman" w:cs="Times New Roman"/>
          <w:b w:val="0"/>
          <w:bCs/>
          <w:color w:val="auto"/>
          <w:sz w:val="24"/>
          <w:szCs w:val="24"/>
          <w:highlight w:val="none"/>
          <w:lang w:eastAsia="zh-CN"/>
        </w:rPr>
        <w:t>（</w:t>
      </w:r>
      <w:r>
        <w:rPr>
          <w:rFonts w:hint="default" w:ascii="Times New Roman" w:hAnsi="Times New Roman" w:cs="Times New Roman"/>
          <w:b w:val="0"/>
          <w:bCs/>
          <w:color w:val="auto"/>
          <w:sz w:val="24"/>
          <w:szCs w:val="24"/>
          <w:highlight w:val="none"/>
          <w:lang w:val="en-US" w:eastAsia="zh-CN"/>
        </w:rPr>
        <w:t>五</w:t>
      </w:r>
      <w:r>
        <w:rPr>
          <w:rFonts w:hint="default" w:ascii="Times New Roman" w:hAnsi="Times New Roman" w:cs="Times New Roman"/>
          <w:b w:val="0"/>
          <w:bCs/>
          <w:color w:val="auto"/>
          <w:sz w:val="24"/>
          <w:szCs w:val="24"/>
          <w:highlight w:val="none"/>
          <w:lang w:eastAsia="zh-CN"/>
        </w:rPr>
        <w:t>）</w:t>
      </w:r>
      <w:r>
        <w:rPr>
          <w:rFonts w:hint="default" w:ascii="Times New Roman" w:hAnsi="Times New Roman" w:eastAsia="黑体" w:cs="Times New Roman"/>
          <w:b w:val="0"/>
          <w:bCs/>
          <w:color w:val="auto"/>
          <w:sz w:val="24"/>
          <w:szCs w:val="24"/>
          <w:highlight w:val="none"/>
        </w:rPr>
        <w:t>投标人的信誉情况</w:t>
      </w:r>
      <w:bookmarkEnd w:id="660"/>
      <w:bookmarkEnd w:id="661"/>
      <w:bookmarkEnd w:id="662"/>
      <w:bookmarkEnd w:id="663"/>
      <w:bookmarkEnd w:id="664"/>
      <w:r>
        <w:rPr>
          <w:rFonts w:hint="default" w:ascii="Times New Roman" w:hAnsi="Times New Roman" w:eastAsia="黑体" w:cs="Times New Roman"/>
          <w:b w:val="0"/>
          <w:bCs/>
          <w:color w:val="auto"/>
          <w:sz w:val="24"/>
          <w:szCs w:val="24"/>
          <w:highlight w:val="none"/>
          <w:lang w:val="en-US" w:eastAsia="zh-CN"/>
        </w:rPr>
        <w:t>表</w:t>
      </w:r>
      <w:bookmarkEnd w:id="667"/>
    </w:p>
    <w:p>
      <w:pPr>
        <w:topLinePunct/>
        <w:spacing w:line="400" w:lineRule="atLeast"/>
        <w:rPr>
          <w:rFonts w:hint="default" w:ascii="Times New Roman" w:hAnsi="Times New Roman" w:cs="Times New Roman"/>
          <w:bCs/>
          <w:color w:val="auto"/>
          <w:sz w:val="23"/>
          <w:szCs w:val="23"/>
          <w:highlight w:val="none"/>
        </w:rPr>
      </w:pPr>
    </w:p>
    <w:tbl>
      <w:tblPr>
        <w:tblStyle w:val="30"/>
        <w:tblW w:w="9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2"/>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4642" w:type="dxa"/>
            <w:vAlign w:val="center"/>
          </w:tcPr>
          <w:p>
            <w:pPr>
              <w:topLinePunct/>
              <w:spacing w:line="400" w:lineRule="atLeast"/>
              <w:ind w:firstLine="0" w:firstLineChars="0"/>
              <w:jc w:val="center"/>
              <w:rPr>
                <w:rFonts w:hint="eastAsia" w:ascii="黑体" w:hAnsi="黑体" w:eastAsia="黑体" w:cs="黑体"/>
                <w:bCs/>
                <w:color w:val="auto"/>
                <w:szCs w:val="21"/>
                <w:highlight w:val="none"/>
              </w:rPr>
            </w:pPr>
            <w:r>
              <w:rPr>
                <w:rFonts w:hint="eastAsia" w:ascii="黑体" w:hAnsi="黑体" w:eastAsia="黑体" w:cs="黑体"/>
                <w:bCs/>
                <w:color w:val="auto"/>
                <w:szCs w:val="21"/>
                <w:highlight w:val="none"/>
              </w:rPr>
              <w:t>项 目</w:t>
            </w:r>
          </w:p>
        </w:tc>
        <w:tc>
          <w:tcPr>
            <w:tcW w:w="4643" w:type="dxa"/>
            <w:vAlign w:val="center"/>
          </w:tcPr>
          <w:p>
            <w:pPr>
              <w:topLinePunct/>
              <w:spacing w:line="400" w:lineRule="atLeast"/>
              <w:ind w:firstLine="0" w:firstLineChars="0"/>
              <w:jc w:val="center"/>
              <w:rPr>
                <w:rFonts w:hint="eastAsia" w:ascii="黑体" w:hAnsi="黑体" w:eastAsia="黑体" w:cs="黑体"/>
                <w:bCs/>
                <w:color w:val="auto"/>
                <w:szCs w:val="21"/>
                <w:highlight w:val="none"/>
              </w:rPr>
            </w:pPr>
            <w:r>
              <w:rPr>
                <w:rFonts w:hint="eastAsia" w:ascii="黑体" w:hAnsi="黑体" w:eastAsia="黑体" w:cs="黑体"/>
                <w:bCs/>
                <w:color w:val="auto"/>
                <w:szCs w:val="21"/>
                <w:highlight w:val="none"/>
              </w:rPr>
              <w:t>投标人情况说明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642"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c>
          <w:tcPr>
            <w:tcW w:w="4643"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642"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c>
          <w:tcPr>
            <w:tcW w:w="4643"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642"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c>
          <w:tcPr>
            <w:tcW w:w="4643"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642"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c>
          <w:tcPr>
            <w:tcW w:w="4643"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642"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c>
          <w:tcPr>
            <w:tcW w:w="4643"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642"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c>
          <w:tcPr>
            <w:tcW w:w="4643"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642"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c>
          <w:tcPr>
            <w:tcW w:w="4643"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4642"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c>
          <w:tcPr>
            <w:tcW w:w="4643" w:type="dxa"/>
            <w:vAlign w:val="top"/>
          </w:tcPr>
          <w:p>
            <w:pPr>
              <w:topLinePunct/>
              <w:spacing w:line="400" w:lineRule="atLeast"/>
              <w:ind w:firstLine="0" w:firstLineChars="0"/>
              <w:rPr>
                <w:rFonts w:hint="default" w:ascii="Times New Roman" w:hAnsi="Times New Roman" w:cs="Times New Roman"/>
                <w:bCs/>
                <w:color w:val="auto"/>
                <w:sz w:val="20"/>
                <w:szCs w:val="20"/>
                <w:highlight w:val="none"/>
              </w:rPr>
            </w:pPr>
          </w:p>
        </w:tc>
      </w:tr>
    </w:tbl>
    <w:p>
      <w:pPr>
        <w:spacing w:line="400" w:lineRule="atLeast"/>
        <w:ind w:left="0" w:firstLine="0" w:firstLineChars="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注：1.投标人应按照招标文件第二章</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前附表附录4和</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投标人须知</w:t>
      </w:r>
      <w:r>
        <w:rPr>
          <w:rFonts w:hint="eastAsia" w:ascii="宋体" w:hAnsi="宋体" w:eastAsia="宋体" w:cs="宋体"/>
          <w:color w:val="auto"/>
          <w:szCs w:val="21"/>
          <w:highlight w:val="none"/>
        </w:rPr>
        <w:t>”</w:t>
      </w:r>
      <w:r>
        <w:rPr>
          <w:rFonts w:hint="default" w:ascii="Times New Roman" w:hAnsi="Times New Roman" w:cs="Times New Roman"/>
          <w:color w:val="auto"/>
          <w:szCs w:val="21"/>
          <w:highlight w:val="none"/>
        </w:rPr>
        <w:t>正文第1.4.4项规定，逐条说明其信誉情况。</w:t>
      </w:r>
    </w:p>
    <w:p>
      <w:pPr>
        <w:spacing w:line="400" w:lineRule="atLeast"/>
        <w:ind w:firstLine="480" w:firstLineChars="200"/>
        <w:rPr>
          <w:rFonts w:hint="default" w:ascii="Times New Roman" w:hAnsi="Times New Roman" w:cs="Times New Roman"/>
          <w:color w:val="auto"/>
          <w:szCs w:val="21"/>
          <w:highlight w:val="none"/>
        </w:rPr>
      </w:pPr>
      <w:bookmarkStart w:id="668" w:name="_Hlk493477915"/>
      <w:r>
        <w:rPr>
          <w:rFonts w:hint="default" w:ascii="Times New Roman" w:hAnsi="Times New Roman" w:cs="Times New Roman"/>
          <w:color w:val="auto"/>
          <w:szCs w:val="21"/>
          <w:highlight w:val="none"/>
        </w:rPr>
        <w:t>2.</w:t>
      </w:r>
      <w:r>
        <w:rPr>
          <w:rFonts w:hint="default" w:ascii="Times New Roman" w:hAnsi="Times New Roman" w:cs="Times New Roman"/>
          <w:color w:val="auto"/>
          <w:highlight w:val="none"/>
        </w:rPr>
        <w:t>投标人应根据招标文件第二章</w:t>
      </w:r>
      <w:r>
        <w:rPr>
          <w:rFonts w:hint="eastAsia" w:ascii="宋体" w:hAnsi="宋体" w:eastAsia="宋体" w:cs="宋体"/>
          <w:color w:val="auto"/>
          <w:highlight w:val="none"/>
        </w:rPr>
        <w:t>“</w:t>
      </w:r>
      <w:r>
        <w:rPr>
          <w:rFonts w:hint="default" w:ascii="Times New Roman" w:hAnsi="Times New Roman" w:cs="Times New Roman"/>
          <w:color w:val="auto"/>
          <w:highlight w:val="none"/>
        </w:rPr>
        <w:t>投标人须知</w:t>
      </w:r>
      <w:r>
        <w:rPr>
          <w:rFonts w:hint="eastAsia" w:ascii="宋体" w:hAnsi="宋体" w:eastAsia="宋体" w:cs="宋体"/>
          <w:color w:val="auto"/>
          <w:highlight w:val="none"/>
        </w:rPr>
        <w:t>”</w:t>
      </w:r>
      <w:r>
        <w:rPr>
          <w:rFonts w:hint="default" w:ascii="Times New Roman" w:hAnsi="Times New Roman" w:cs="Times New Roman"/>
          <w:color w:val="auto"/>
          <w:highlight w:val="none"/>
        </w:rPr>
        <w:t>第3.5.</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项</w:t>
      </w:r>
      <w:r>
        <w:rPr>
          <w:rFonts w:hint="default" w:ascii="Times New Roman" w:hAnsi="Times New Roman" w:cs="Times New Roman"/>
          <w:color w:val="auto"/>
          <w:highlight w:val="none"/>
          <w:lang w:val="en-US" w:eastAsia="zh-CN"/>
        </w:rPr>
        <w:t>和3.5.6项</w:t>
      </w:r>
      <w:r>
        <w:rPr>
          <w:rFonts w:hint="default" w:ascii="Times New Roman" w:hAnsi="Times New Roman" w:cs="Times New Roman"/>
          <w:color w:val="auto"/>
          <w:highlight w:val="none"/>
        </w:rPr>
        <w:t>的要求在本表后附相关证明材料。</w:t>
      </w:r>
      <w:bookmarkEnd w:id="668"/>
    </w:p>
    <w:p>
      <w:pPr>
        <w:spacing w:line="400" w:lineRule="atLeast"/>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3.以联合体形式参与投标的，联合体各成员应分别填写。</w:t>
      </w:r>
    </w:p>
    <w:p>
      <w:pPr>
        <w:spacing w:line="400" w:lineRule="atLeast"/>
        <w:ind w:firstLine="480" w:firstLineChars="200"/>
        <w:jc w:val="left"/>
        <w:rPr>
          <w:rFonts w:hint="default" w:ascii="Times New Roman" w:hAnsi="Times New Roman" w:eastAsia="黑体" w:cs="Times New Roman"/>
          <w:color w:val="auto"/>
          <w:szCs w:val="21"/>
          <w:highlight w:val="none"/>
        </w:rPr>
      </w:pPr>
    </w:p>
    <w:p>
      <w:pPr>
        <w:spacing w:line="440" w:lineRule="exact"/>
        <w:jc w:val="center"/>
        <w:rPr>
          <w:rFonts w:hint="default" w:ascii="Times New Roman" w:hAnsi="Times New Roman" w:eastAsia="黑体" w:cs="Times New Roman"/>
          <w:color w:val="auto"/>
          <w:sz w:val="24"/>
          <w:highlight w:val="none"/>
        </w:rPr>
      </w:pPr>
      <w:r>
        <w:rPr>
          <w:rFonts w:hint="default" w:ascii="Times New Roman" w:hAnsi="Times New Roman" w:cs="Times New Roman"/>
          <w:color w:val="auto"/>
          <w:highlight w:val="none"/>
        </w:rPr>
        <w:br w:type="page"/>
      </w:r>
      <w:r>
        <w:rPr>
          <w:rFonts w:hint="default" w:ascii="Times New Roman" w:hAnsi="Times New Roman" w:eastAsia="黑体" w:cs="Times New Roman"/>
          <w:color w:val="auto"/>
          <w:sz w:val="24"/>
          <w:highlight w:val="none"/>
        </w:rPr>
        <w:t>无行贿犯罪行为承诺函（投标人为</w:t>
      </w:r>
      <w:r>
        <w:rPr>
          <w:rFonts w:hint="default" w:ascii="Times New Roman" w:hAnsi="Times New Roman" w:eastAsia="黑体" w:cs="Times New Roman"/>
          <w:color w:val="auto"/>
          <w:sz w:val="24"/>
          <w:highlight w:val="none"/>
          <w:lang w:val="en-US" w:eastAsia="zh-CN"/>
        </w:rPr>
        <w:t>制造商</w:t>
      </w:r>
      <w:r>
        <w:rPr>
          <w:rFonts w:hint="default" w:ascii="Times New Roman" w:hAnsi="Times New Roman" w:eastAsia="黑体" w:cs="Times New Roman"/>
          <w:color w:val="auto"/>
          <w:sz w:val="24"/>
          <w:highlight w:val="none"/>
        </w:rPr>
        <w:t>时）</w:t>
      </w:r>
    </w:p>
    <w:p>
      <w:pPr>
        <w:spacing w:line="242" w:lineRule="auto"/>
        <w:rPr>
          <w:rFonts w:hint="default" w:ascii="Times New Roman" w:hAnsi="Times New Roman" w:cs="Times New Roman"/>
          <w:color w:val="auto"/>
          <w:szCs w:val="21"/>
          <w:highlight w:val="none"/>
        </w:rPr>
      </w:pPr>
    </w:p>
    <w:p>
      <w:pPr>
        <w:spacing w:line="242" w:lineRule="auto"/>
        <w:rPr>
          <w:rFonts w:hint="default" w:ascii="Times New Roman" w:hAnsi="Times New Roman" w:cs="Times New Roman"/>
          <w:color w:val="auto"/>
          <w:szCs w:val="21"/>
          <w:highlight w:val="none"/>
        </w:rPr>
      </w:pPr>
    </w:p>
    <w:p>
      <w:pPr>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（招标人全称）  ：</w:t>
      </w:r>
    </w:p>
    <w:p>
      <w:pPr>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我单位承诺：在</w:t>
      </w:r>
      <w:r>
        <w:rPr>
          <w:rFonts w:hint="default" w:ascii="Times New Roman" w:hAnsi="Times New Roman" w:cs="Times New Roman"/>
          <w:color w:val="auto"/>
          <w:szCs w:val="21"/>
          <w:highlight w:val="none"/>
          <w:u w:val="single"/>
          <w:lang w:val="en-US" w:eastAsia="zh-CN"/>
        </w:rPr>
        <w:t>近三年内（    年   月    日至投标文件递交截止日）</w:t>
      </w:r>
      <w:r>
        <w:rPr>
          <w:rFonts w:hint="default" w:ascii="Times New Roman" w:hAnsi="Times New Roman" w:cs="Times New Roman"/>
          <w:color w:val="auto"/>
          <w:szCs w:val="21"/>
          <w:highlight w:val="none"/>
        </w:rPr>
        <w:t>我单位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lang w:val="en-US" w:eastAsia="zh-CN"/>
        </w:rPr>
        <w:t>制造商</w:t>
      </w:r>
      <w:r>
        <w:rPr>
          <w:rFonts w:hint="default" w:ascii="Times New Roman" w:hAnsi="Times New Roman" w:cs="Times New Roman"/>
          <w:color w:val="auto"/>
          <w:szCs w:val="21"/>
          <w:highlight w:val="none"/>
          <w:u w:val="single"/>
        </w:rPr>
        <w:t xml:space="preserve">单位名称及统一社会信用代码）   </w:t>
      </w:r>
      <w:r>
        <w:rPr>
          <w:rFonts w:hint="default" w:ascii="Times New Roman" w:hAnsi="Times New Roman" w:cs="Times New Roman"/>
          <w:color w:val="auto"/>
          <w:szCs w:val="21"/>
          <w:highlight w:val="none"/>
        </w:rPr>
        <w:t>及</w:t>
      </w:r>
      <w:r>
        <w:rPr>
          <w:rFonts w:hint="default" w:ascii="Times New Roman" w:hAnsi="Times New Roman" w:cs="Times New Roman"/>
          <w:color w:val="auto"/>
          <w:szCs w:val="21"/>
          <w:highlight w:val="none"/>
          <w:lang w:val="en-US" w:eastAsia="zh-CN"/>
        </w:rPr>
        <w:t>制造商</w:t>
      </w:r>
      <w:r>
        <w:rPr>
          <w:rFonts w:hint="default" w:ascii="Times New Roman" w:hAnsi="Times New Roman" w:cs="Times New Roman"/>
          <w:color w:val="auto"/>
          <w:szCs w:val="21"/>
          <w:highlight w:val="none"/>
        </w:rPr>
        <w:t>法定代表人</w:t>
      </w:r>
      <w:r>
        <w:rPr>
          <w:rFonts w:hint="default" w:ascii="Times New Roman" w:hAnsi="Times New Roman" w:cs="Times New Roman"/>
          <w:color w:val="auto"/>
          <w:szCs w:val="21"/>
          <w:highlight w:val="none"/>
          <w:u w:val="single"/>
        </w:rPr>
        <w:t xml:space="preserve">    （姓名及身份证号码）    </w:t>
      </w:r>
      <w:r>
        <w:rPr>
          <w:rFonts w:hint="default" w:ascii="Times New Roman" w:hAnsi="Times New Roman" w:cs="Times New Roman"/>
          <w:color w:val="auto"/>
          <w:szCs w:val="21"/>
          <w:highlight w:val="none"/>
          <w:lang w:val="en-US" w:eastAsia="zh-CN"/>
        </w:rPr>
        <w:t>制造商</w:t>
      </w:r>
      <w:r>
        <w:rPr>
          <w:rFonts w:hint="default" w:ascii="Times New Roman" w:hAnsi="Times New Roman" w:cs="Times New Roman"/>
          <w:color w:val="auto"/>
          <w:szCs w:val="21"/>
          <w:highlight w:val="none"/>
        </w:rPr>
        <w:t>拟投入的项目负责人</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如要求</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u w:val="single"/>
        </w:rPr>
        <w:t xml:space="preserve">    （姓名及身份证号码）    </w:t>
      </w:r>
      <w:r>
        <w:rPr>
          <w:rFonts w:hint="default" w:ascii="Times New Roman" w:hAnsi="Times New Roman" w:cs="Times New Roman"/>
          <w:color w:val="auto"/>
          <w:szCs w:val="21"/>
          <w:highlight w:val="none"/>
        </w:rPr>
        <w:t>均无行贿犯罪行为。</w:t>
      </w:r>
    </w:p>
    <w:p>
      <w:pPr>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如经招标人或评标委员会核实我单位出具的该承诺存在弄虚作假，承诺不实的情形，评标委员会有权否决我单位投标资格或招标人取消我单位中标资格，并由招标人上报上级行政主管部门。</w:t>
      </w:r>
    </w:p>
    <w:p>
      <w:pPr>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特此承诺！</w:t>
      </w:r>
    </w:p>
    <w:p>
      <w:pPr>
        <w:spacing w:line="360" w:lineRule="auto"/>
        <w:ind w:firstLine="480" w:firstLineChars="200"/>
        <w:rPr>
          <w:rFonts w:hint="default" w:ascii="Times New Roman" w:hAnsi="Times New Roman" w:cs="Times New Roman"/>
          <w:color w:val="auto"/>
          <w:szCs w:val="21"/>
          <w:highlight w:val="none"/>
        </w:rPr>
      </w:pPr>
    </w:p>
    <w:p>
      <w:pPr>
        <w:spacing w:line="250" w:lineRule="auto"/>
        <w:rPr>
          <w:rFonts w:hint="default" w:ascii="Times New Roman" w:hAnsi="Times New Roman" w:cs="Times New Roman"/>
          <w:color w:val="auto"/>
          <w:szCs w:val="21"/>
          <w:highlight w:val="none"/>
        </w:rPr>
      </w:pPr>
    </w:p>
    <w:p>
      <w:pPr>
        <w:spacing w:line="251" w:lineRule="auto"/>
        <w:rPr>
          <w:rFonts w:hint="default" w:ascii="Times New Roman" w:hAnsi="Times New Roman" w:cs="Times New Roman"/>
          <w:color w:val="auto"/>
          <w:szCs w:val="21"/>
          <w:highlight w:val="none"/>
        </w:rPr>
      </w:pPr>
    </w:p>
    <w:p>
      <w:pPr>
        <w:spacing w:line="251" w:lineRule="auto"/>
        <w:rPr>
          <w:rFonts w:hint="default" w:ascii="Times New Roman" w:hAnsi="Times New Roman" w:cs="Times New Roman"/>
          <w:color w:val="auto"/>
          <w:szCs w:val="21"/>
          <w:highlight w:val="none"/>
        </w:rPr>
      </w:pPr>
    </w:p>
    <w:p>
      <w:pPr>
        <w:spacing w:line="251" w:lineRule="auto"/>
        <w:rPr>
          <w:rFonts w:hint="default" w:ascii="Times New Roman" w:hAnsi="Times New Roman" w:cs="Times New Roman"/>
          <w:color w:val="auto"/>
          <w:szCs w:val="21"/>
          <w:highlight w:val="none"/>
        </w:rPr>
      </w:pPr>
    </w:p>
    <w:p>
      <w:pPr>
        <w:spacing w:line="251" w:lineRule="auto"/>
        <w:rPr>
          <w:rFonts w:hint="default" w:ascii="Times New Roman" w:hAnsi="Times New Roman" w:cs="Times New Roman"/>
          <w:color w:val="auto"/>
          <w:szCs w:val="21"/>
          <w:highlight w:val="none"/>
        </w:rPr>
      </w:pPr>
    </w:p>
    <w:p>
      <w:pPr>
        <w:spacing w:before="75" w:line="227" w:lineRule="auto"/>
        <w:ind w:right="326"/>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承诺人：</w:t>
      </w:r>
      <w:r>
        <w:rPr>
          <w:rFonts w:hint="default" w:ascii="Times New Roman" w:hAnsi="Times New Roman" w:cs="Times New Roman"/>
          <w:color w:val="auto"/>
          <w:szCs w:val="21"/>
          <w:highlight w:val="none"/>
          <w:u w:val="single"/>
        </w:rPr>
        <w:t>投标人全称 （</w:t>
      </w:r>
      <w:r>
        <w:rPr>
          <w:rFonts w:hint="default" w:ascii="Times New Roman" w:hAnsi="Times New Roman" w:cs="Times New Roman"/>
          <w:color w:val="auto"/>
          <w:szCs w:val="21"/>
          <w:highlight w:val="none"/>
          <w:u w:val="single"/>
          <w:lang w:val="en-US" w:eastAsia="zh-CN"/>
        </w:rPr>
        <w:t>盖单位电子印章</w:t>
      </w:r>
      <w:r>
        <w:rPr>
          <w:rFonts w:hint="default" w:ascii="Times New Roman" w:hAnsi="Times New Roman" w:cs="Times New Roman"/>
          <w:color w:val="auto"/>
          <w:szCs w:val="21"/>
          <w:highlight w:val="none"/>
          <w:u w:val="single"/>
        </w:rPr>
        <w:t>）</w:t>
      </w:r>
    </w:p>
    <w:p>
      <w:pPr>
        <w:spacing w:line="359" w:lineRule="auto"/>
        <w:jc w:val="right"/>
        <w:rPr>
          <w:rFonts w:hint="default" w:ascii="Times New Roman" w:hAnsi="Times New Roman" w:cs="Times New Roman"/>
          <w:color w:val="auto"/>
          <w:szCs w:val="21"/>
          <w:highlight w:val="none"/>
        </w:rPr>
      </w:pPr>
    </w:p>
    <w:p>
      <w:pPr>
        <w:spacing w:line="359"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承诺日期：</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月</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日</w:t>
      </w:r>
    </w:p>
    <w:p>
      <w:pPr>
        <w:spacing w:line="440" w:lineRule="exact"/>
        <w:jc w:val="left"/>
        <w:rPr>
          <w:rFonts w:hint="default" w:ascii="Times New Roman" w:hAnsi="Times New Roman" w:cs="Times New Roman"/>
          <w:color w:val="auto"/>
          <w:szCs w:val="21"/>
          <w:highlight w:val="none"/>
          <w:lang w:val="en-US" w:eastAsia="zh-CN"/>
        </w:rPr>
        <w:sectPr>
          <w:footnotePr>
            <w:numFmt w:val="decimalEnclosedCircleChinese"/>
            <w:numRestart w:val="eachPage"/>
          </w:footnotePr>
          <w:pgSz w:w="11905" w:h="16838"/>
          <w:pgMar w:top="1417" w:right="1417" w:bottom="1701" w:left="1417" w:header="850" w:footer="850" w:gutter="0"/>
          <w:pgNumType w:fmt="decimal"/>
          <w:cols w:space="720" w:num="1"/>
          <w:docGrid w:linePitch="312" w:charSpace="0"/>
        </w:sectPr>
      </w:pPr>
      <w:r>
        <w:rPr>
          <w:rFonts w:hint="default" w:ascii="Times New Roman" w:hAnsi="Times New Roman" w:cs="Times New Roman"/>
          <w:color w:val="auto"/>
          <w:highlight w:val="none"/>
          <w:lang w:val="en-US" w:eastAsia="zh-CN"/>
        </w:rPr>
        <w:t>注：以联合体形式参与投标的，应列明联合体全部成员单位、法定代表人及</w:t>
      </w:r>
      <w:r>
        <w:rPr>
          <w:rFonts w:hint="default" w:ascii="Times New Roman" w:hAnsi="Times New Roman" w:cs="Times New Roman"/>
          <w:color w:val="auto"/>
          <w:szCs w:val="21"/>
          <w:highlight w:val="none"/>
        </w:rPr>
        <w:t>拟投入的项目负责人</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如要求</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信息，由联合体牵头人加盖单位电子印章。</w:t>
      </w:r>
    </w:p>
    <w:p>
      <w:pPr>
        <w:spacing w:line="440" w:lineRule="exact"/>
        <w:jc w:val="center"/>
        <w:rPr>
          <w:rFonts w:hint="default" w:ascii="Times New Roman" w:hAnsi="Times New Roman" w:eastAsia="黑体" w:cs="Times New Roman"/>
          <w:color w:val="auto"/>
          <w:szCs w:val="21"/>
          <w:highlight w:val="none"/>
        </w:rPr>
      </w:pPr>
      <w:r>
        <w:rPr>
          <w:rFonts w:hint="default" w:ascii="Times New Roman" w:hAnsi="Times New Roman" w:cs="Times New Roman"/>
          <w:color w:val="auto"/>
          <w:highlight w:val="none"/>
        </w:rPr>
        <w:br w:type="page"/>
      </w:r>
      <w:bookmarkStart w:id="669" w:name="_Toc763"/>
      <w:r>
        <w:rPr>
          <w:rFonts w:hint="default" w:ascii="Times New Roman" w:hAnsi="Times New Roman" w:eastAsia="黑体" w:cs="Times New Roman"/>
          <w:color w:val="auto"/>
          <w:sz w:val="24"/>
          <w:highlight w:val="none"/>
        </w:rPr>
        <w:t>无行贿犯罪行为承诺函（投标人为代理商时）</w:t>
      </w:r>
    </w:p>
    <w:p>
      <w:pPr>
        <w:spacing w:line="242" w:lineRule="auto"/>
        <w:rPr>
          <w:rFonts w:hint="default" w:ascii="Times New Roman" w:hAnsi="Times New Roman" w:cs="Times New Roman"/>
          <w:color w:val="auto"/>
          <w:szCs w:val="21"/>
          <w:highlight w:val="none"/>
        </w:rPr>
      </w:pPr>
    </w:p>
    <w:p>
      <w:pPr>
        <w:spacing w:line="242" w:lineRule="auto"/>
        <w:rPr>
          <w:rFonts w:hint="default" w:ascii="Times New Roman" w:hAnsi="Times New Roman" w:cs="Times New Roman"/>
          <w:color w:val="auto"/>
          <w:szCs w:val="21"/>
          <w:highlight w:val="none"/>
        </w:rPr>
      </w:pPr>
    </w:p>
    <w:p>
      <w:pPr>
        <w:spacing w:line="360" w:lineRule="auto"/>
        <w:ind w:firstLine="480" w:firstLineChars="200"/>
        <w:rPr>
          <w:rFonts w:hint="default" w:ascii="Times New Roman" w:hAnsi="Times New Roman" w:cs="Times New Roman"/>
          <w:color w:val="auto"/>
          <w:szCs w:val="21"/>
          <w:highlight w:val="none"/>
        </w:rPr>
      </w:pPr>
    </w:p>
    <w:p>
      <w:pPr>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u w:val="single"/>
        </w:rPr>
        <w:t xml:space="preserve">  （招标人全称） ：</w:t>
      </w:r>
    </w:p>
    <w:p>
      <w:pPr>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我单位承诺：在</w:t>
      </w:r>
      <w:r>
        <w:rPr>
          <w:rFonts w:hint="default" w:ascii="Times New Roman" w:hAnsi="Times New Roman" w:cs="Times New Roman"/>
          <w:color w:val="auto"/>
          <w:szCs w:val="21"/>
          <w:highlight w:val="none"/>
          <w:u w:val="single"/>
          <w:lang w:val="en-US" w:eastAsia="zh-CN"/>
        </w:rPr>
        <w:t>近三年内（    年   月    日至投标文件递交截止日）</w:t>
      </w:r>
      <w:r>
        <w:rPr>
          <w:rFonts w:hint="default" w:ascii="Times New Roman" w:hAnsi="Times New Roman" w:cs="Times New Roman"/>
          <w:color w:val="auto"/>
          <w:szCs w:val="21"/>
          <w:highlight w:val="none"/>
        </w:rPr>
        <w:t>我单位</w:t>
      </w:r>
      <w:r>
        <w:rPr>
          <w:rFonts w:hint="default" w:ascii="Times New Roman" w:hAnsi="Times New Roman" w:cs="Times New Roman"/>
          <w:color w:val="auto"/>
          <w:szCs w:val="21"/>
          <w:highlight w:val="none"/>
          <w:u w:val="single"/>
        </w:rPr>
        <w:t xml:space="preserve">    （代理商单位名称及统一社会信用代码）    </w:t>
      </w:r>
      <w:r>
        <w:rPr>
          <w:rFonts w:hint="default" w:ascii="Times New Roman" w:hAnsi="Times New Roman" w:cs="Times New Roman"/>
          <w:color w:val="auto"/>
          <w:szCs w:val="21"/>
          <w:highlight w:val="none"/>
        </w:rPr>
        <w:t>及代理商法定代表人</w:t>
      </w:r>
      <w:r>
        <w:rPr>
          <w:rFonts w:hint="default" w:ascii="Times New Roman" w:hAnsi="Times New Roman" w:cs="Times New Roman"/>
          <w:color w:val="auto"/>
          <w:szCs w:val="21"/>
          <w:highlight w:val="none"/>
          <w:u w:val="single"/>
        </w:rPr>
        <w:t xml:space="preserve">    （姓名及身份证号码）    </w:t>
      </w:r>
      <w:r>
        <w:rPr>
          <w:rFonts w:hint="default" w:ascii="Times New Roman" w:hAnsi="Times New Roman" w:cs="Times New Roman"/>
          <w:color w:val="auto"/>
          <w:szCs w:val="21"/>
          <w:highlight w:val="none"/>
        </w:rPr>
        <w:t>代理商拟投入的项目负责人</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如要求</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u w:val="single"/>
        </w:rPr>
        <w:t xml:space="preserve">    （姓名及身份证号码）    </w:t>
      </w:r>
      <w:r>
        <w:rPr>
          <w:rFonts w:hint="default" w:ascii="Times New Roman" w:hAnsi="Times New Roman" w:cs="Times New Roman"/>
          <w:color w:val="auto"/>
          <w:szCs w:val="21"/>
          <w:highlight w:val="none"/>
        </w:rPr>
        <w:t>均无行贿犯罪行为。</w:t>
      </w:r>
    </w:p>
    <w:p>
      <w:pPr>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在</w:t>
      </w:r>
      <w:r>
        <w:rPr>
          <w:rFonts w:hint="default" w:ascii="Times New Roman" w:hAnsi="Times New Roman" w:cs="Times New Roman"/>
          <w:color w:val="auto"/>
          <w:szCs w:val="21"/>
          <w:highlight w:val="none"/>
          <w:u w:val="single"/>
          <w:lang w:val="en-US" w:eastAsia="zh-CN"/>
        </w:rPr>
        <w:t>近三年内（    年   月    日至投标文件递交截止日）</w:t>
      </w:r>
      <w:r>
        <w:rPr>
          <w:rFonts w:hint="default" w:ascii="Times New Roman" w:hAnsi="Times New Roman" w:cs="Times New Roman"/>
          <w:color w:val="auto"/>
          <w:szCs w:val="21"/>
          <w:highlight w:val="none"/>
        </w:rPr>
        <w:t>授权代理商的</w:t>
      </w:r>
      <w:r>
        <w:rPr>
          <w:rFonts w:hint="default" w:ascii="Times New Roman" w:hAnsi="Times New Roman" w:cs="Times New Roman"/>
          <w:color w:val="auto"/>
          <w:szCs w:val="21"/>
          <w:highlight w:val="none"/>
          <w:lang w:val="en-US" w:eastAsia="zh-CN"/>
        </w:rPr>
        <w:t>制造商</w:t>
      </w:r>
      <w:r>
        <w:rPr>
          <w:rFonts w:hint="default" w:ascii="Times New Roman" w:hAnsi="Times New Roman" w:cs="Times New Roman"/>
          <w:color w:val="auto"/>
          <w:szCs w:val="21"/>
          <w:highlight w:val="none"/>
        </w:rPr>
        <w:t>单位</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lang w:val="en-US" w:eastAsia="zh-CN"/>
        </w:rPr>
        <w:t>制造商</w:t>
      </w:r>
      <w:r>
        <w:rPr>
          <w:rFonts w:hint="default" w:ascii="Times New Roman" w:hAnsi="Times New Roman" w:cs="Times New Roman"/>
          <w:color w:val="auto"/>
          <w:szCs w:val="21"/>
          <w:highlight w:val="none"/>
          <w:u w:val="single"/>
        </w:rPr>
        <w:t xml:space="preserve">单位名称及统一社会信用代码）    </w:t>
      </w:r>
      <w:r>
        <w:rPr>
          <w:rFonts w:hint="default" w:ascii="Times New Roman" w:hAnsi="Times New Roman" w:cs="Times New Roman"/>
          <w:color w:val="auto"/>
          <w:szCs w:val="21"/>
          <w:highlight w:val="none"/>
        </w:rPr>
        <w:t>及</w:t>
      </w:r>
      <w:r>
        <w:rPr>
          <w:rFonts w:hint="default" w:ascii="Times New Roman" w:hAnsi="Times New Roman" w:cs="Times New Roman"/>
          <w:color w:val="auto"/>
          <w:szCs w:val="21"/>
          <w:highlight w:val="none"/>
          <w:lang w:val="en-US" w:eastAsia="zh-CN"/>
        </w:rPr>
        <w:t>制造商</w:t>
      </w:r>
      <w:r>
        <w:rPr>
          <w:rFonts w:hint="default" w:ascii="Times New Roman" w:hAnsi="Times New Roman" w:cs="Times New Roman"/>
          <w:color w:val="auto"/>
          <w:szCs w:val="21"/>
          <w:highlight w:val="none"/>
        </w:rPr>
        <w:t>法定代表人</w:t>
      </w:r>
      <w:r>
        <w:rPr>
          <w:rFonts w:hint="default" w:ascii="Times New Roman" w:hAnsi="Times New Roman" w:cs="Times New Roman"/>
          <w:color w:val="auto"/>
          <w:szCs w:val="21"/>
          <w:highlight w:val="none"/>
          <w:u w:val="single"/>
        </w:rPr>
        <w:t xml:space="preserve">    （姓名及身份证号码）    </w:t>
      </w:r>
      <w:r>
        <w:rPr>
          <w:rFonts w:hint="default" w:ascii="Times New Roman" w:hAnsi="Times New Roman" w:cs="Times New Roman"/>
          <w:color w:val="auto"/>
          <w:szCs w:val="21"/>
          <w:highlight w:val="none"/>
        </w:rPr>
        <w:t>均无行贿犯罪行为。</w:t>
      </w:r>
    </w:p>
    <w:p>
      <w:pPr>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如经招标人或评标委员会核实我单位出具的该承诺存在弄虚作假，承诺不实的情形，评标委员会有权否决我单位投标资格或招标人取消我单位中标资格，并由招标人上报上级行政主管部门。</w:t>
      </w:r>
    </w:p>
    <w:p>
      <w:pPr>
        <w:spacing w:line="360" w:lineRule="auto"/>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特此承诺！</w:t>
      </w:r>
    </w:p>
    <w:p>
      <w:pPr>
        <w:spacing w:line="360" w:lineRule="auto"/>
        <w:ind w:firstLine="480" w:firstLineChars="200"/>
        <w:rPr>
          <w:rFonts w:hint="default" w:ascii="Times New Roman" w:hAnsi="Times New Roman" w:cs="Times New Roman"/>
          <w:color w:val="auto"/>
          <w:szCs w:val="21"/>
          <w:highlight w:val="none"/>
        </w:rPr>
      </w:pPr>
    </w:p>
    <w:p>
      <w:pPr>
        <w:spacing w:line="250" w:lineRule="auto"/>
        <w:rPr>
          <w:rFonts w:hint="default" w:ascii="Times New Roman" w:hAnsi="Times New Roman" w:cs="Times New Roman"/>
          <w:color w:val="auto"/>
          <w:szCs w:val="21"/>
          <w:highlight w:val="none"/>
        </w:rPr>
      </w:pPr>
    </w:p>
    <w:p>
      <w:pPr>
        <w:spacing w:line="251" w:lineRule="auto"/>
        <w:rPr>
          <w:rFonts w:hint="default" w:ascii="Times New Roman" w:hAnsi="Times New Roman" w:cs="Times New Roman"/>
          <w:color w:val="auto"/>
          <w:szCs w:val="21"/>
          <w:highlight w:val="none"/>
        </w:rPr>
      </w:pPr>
    </w:p>
    <w:p>
      <w:pPr>
        <w:spacing w:line="251" w:lineRule="auto"/>
        <w:rPr>
          <w:rFonts w:hint="default" w:ascii="Times New Roman" w:hAnsi="Times New Roman" w:cs="Times New Roman"/>
          <w:color w:val="auto"/>
          <w:szCs w:val="21"/>
          <w:highlight w:val="none"/>
        </w:rPr>
      </w:pPr>
    </w:p>
    <w:p>
      <w:pPr>
        <w:spacing w:line="251" w:lineRule="auto"/>
        <w:rPr>
          <w:rFonts w:hint="default" w:ascii="Times New Roman" w:hAnsi="Times New Roman" w:cs="Times New Roman"/>
          <w:color w:val="auto"/>
          <w:szCs w:val="21"/>
          <w:highlight w:val="none"/>
        </w:rPr>
      </w:pPr>
    </w:p>
    <w:p>
      <w:pPr>
        <w:spacing w:line="251" w:lineRule="auto"/>
        <w:rPr>
          <w:rFonts w:hint="default" w:ascii="Times New Roman" w:hAnsi="Times New Roman" w:cs="Times New Roman"/>
          <w:color w:val="auto"/>
          <w:szCs w:val="21"/>
          <w:highlight w:val="none"/>
        </w:rPr>
      </w:pPr>
    </w:p>
    <w:p>
      <w:pPr>
        <w:spacing w:before="75" w:line="227" w:lineRule="auto"/>
        <w:ind w:right="326"/>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承诺人：</w:t>
      </w:r>
      <w:r>
        <w:rPr>
          <w:rFonts w:hint="default" w:ascii="Times New Roman" w:hAnsi="Times New Roman" w:cs="Times New Roman"/>
          <w:color w:val="auto"/>
          <w:szCs w:val="21"/>
          <w:highlight w:val="none"/>
          <w:u w:val="single"/>
        </w:rPr>
        <w:t>投标人全称 （</w:t>
      </w:r>
      <w:r>
        <w:rPr>
          <w:rFonts w:hint="default" w:ascii="Times New Roman" w:hAnsi="Times New Roman" w:cs="Times New Roman"/>
          <w:color w:val="auto"/>
          <w:szCs w:val="21"/>
          <w:highlight w:val="none"/>
          <w:u w:val="single"/>
          <w:lang w:val="en-US" w:eastAsia="zh-CN"/>
        </w:rPr>
        <w:t>盖单位电子印章</w:t>
      </w:r>
      <w:r>
        <w:rPr>
          <w:rFonts w:hint="default" w:ascii="Times New Roman" w:hAnsi="Times New Roman" w:cs="Times New Roman"/>
          <w:color w:val="auto"/>
          <w:szCs w:val="21"/>
          <w:highlight w:val="none"/>
          <w:u w:val="single"/>
        </w:rPr>
        <w:t>）</w:t>
      </w:r>
    </w:p>
    <w:p>
      <w:pPr>
        <w:spacing w:line="359" w:lineRule="auto"/>
        <w:jc w:val="right"/>
        <w:rPr>
          <w:rFonts w:hint="default" w:ascii="Times New Roman" w:hAnsi="Times New Roman" w:cs="Times New Roman"/>
          <w:color w:val="auto"/>
          <w:szCs w:val="21"/>
          <w:highlight w:val="none"/>
        </w:rPr>
      </w:pPr>
    </w:p>
    <w:p>
      <w:pPr>
        <w:spacing w:line="359" w:lineRule="auto"/>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 xml:space="preserve">                        承诺日期：</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月</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 xml:space="preserve"> 日</w:t>
      </w:r>
    </w:p>
    <w:p>
      <w:pPr>
        <w:spacing w:line="360" w:lineRule="auto"/>
        <w:jc w:val="left"/>
        <w:outlineLvl w:val="9"/>
        <w:rPr>
          <w:rFonts w:hint="default" w:ascii="Times New Roman" w:hAnsi="Times New Roman" w:cs="Times New Roman"/>
          <w:color w:val="auto"/>
          <w:highlight w:val="none"/>
          <w:lang w:val="en-US" w:eastAsia="zh-CN"/>
        </w:rPr>
      </w:pPr>
    </w:p>
    <w:p>
      <w:pPr>
        <w:spacing w:line="360" w:lineRule="auto"/>
        <w:jc w:val="left"/>
        <w:outlineLvl w:val="9"/>
        <w:rPr>
          <w:rFonts w:hint="default" w:ascii="Times New Roman" w:hAnsi="Times New Roman" w:cs="Times New Roman"/>
          <w:color w:val="auto"/>
          <w:szCs w:val="21"/>
          <w:highlight w:val="none"/>
          <w:lang w:val="en-US" w:eastAsia="zh-CN"/>
        </w:rPr>
        <w:sectPr>
          <w:footnotePr>
            <w:numFmt w:val="decimalEnclosedCircleChinese"/>
            <w:numRestart w:val="eachPage"/>
          </w:footnotePr>
          <w:type w:val="continuous"/>
          <w:pgSz w:w="11905" w:h="16838"/>
          <w:pgMar w:top="1417" w:right="1417" w:bottom="1701" w:left="1417" w:header="850" w:footer="850" w:gutter="0"/>
          <w:pgNumType w:fmt="decimal"/>
          <w:cols w:space="720" w:num="1"/>
          <w:docGrid w:linePitch="312" w:charSpace="0"/>
        </w:sectPr>
      </w:pPr>
      <w:r>
        <w:rPr>
          <w:rFonts w:hint="default" w:ascii="Times New Roman" w:hAnsi="Times New Roman" w:cs="Times New Roman"/>
          <w:color w:val="auto"/>
          <w:highlight w:val="none"/>
          <w:lang w:val="en-US" w:eastAsia="zh-CN"/>
        </w:rPr>
        <w:t>注：以联合体形式参与投标的，应列明联合体全部成员单位、法定代表人及</w:t>
      </w:r>
      <w:r>
        <w:rPr>
          <w:rFonts w:hint="default" w:ascii="Times New Roman" w:hAnsi="Times New Roman" w:cs="Times New Roman"/>
          <w:color w:val="auto"/>
          <w:szCs w:val="21"/>
          <w:highlight w:val="none"/>
        </w:rPr>
        <w:t>拟投入的项目负责人</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如要求</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信息，由联合体牵头人加盖单位电子印章。</w:t>
      </w:r>
    </w:p>
    <w:p>
      <w:pPr>
        <w:spacing w:line="360" w:lineRule="auto"/>
        <w:ind w:left="0" w:firstLine="0" w:firstLineChars="0"/>
        <w:jc w:val="center"/>
        <w:outlineLvl w:val="2"/>
        <w:rPr>
          <w:rFonts w:hint="default" w:ascii="Times New Roman" w:hAnsi="Times New Roman" w:eastAsia="黑体" w:cs="Times New Roman"/>
          <w:bCs/>
          <w:color w:val="auto"/>
          <w:kern w:val="0"/>
          <w:sz w:val="24"/>
          <w:highlight w:val="none"/>
        </w:rPr>
      </w:pPr>
      <w:r>
        <w:rPr>
          <w:rFonts w:hint="default" w:ascii="Times New Roman" w:hAnsi="Times New Roman" w:cs="Times New Roman"/>
          <w:color w:val="auto"/>
          <w:highlight w:val="none"/>
        </w:rPr>
        <w:br w:type="page"/>
      </w:r>
      <w:bookmarkStart w:id="670" w:name="_Toc137074950"/>
      <w:bookmarkStart w:id="671" w:name="_Toc30580"/>
      <w:r>
        <w:rPr>
          <w:rFonts w:hint="default" w:ascii="Times New Roman" w:hAnsi="Times New Roman" w:eastAsia="黑体" w:cs="Times New Roman"/>
          <w:bCs/>
          <w:color w:val="auto"/>
          <w:kern w:val="0"/>
          <w:sz w:val="24"/>
          <w:highlight w:val="none"/>
        </w:rPr>
        <w:t>（</w:t>
      </w:r>
      <w:r>
        <w:rPr>
          <w:rFonts w:hint="default" w:ascii="Times New Roman" w:hAnsi="Times New Roman" w:eastAsia="黑体" w:cs="Times New Roman"/>
          <w:bCs/>
          <w:color w:val="auto"/>
          <w:kern w:val="0"/>
          <w:sz w:val="24"/>
          <w:highlight w:val="none"/>
          <w:lang w:val="en-US" w:eastAsia="zh-CN"/>
        </w:rPr>
        <w:t>六</w:t>
      </w:r>
      <w:r>
        <w:rPr>
          <w:rFonts w:hint="default" w:ascii="Times New Roman" w:hAnsi="Times New Roman" w:eastAsia="黑体" w:cs="Times New Roman"/>
          <w:bCs/>
          <w:color w:val="auto"/>
          <w:kern w:val="0"/>
          <w:sz w:val="24"/>
          <w:highlight w:val="none"/>
        </w:rPr>
        <w:t>）</w:t>
      </w:r>
      <w:bookmarkEnd w:id="644"/>
      <w:bookmarkEnd w:id="665"/>
      <w:bookmarkEnd w:id="669"/>
      <w:bookmarkEnd w:id="670"/>
      <w:r>
        <w:rPr>
          <w:rFonts w:hint="default" w:ascii="Times New Roman" w:hAnsi="Times New Roman" w:eastAsia="黑体" w:cs="Times New Roman"/>
          <w:bCs/>
          <w:color w:val="auto"/>
          <w:kern w:val="0"/>
          <w:sz w:val="24"/>
          <w:highlight w:val="none"/>
        </w:rPr>
        <w:t>制造商授权书</w:t>
      </w:r>
      <w:bookmarkEnd w:id="671"/>
    </w:p>
    <w:p>
      <w:pPr>
        <w:spacing w:line="540" w:lineRule="exact"/>
        <w:ind w:left="1120" w:hanging="1120" w:hangingChars="400"/>
        <w:jc w:val="center"/>
        <w:rPr>
          <w:rFonts w:hint="default" w:ascii="Times New Roman" w:hAnsi="Times New Roman" w:eastAsia="黑体" w:cs="Times New Roman"/>
          <w:color w:val="auto"/>
          <w:sz w:val="28"/>
          <w:szCs w:val="28"/>
          <w:highlight w:val="none"/>
        </w:rPr>
      </w:pPr>
    </w:p>
    <w:p>
      <w:pPr>
        <w:spacing w:line="540" w:lineRule="exact"/>
        <w:ind w:left="1120" w:hanging="1120" w:hangingChars="400"/>
        <w:jc w:val="center"/>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t>制造商授权书</w:t>
      </w:r>
    </w:p>
    <w:p>
      <w:pPr>
        <w:spacing w:line="540" w:lineRule="exact"/>
        <w:ind w:left="1120" w:hanging="1120" w:hangingChars="400"/>
        <w:jc w:val="center"/>
        <w:rPr>
          <w:rFonts w:hint="default" w:ascii="Times New Roman" w:hAnsi="Times New Roman" w:eastAsia="经典粗黑简" w:cs="Times New Roman"/>
          <w:color w:val="auto"/>
          <w:sz w:val="28"/>
          <w:szCs w:val="28"/>
          <w:highlight w:val="none"/>
        </w:rPr>
      </w:pPr>
    </w:p>
    <w:p>
      <w:pPr>
        <w:wordWrap w:val="0"/>
        <w:spacing w:line="440" w:lineRule="exact"/>
        <w:ind w:left="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致：</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（招标人）</w:t>
      </w:r>
    </w:p>
    <w:p>
      <w:pPr>
        <w:wordWrap w:val="0"/>
        <w:spacing w:line="44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我单位</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（制造商名称）是按</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（国家／地区名称）法律成立的一家制造商，主要营业地点设在</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（制造商地址）。兹授权按</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（国家／地区名称）的法律正式成立的，主要营业地点设在</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（投标人的单位地址）的</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（投标人名称）以我单位制造的</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设备/</w:t>
      </w:r>
      <w:r>
        <w:rPr>
          <w:rFonts w:hint="default" w:ascii="Times New Roman" w:hAnsi="Times New Roman" w:cs="Times New Roman"/>
          <w:color w:val="auto"/>
          <w:highlight w:val="none"/>
        </w:rPr>
        <w:t>材料名称）进行</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highlight w:val="none"/>
        </w:rPr>
        <w:t>投标活动。我单位同意按照中标合同供货，并对产品质量承担责任。</w:t>
      </w:r>
    </w:p>
    <w:p>
      <w:pPr>
        <w:wordWrap w:val="0"/>
        <w:spacing w:line="440" w:lineRule="exact"/>
        <w:ind w:firstLine="420"/>
        <w:rPr>
          <w:rFonts w:hint="default" w:ascii="Times New Roman" w:hAnsi="Times New Roman" w:cs="Times New Roman"/>
          <w:color w:val="auto"/>
          <w:highlight w:val="none"/>
        </w:rPr>
      </w:pPr>
      <w:r>
        <w:rPr>
          <w:rFonts w:hint="default" w:ascii="Times New Roman" w:hAnsi="Times New Roman" w:cs="Times New Roman"/>
          <w:color w:val="auto"/>
          <w:highlight w:val="none"/>
        </w:rPr>
        <w:t>授权期限：</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w:t>
      </w:r>
    </w:p>
    <w:p>
      <w:pPr>
        <w:wordWrap w:val="0"/>
        <w:spacing w:line="440" w:lineRule="exact"/>
        <w:rPr>
          <w:rFonts w:hint="default" w:ascii="Times New Roman" w:hAnsi="Times New Roman" w:cs="Times New Roman"/>
          <w:color w:val="auto"/>
          <w:highlight w:val="none"/>
        </w:rPr>
      </w:pPr>
    </w:p>
    <w:p>
      <w:pPr>
        <w:spacing w:line="440" w:lineRule="exact"/>
        <w:rPr>
          <w:rFonts w:hint="default" w:ascii="Times New Roman" w:hAnsi="Times New Roman" w:cs="Times New Roman"/>
          <w:color w:val="auto"/>
          <w:highlight w:val="none"/>
        </w:rPr>
      </w:pPr>
    </w:p>
    <w:p>
      <w:pPr>
        <w:spacing w:line="440" w:lineRule="exact"/>
        <w:rPr>
          <w:rFonts w:hint="default" w:ascii="Times New Roman" w:hAnsi="Times New Roman" w:cs="Times New Roman"/>
          <w:color w:val="auto"/>
          <w:highlight w:val="none"/>
          <w:u w:val="single"/>
        </w:rPr>
      </w:pPr>
      <w:r>
        <w:rPr>
          <w:rFonts w:hint="default" w:ascii="Times New Roman" w:hAnsi="Times New Roman" w:cs="Times New Roman"/>
          <w:color w:val="auto"/>
          <w:highlight w:val="none"/>
        </w:rPr>
        <w:t>投标人名称：</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（盖单位章）  制造商名称：</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（盖单位章）</w:t>
      </w:r>
    </w:p>
    <w:p>
      <w:pPr>
        <w:spacing w:line="4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签字人职务：</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 xml:space="preserve">  签字人职务：</w:t>
      </w:r>
      <w:r>
        <w:rPr>
          <w:rFonts w:hint="default" w:ascii="Times New Roman" w:hAnsi="Times New Roman" w:cs="Times New Roman"/>
          <w:color w:val="auto"/>
          <w:highlight w:val="none"/>
          <w:u w:val="single"/>
        </w:rPr>
        <w:t xml:space="preserve">                            </w:t>
      </w:r>
    </w:p>
    <w:p>
      <w:pPr>
        <w:spacing w:line="440" w:lineRule="exact"/>
        <w:ind w:lef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签字人姓名：</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 xml:space="preserve">  签字人姓名：</w:t>
      </w:r>
      <w:r>
        <w:rPr>
          <w:rFonts w:hint="default" w:ascii="Times New Roman" w:hAnsi="Times New Roman" w:cs="Times New Roman"/>
          <w:color w:val="auto"/>
          <w:highlight w:val="none"/>
          <w:u w:val="single"/>
        </w:rPr>
        <w:t xml:space="preserve">                            </w:t>
      </w:r>
    </w:p>
    <w:p>
      <w:pPr>
        <w:spacing w:line="4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签字人签名：</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 xml:space="preserve">  签字人签名：</w:t>
      </w:r>
      <w:r>
        <w:rPr>
          <w:rFonts w:hint="default" w:ascii="Times New Roman" w:hAnsi="Times New Roman" w:cs="Times New Roman"/>
          <w:color w:val="auto"/>
          <w:highlight w:val="none"/>
          <w:u w:val="single"/>
        </w:rPr>
        <w:t xml:space="preserve">                            </w:t>
      </w:r>
    </w:p>
    <w:p>
      <w:pPr>
        <w:spacing w:line="4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pPr>
        <w:spacing w:line="360" w:lineRule="auto"/>
        <w:ind w:firstLine="0" w:firstLineChars="0"/>
        <w:jc w:val="center"/>
        <w:outlineLvl w:val="2"/>
        <w:rPr>
          <w:rFonts w:hint="default" w:ascii="Times New Roman" w:hAnsi="Times New Roman" w:eastAsia="黑体" w:cs="Times New Roman"/>
          <w:bCs/>
          <w:color w:val="auto"/>
          <w:kern w:val="0"/>
          <w:szCs w:val="22"/>
          <w:highlight w:val="none"/>
        </w:rPr>
      </w:pPr>
      <w:bookmarkStart w:id="672" w:name="_Toc28593"/>
      <w:r>
        <w:rPr>
          <w:rFonts w:hint="default" w:ascii="Times New Roman" w:hAnsi="Times New Roman" w:eastAsia="黑体" w:cs="Times New Roman"/>
          <w:bCs/>
          <w:color w:val="auto"/>
          <w:kern w:val="0"/>
          <w:sz w:val="24"/>
          <w:highlight w:val="none"/>
          <w:lang w:eastAsia="zh-CN"/>
        </w:rPr>
        <w:t>（</w:t>
      </w:r>
      <w:r>
        <w:rPr>
          <w:rFonts w:hint="default" w:ascii="Times New Roman" w:hAnsi="Times New Roman" w:eastAsia="黑体" w:cs="Times New Roman"/>
          <w:bCs/>
          <w:color w:val="auto"/>
          <w:kern w:val="0"/>
          <w:sz w:val="24"/>
          <w:highlight w:val="none"/>
          <w:lang w:val="en-US" w:eastAsia="zh-CN"/>
        </w:rPr>
        <w:t>七</w:t>
      </w:r>
      <w:r>
        <w:rPr>
          <w:rFonts w:hint="default" w:ascii="Times New Roman" w:hAnsi="Times New Roman" w:eastAsia="黑体" w:cs="Times New Roman"/>
          <w:bCs/>
          <w:color w:val="auto"/>
          <w:kern w:val="0"/>
          <w:sz w:val="24"/>
          <w:highlight w:val="none"/>
          <w:lang w:eastAsia="zh-CN"/>
        </w:rPr>
        <w:t>）</w:t>
      </w:r>
      <w:r>
        <w:rPr>
          <w:rFonts w:hint="default" w:ascii="Times New Roman" w:hAnsi="Times New Roman" w:eastAsia="黑体" w:cs="Times New Roman"/>
          <w:bCs/>
          <w:color w:val="auto"/>
          <w:kern w:val="0"/>
          <w:sz w:val="24"/>
          <w:highlight w:val="none"/>
        </w:rPr>
        <w:t>投标人的其他要求</w:t>
      </w:r>
      <w:bookmarkEnd w:id="672"/>
    </w:p>
    <w:p>
      <w:pPr>
        <w:keepNext/>
        <w:topLinePunct/>
        <w:adjustRightInd w:val="0"/>
        <w:spacing w:line="440" w:lineRule="exact"/>
        <w:jc w:val="center"/>
        <w:textAlignment w:val="baseline"/>
        <w:outlineLvl w:val="1"/>
        <w:rPr>
          <w:rFonts w:hint="default" w:ascii="Times New Roman" w:hAnsi="Times New Roman" w:cs="Times New Roman"/>
          <w:color w:val="auto"/>
          <w:highlight w:val="none"/>
        </w:rPr>
        <w:sectPr>
          <w:footnotePr>
            <w:numFmt w:val="decimalEnclosedCircleChinese"/>
            <w:numRestart w:val="eachPage"/>
          </w:footnotePr>
          <w:type w:val="continuous"/>
          <w:pgSz w:w="11905" w:h="16838"/>
          <w:pgMar w:top="1417" w:right="1417" w:bottom="1701" w:left="1417" w:header="850" w:footer="850" w:gutter="0"/>
          <w:pgNumType w:fmt="decimal"/>
          <w:cols w:space="720" w:num="1"/>
          <w:docGrid w:linePitch="312" w:charSpace="0"/>
        </w:sectPr>
      </w:pPr>
      <w:r>
        <w:rPr>
          <w:rFonts w:hint="default" w:ascii="Times New Roman" w:hAnsi="Times New Roman" w:cs="Times New Roman"/>
          <w:color w:val="auto"/>
          <w:highlight w:val="none"/>
        </w:rPr>
        <w:br w:type="page"/>
      </w:r>
      <w:bookmarkStart w:id="673" w:name="_Toc137074952"/>
    </w:p>
    <w:p>
      <w:pPr>
        <w:keepNext/>
        <w:topLinePunct/>
        <w:adjustRightInd w:val="0"/>
        <w:spacing w:before="157" w:beforeLines="50" w:after="157" w:afterLines="50" w:line="240" w:lineRule="auto"/>
        <w:ind w:firstLine="0" w:firstLineChars="0"/>
        <w:jc w:val="center"/>
        <w:textAlignment w:val="baseline"/>
        <w:outlineLvl w:val="1"/>
        <w:rPr>
          <w:rFonts w:hint="default" w:ascii="Times New Roman" w:hAnsi="Times New Roman" w:eastAsia="黑体" w:cs="Times New Roman"/>
          <w:color w:val="auto"/>
          <w:kern w:val="0"/>
          <w:sz w:val="28"/>
          <w:szCs w:val="20"/>
          <w:highlight w:val="none"/>
        </w:rPr>
      </w:pPr>
      <w:bookmarkStart w:id="674" w:name="_Toc10062"/>
      <w:r>
        <w:rPr>
          <w:rFonts w:hint="default" w:ascii="Times New Roman" w:hAnsi="Times New Roman" w:eastAsia="黑体" w:cs="Times New Roman"/>
          <w:color w:val="auto"/>
          <w:kern w:val="0"/>
          <w:sz w:val="28"/>
          <w:szCs w:val="20"/>
          <w:highlight w:val="none"/>
          <w:lang w:val="en-US" w:eastAsia="zh-CN"/>
        </w:rPr>
        <w:t>七</w:t>
      </w:r>
      <w:r>
        <w:rPr>
          <w:rFonts w:hint="default" w:ascii="Times New Roman" w:hAnsi="Times New Roman" w:eastAsia="黑体" w:cs="Times New Roman"/>
          <w:color w:val="auto"/>
          <w:kern w:val="0"/>
          <w:sz w:val="28"/>
          <w:szCs w:val="20"/>
          <w:highlight w:val="none"/>
        </w:rPr>
        <w:t>、投标设备技术性能指标的详细描述/投标材料质量标准的详细描述</w:t>
      </w:r>
      <w:bookmarkEnd w:id="674"/>
    </w:p>
    <w:p>
      <w:pPr>
        <w:keepNext w:val="0"/>
        <w:topLinePunct w:val="0"/>
        <w:adjustRightInd/>
        <w:spacing w:line="240" w:lineRule="auto"/>
        <w:jc w:val="both"/>
        <w:textAlignment w:val="auto"/>
        <w:outlineLvl w:val="9"/>
        <w:rPr>
          <w:rFonts w:hint="default" w:ascii="Times New Roman" w:hAnsi="Times New Roman" w:eastAsia="黑体" w:cs="Times New Roman"/>
          <w:color w:val="auto"/>
          <w:kern w:val="0"/>
          <w:sz w:val="28"/>
          <w:szCs w:val="20"/>
          <w:highlight w:val="none"/>
        </w:rPr>
      </w:pPr>
      <w:r>
        <w:rPr>
          <w:rFonts w:hint="default" w:ascii="Times New Roman" w:hAnsi="Times New Roman" w:eastAsia="黑体" w:cs="Times New Roman"/>
          <w:color w:val="auto"/>
          <w:kern w:val="0"/>
          <w:sz w:val="28"/>
          <w:szCs w:val="20"/>
          <w:highlight w:val="none"/>
        </w:rPr>
        <w:br w:type="page"/>
      </w:r>
    </w:p>
    <w:p>
      <w:pPr>
        <w:keepNext w:val="0"/>
        <w:topLinePunct w:val="0"/>
        <w:adjustRightInd/>
        <w:spacing w:before="157" w:beforeLines="50" w:after="157" w:afterLines="50" w:line="240" w:lineRule="auto"/>
        <w:ind w:firstLine="0" w:firstLineChars="0"/>
        <w:jc w:val="center"/>
        <w:textAlignment w:val="auto"/>
        <w:outlineLvl w:val="1"/>
        <w:rPr>
          <w:rFonts w:hint="default" w:ascii="Times New Roman" w:hAnsi="Times New Roman" w:eastAsia="黑体" w:cs="Times New Roman"/>
          <w:color w:val="auto"/>
          <w:kern w:val="0"/>
          <w:sz w:val="28"/>
          <w:szCs w:val="20"/>
          <w:highlight w:val="none"/>
          <w:lang w:val="en-US" w:eastAsia="zh-CN"/>
        </w:rPr>
      </w:pPr>
      <w:bookmarkStart w:id="675" w:name="_Toc9131"/>
      <w:r>
        <w:rPr>
          <w:rFonts w:hint="default" w:ascii="Times New Roman" w:hAnsi="Times New Roman" w:eastAsia="黑体" w:cs="Times New Roman"/>
          <w:color w:val="auto"/>
          <w:kern w:val="0"/>
          <w:sz w:val="28"/>
          <w:szCs w:val="20"/>
          <w:highlight w:val="none"/>
          <w:lang w:val="en-US" w:eastAsia="zh-CN"/>
        </w:rPr>
        <w:t>八、技术支持资料</w:t>
      </w:r>
      <w:bookmarkEnd w:id="675"/>
    </w:p>
    <w:p>
      <w:pPr>
        <w:keepNext w:val="0"/>
        <w:topLinePunct w:val="0"/>
        <w:adjustRightInd/>
        <w:spacing w:line="240" w:lineRule="auto"/>
        <w:jc w:val="both"/>
        <w:textAlignment w:val="auto"/>
        <w:outlineLvl w:val="9"/>
        <w:rPr>
          <w:rFonts w:hint="default" w:ascii="Times New Roman" w:hAnsi="Times New Roman" w:eastAsia="黑体" w:cs="Times New Roman"/>
          <w:color w:val="auto"/>
          <w:kern w:val="0"/>
          <w:sz w:val="28"/>
          <w:szCs w:val="20"/>
          <w:highlight w:val="none"/>
        </w:rPr>
      </w:pPr>
      <w:r>
        <w:rPr>
          <w:rFonts w:hint="default" w:ascii="Times New Roman" w:hAnsi="Times New Roman" w:eastAsia="黑体" w:cs="Times New Roman"/>
          <w:color w:val="auto"/>
          <w:kern w:val="0"/>
          <w:sz w:val="28"/>
          <w:szCs w:val="20"/>
          <w:highlight w:val="none"/>
        </w:rPr>
        <w:br w:type="page"/>
      </w:r>
    </w:p>
    <w:p>
      <w:pPr>
        <w:keepNext/>
        <w:topLinePunct/>
        <w:adjustRightInd w:val="0"/>
        <w:spacing w:before="157" w:beforeLines="50" w:after="157" w:afterLines="50" w:line="240" w:lineRule="auto"/>
        <w:ind w:firstLine="0" w:firstLineChars="0"/>
        <w:jc w:val="center"/>
        <w:textAlignment w:val="baseline"/>
        <w:outlineLvl w:val="1"/>
        <w:rPr>
          <w:rFonts w:hint="default" w:ascii="Times New Roman" w:hAnsi="Times New Roman" w:eastAsia="黑体" w:cs="Times New Roman"/>
          <w:color w:val="auto"/>
          <w:kern w:val="0"/>
          <w:sz w:val="28"/>
          <w:szCs w:val="20"/>
          <w:highlight w:val="none"/>
        </w:rPr>
        <w:sectPr>
          <w:footnotePr>
            <w:numFmt w:val="decimalEnclosedCircleChinese"/>
            <w:numRestart w:val="eachPage"/>
          </w:footnotePr>
          <w:pgSz w:w="11905" w:h="16838"/>
          <w:pgMar w:top="1417" w:right="1417" w:bottom="1701" w:left="1417" w:header="850" w:footer="850" w:gutter="0"/>
          <w:pgNumType w:fmt="decimal"/>
          <w:cols w:space="720" w:num="1"/>
          <w:docGrid w:linePitch="312" w:charSpace="0"/>
        </w:sectPr>
      </w:pPr>
      <w:bookmarkStart w:id="676" w:name="_Toc30818"/>
      <w:r>
        <w:rPr>
          <w:rFonts w:hint="default" w:ascii="Times New Roman" w:hAnsi="Times New Roman" w:eastAsia="黑体" w:cs="Times New Roman"/>
          <w:color w:val="auto"/>
          <w:kern w:val="0"/>
          <w:sz w:val="28"/>
          <w:szCs w:val="20"/>
          <w:highlight w:val="none"/>
          <w:lang w:val="en-US" w:eastAsia="zh-CN"/>
        </w:rPr>
        <w:t>九、技术服务和质保期服务计划/</w:t>
      </w:r>
      <w:r>
        <w:rPr>
          <w:rFonts w:hint="default" w:ascii="Times New Roman" w:hAnsi="Times New Roman" w:eastAsia="黑体" w:cs="Times New Roman"/>
          <w:color w:val="auto"/>
          <w:kern w:val="0"/>
          <w:sz w:val="28"/>
          <w:szCs w:val="20"/>
          <w:highlight w:val="none"/>
        </w:rPr>
        <w:t>相关服务计划</w:t>
      </w:r>
      <w:r>
        <w:rPr>
          <w:rFonts w:hint="default" w:ascii="Times New Roman" w:hAnsi="Times New Roman" w:eastAsia="黑体" w:cs="Times New Roman"/>
          <w:color w:val="auto"/>
          <w:sz w:val="28"/>
          <w:szCs w:val="28"/>
          <w:highlight w:val="none"/>
          <w:vertAlign w:val="superscript"/>
        </w:rPr>
        <w:footnoteReference w:id="29"/>
      </w:r>
      <w:bookmarkEnd w:id="676"/>
    </w:p>
    <w:p>
      <w:pPr>
        <w:keepNext/>
        <w:topLinePunct/>
        <w:adjustRightInd w:val="0"/>
        <w:spacing w:before="157" w:beforeLines="50" w:after="157" w:afterLines="50" w:line="240" w:lineRule="auto"/>
        <w:ind w:firstLine="0" w:firstLineChars="0"/>
        <w:jc w:val="center"/>
        <w:textAlignment w:val="baseline"/>
        <w:outlineLvl w:val="1"/>
        <w:rPr>
          <w:rFonts w:hint="default" w:ascii="Times New Roman" w:hAnsi="Times New Roman" w:eastAsia="黑体" w:cs="Times New Roman"/>
          <w:color w:val="auto"/>
          <w:kern w:val="0"/>
          <w:sz w:val="28"/>
          <w:szCs w:val="20"/>
          <w:highlight w:val="none"/>
        </w:rPr>
      </w:pPr>
      <w:bookmarkStart w:id="677" w:name="_Toc17028"/>
      <w:r>
        <w:rPr>
          <w:rFonts w:hint="default" w:ascii="Times New Roman" w:hAnsi="Times New Roman" w:eastAsia="黑体" w:cs="Times New Roman"/>
          <w:color w:val="auto"/>
          <w:kern w:val="0"/>
          <w:sz w:val="28"/>
          <w:szCs w:val="20"/>
          <w:highlight w:val="none"/>
          <w:lang w:val="en-US" w:eastAsia="zh-CN"/>
        </w:rPr>
        <w:t>十、</w:t>
      </w:r>
      <w:r>
        <w:rPr>
          <w:rFonts w:hint="default" w:ascii="Times New Roman" w:hAnsi="Times New Roman" w:eastAsia="黑体" w:cs="Times New Roman"/>
          <w:color w:val="auto"/>
          <w:kern w:val="0"/>
          <w:sz w:val="28"/>
          <w:szCs w:val="20"/>
          <w:highlight w:val="none"/>
        </w:rPr>
        <w:t>投标人告知承诺函</w:t>
      </w:r>
      <w:bookmarkEnd w:id="673"/>
      <w:bookmarkEnd w:id="677"/>
      <w:r>
        <w:rPr>
          <w:rFonts w:hint="default" w:ascii="Times New Roman" w:hAnsi="Times New Roman" w:eastAsia="宋体" w:cs="Times New Roman"/>
          <w:color w:val="auto"/>
          <w:kern w:val="0"/>
          <w:sz w:val="24"/>
          <w:szCs w:val="24"/>
          <w:highlight w:val="none"/>
          <w:u w:val="single"/>
          <w:vertAlign w:val="superscript"/>
          <w:lang w:val="zh-CN" w:bidi="zh-CN"/>
        </w:rPr>
        <w:footnoteReference w:id="30"/>
      </w:r>
    </w:p>
    <w:p>
      <w:pPr>
        <w:spacing w:line="380" w:lineRule="exact"/>
        <w:rPr>
          <w:rFonts w:hint="default" w:ascii="Times New Roman" w:hAnsi="Times New Roman" w:cs="Times New Roman"/>
          <w:color w:val="auto"/>
          <w:sz w:val="24"/>
          <w:highlight w:val="none"/>
          <w:u w:val="single"/>
        </w:rPr>
      </w:pPr>
    </w:p>
    <w:p>
      <w:pPr>
        <w:wordWrap w:val="0"/>
        <w:spacing w:line="380" w:lineRule="exact"/>
        <w:ind w:firstLine="0" w:firstLineChars="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（招标人名称）、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single"/>
          <w:lang w:val="en-US" w:eastAsia="zh-CN"/>
        </w:rPr>
        <w:t xml:space="preserve">  </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（监管部门名称）：</w:t>
      </w:r>
    </w:p>
    <w:p>
      <w:pPr>
        <w:wordWrap w:val="0"/>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我单位参与</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rPr>
        <w:t>（项目名称）</w:t>
      </w:r>
      <w:r>
        <w:rPr>
          <w:rFonts w:hint="default" w:ascii="Times New Roman" w:hAnsi="Times New Roman" w:cs="Times New Roman"/>
          <w:color w:val="auto"/>
          <w:sz w:val="24"/>
          <w:highlight w:val="none"/>
          <w:u w:val="single"/>
        </w:rPr>
        <w:t xml:space="preserve">    </w:t>
      </w:r>
      <w:r>
        <w:rPr>
          <w:rFonts w:hint="default" w:ascii="Times New Roman" w:hAnsi="Times New Roman" w:cs="Times New Roman"/>
          <w:color w:val="auto"/>
          <w:sz w:val="24"/>
          <w:highlight w:val="none"/>
          <w:u w:val="none"/>
        </w:rPr>
        <w:t>（标段名称）</w:t>
      </w:r>
      <w:r>
        <w:rPr>
          <w:rFonts w:hint="default" w:ascii="Times New Roman" w:hAnsi="Times New Roman" w:cs="Times New Roman"/>
          <w:color w:val="auto"/>
          <w:sz w:val="24"/>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一、我单位和我本人遵循公开、公平、公正、诚实守信的原则，依法依规参与本项目投标。</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二、我单位具有参与本次投标的资质和能力，公司运营状况良好，不存在挂靠投标、不受让、租借、出租、出借资格或资质证书，无处罚期内的不良行为。</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三、我单位在本项目投标过程中从招标公告列明的渠道获取招标文件，没有通过其他不正当渠道获取招标文件。</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四、我单位承诺投标文件由本单位员工独立编制，严格遵守保密义务。所提供的一切投标相关材料都是真实、有效、合法的。</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五、我单位不与其他投标人相互串通投标报价，不恶意压低或抬高投标报价，不排挤其他投标人的公平竞争，不损害招标人或其他投标人的合法权益。</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六、我单位不与招标人或招标代理机构串通投标，损害国家利益、社会公共利益或者他人的合法权益。</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七、我单位不向招标人或者评标委员会成员行贿以牟取中标，不在开标后进行虚假恶意投诉。</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八、我单位和我个人清楚并知晓《中华人民共和国刑法》第二百二十三条</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投标人相互串通投标报价，损害招标人或者其他投标人利益，情节严重的，处三年以下有期徒刑或者拘役，并处或者单处罚金。投标人与招标人串通投标，损害国家、集体、公民的合法利益的，依照前款的规定处罚</w:t>
      </w:r>
      <w:r>
        <w:rPr>
          <w:rFonts w:hint="eastAsia" w:ascii="宋体" w:hAnsi="宋体" w:eastAsia="宋体" w:cs="宋体"/>
          <w:color w:val="auto"/>
          <w:sz w:val="24"/>
          <w:highlight w:val="none"/>
        </w:rPr>
        <w:t>”</w:t>
      </w:r>
      <w:r>
        <w:rPr>
          <w:rFonts w:hint="default" w:ascii="Times New Roman" w:hAnsi="Times New Roman" w:cs="Times New Roman"/>
          <w:color w:val="auto"/>
          <w:sz w:val="24"/>
          <w:highlight w:val="none"/>
        </w:rPr>
        <w:t>的规定。</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九、我单位如在本项目招标投标活动评标工作中存在串通投标、弄虚作假等行为的，本单位及本人自愿承担法律责任，接受相应刑事、纪律和行政处罚以及失信惩戒。</w:t>
      </w:r>
    </w:p>
    <w:p>
      <w:pPr>
        <w:spacing w:line="380" w:lineRule="exact"/>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十、本承诺函由我单位盖章及法定代表人（授权委托人）本人</w:t>
      </w:r>
      <w:r>
        <w:rPr>
          <w:rFonts w:hint="default" w:ascii="Times New Roman" w:hAnsi="Times New Roman" w:cs="Times New Roman"/>
          <w:color w:val="auto"/>
          <w:sz w:val="24"/>
          <w:highlight w:val="none"/>
          <w:lang w:val="en-US" w:eastAsia="zh-CN"/>
        </w:rPr>
        <w:t>电子</w:t>
      </w:r>
      <w:r>
        <w:rPr>
          <w:rFonts w:hint="default" w:ascii="Times New Roman" w:hAnsi="Times New Roman" w:cs="Times New Roman"/>
          <w:color w:val="auto"/>
          <w:sz w:val="24"/>
          <w:highlight w:val="none"/>
        </w:rPr>
        <w:t>确认。</w:t>
      </w:r>
    </w:p>
    <w:p>
      <w:pPr>
        <w:spacing w:line="380" w:lineRule="exact"/>
        <w:ind w:firstLine="480" w:firstLineChars="200"/>
        <w:rPr>
          <w:rFonts w:hint="default" w:ascii="Times New Roman" w:hAnsi="Times New Roman" w:cs="Times New Roman"/>
          <w:color w:val="auto"/>
          <w:sz w:val="24"/>
          <w:highlight w:val="none"/>
        </w:rPr>
      </w:pPr>
    </w:p>
    <w:p>
      <w:pPr>
        <w:widowControl/>
        <w:spacing w:line="380" w:lineRule="exact"/>
        <w:ind w:firstLine="4560" w:firstLineChars="1900"/>
        <w:jc w:val="right"/>
        <w:rPr>
          <w:rFonts w:hint="default" w:ascii="Times New Roman" w:hAnsi="Times New Roman" w:cs="Times New Roman"/>
          <w:color w:val="auto"/>
          <w:kern w:val="0"/>
          <w:sz w:val="24"/>
          <w:highlight w:val="none"/>
          <w:u w:val="single"/>
          <w:lang w:val="zh-CN" w:bidi="zh-CN"/>
        </w:rPr>
      </w:pPr>
      <w:r>
        <w:rPr>
          <w:rFonts w:hint="default" w:ascii="Times New Roman" w:hAnsi="Times New Roman" w:cs="Times New Roman"/>
          <w:color w:val="auto"/>
          <w:kern w:val="0"/>
          <w:sz w:val="24"/>
          <w:highlight w:val="none"/>
          <w:lang w:val="zh-CN" w:bidi="zh-CN"/>
        </w:rPr>
        <w:t>投标人：</w:t>
      </w:r>
      <w:r>
        <w:rPr>
          <w:rFonts w:hint="default" w:ascii="Times New Roman" w:hAnsi="Times New Roman" w:cs="Times New Roman"/>
          <w:color w:val="auto"/>
          <w:kern w:val="0"/>
          <w:sz w:val="24"/>
          <w:highlight w:val="none"/>
          <w:u w:val="single"/>
          <w:lang w:val="zh-CN" w:bidi="zh-CN"/>
        </w:rPr>
        <w:t>投标人全称（加盖单位</w:t>
      </w:r>
      <w:r>
        <w:rPr>
          <w:rFonts w:hint="default" w:ascii="Times New Roman" w:hAnsi="Times New Roman" w:cs="Times New Roman"/>
          <w:color w:val="auto"/>
          <w:kern w:val="0"/>
          <w:sz w:val="24"/>
          <w:highlight w:val="none"/>
          <w:u w:val="single"/>
          <w:lang w:val="en-US" w:bidi="zh-CN"/>
        </w:rPr>
        <w:t>电子印</w:t>
      </w:r>
      <w:r>
        <w:rPr>
          <w:rFonts w:hint="default" w:ascii="Times New Roman" w:hAnsi="Times New Roman" w:cs="Times New Roman"/>
          <w:color w:val="auto"/>
          <w:kern w:val="0"/>
          <w:sz w:val="24"/>
          <w:highlight w:val="none"/>
          <w:u w:val="single"/>
          <w:lang w:val="zh-CN" w:bidi="zh-CN"/>
        </w:rPr>
        <w:t>章）</w:t>
      </w:r>
    </w:p>
    <w:p>
      <w:pPr>
        <w:widowControl/>
        <w:wordWrap w:val="0"/>
        <w:spacing w:line="380" w:lineRule="exact"/>
        <w:jc w:val="right"/>
        <w:rPr>
          <w:rFonts w:hint="default" w:ascii="Times New Roman" w:hAnsi="Times New Roman" w:cs="Times New Roman"/>
          <w:color w:val="auto"/>
          <w:kern w:val="0"/>
          <w:sz w:val="24"/>
          <w:highlight w:val="none"/>
          <w:lang w:val="zh-CN" w:bidi="zh-CN"/>
        </w:rPr>
      </w:pPr>
      <w:r>
        <w:rPr>
          <w:rFonts w:hint="default" w:ascii="Times New Roman" w:hAnsi="Times New Roman" w:cs="Times New Roman"/>
          <w:color w:val="auto"/>
          <w:kern w:val="0"/>
          <w:sz w:val="24"/>
          <w:highlight w:val="none"/>
          <w:lang w:val="zh-CN" w:bidi="zh-CN"/>
        </w:rPr>
        <w:t>法定代表人（或授权委托人）：</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w:t>
      </w:r>
      <w:r>
        <w:rPr>
          <w:rFonts w:hint="default" w:ascii="Times New Roman" w:hAnsi="Times New Roman" w:cs="Times New Roman"/>
          <w:color w:val="auto"/>
          <w:sz w:val="24"/>
          <w:highlight w:val="none"/>
        </w:rPr>
        <w:t>个人</w:t>
      </w:r>
      <w:r>
        <w:rPr>
          <w:rFonts w:hint="default" w:ascii="Times New Roman" w:hAnsi="Times New Roman" w:cs="Times New Roman"/>
          <w:color w:val="auto"/>
          <w:sz w:val="24"/>
          <w:highlight w:val="none"/>
          <w:lang w:eastAsia="zh-CN"/>
        </w:rPr>
        <w:t>电子签名</w:t>
      </w:r>
      <w:r>
        <w:rPr>
          <w:rFonts w:hint="default" w:ascii="Times New Roman" w:hAnsi="Times New Roman" w:cs="Times New Roman"/>
          <w:color w:val="auto"/>
          <w:sz w:val="24"/>
          <w:highlight w:val="none"/>
        </w:rPr>
        <w:t>或个人电子印章</w:t>
      </w:r>
      <w:r>
        <w:rPr>
          <w:rFonts w:hint="default" w:ascii="Times New Roman" w:hAnsi="Times New Roman" w:cs="Times New Roman"/>
          <w:color w:val="auto"/>
          <w:kern w:val="0"/>
          <w:sz w:val="24"/>
          <w:highlight w:val="none"/>
          <w:lang w:val="zh-CN" w:bidi="zh-CN"/>
        </w:rPr>
        <w:t>）</w:t>
      </w:r>
    </w:p>
    <w:p>
      <w:pPr>
        <w:keepNext/>
        <w:keepLines/>
        <w:widowControl/>
        <w:tabs>
          <w:tab w:val="left" w:pos="1440"/>
        </w:tabs>
        <w:wordWrap w:val="0"/>
        <w:topLinePunct/>
        <w:spacing w:line="380" w:lineRule="exact"/>
        <w:jc w:val="right"/>
        <w:rPr>
          <w:rFonts w:hint="default" w:ascii="Times New Roman" w:hAnsi="Times New Roman" w:cs="Times New Roman"/>
          <w:color w:val="auto"/>
          <w:sz w:val="24"/>
          <w:highlight w:val="none"/>
        </w:rPr>
      </w:pPr>
      <w:r>
        <w:rPr>
          <w:rFonts w:hint="default" w:ascii="Times New Roman" w:hAnsi="Times New Roman" w:cs="Times New Roman"/>
          <w:color w:val="auto"/>
          <w:kern w:val="0"/>
          <w:sz w:val="24"/>
          <w:highlight w:val="none"/>
          <w:lang w:val="zh-CN" w:bidi="zh-CN"/>
        </w:rPr>
        <w:t>承诺日期：</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年</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月</w:t>
      </w:r>
      <w:r>
        <w:rPr>
          <w:rFonts w:hint="default" w:ascii="Times New Roman" w:hAnsi="Times New Roman" w:cs="Times New Roman"/>
          <w:color w:val="auto"/>
          <w:kern w:val="0"/>
          <w:sz w:val="24"/>
          <w:highlight w:val="none"/>
          <w:u w:val="single"/>
          <w:lang w:val="zh-CN" w:bidi="zh-CN"/>
        </w:rPr>
        <w:t xml:space="preserve">    </w:t>
      </w:r>
      <w:r>
        <w:rPr>
          <w:rFonts w:hint="default" w:ascii="Times New Roman" w:hAnsi="Times New Roman" w:cs="Times New Roman"/>
          <w:color w:val="auto"/>
          <w:kern w:val="0"/>
          <w:sz w:val="24"/>
          <w:highlight w:val="none"/>
          <w:lang w:val="zh-CN" w:bidi="zh-CN"/>
        </w:rPr>
        <w:t>日</w:t>
      </w:r>
    </w:p>
    <w:p>
      <w:pPr>
        <w:topLinePunct/>
        <w:spacing w:line="360" w:lineRule="auto"/>
        <w:rPr>
          <w:rFonts w:hint="default" w:ascii="Times New Roman" w:hAnsi="Times New Roman" w:eastAsia="黑体" w:cs="Times New Roman"/>
          <w:color w:val="auto"/>
          <w:kern w:val="0"/>
          <w:szCs w:val="21"/>
          <w:highlight w:val="none"/>
        </w:rPr>
      </w:pPr>
    </w:p>
    <w:p>
      <w:pPr>
        <w:pStyle w:val="10"/>
        <w:rPr>
          <w:rFonts w:hint="default" w:ascii="Times New Roman" w:hAnsi="Times New Roman" w:cs="Times New Roman"/>
          <w:color w:val="auto"/>
          <w:highlight w:val="none"/>
        </w:rPr>
      </w:pPr>
    </w:p>
    <w:p>
      <w:pPr>
        <w:wordWrap w:val="0"/>
        <w:spacing w:before="157" w:beforeLines="50" w:after="157" w:afterLines="50" w:line="240" w:lineRule="auto"/>
        <w:ind w:firstLine="0" w:firstLineChars="0"/>
        <w:jc w:val="center"/>
        <w:outlineLvl w:val="1"/>
        <w:rPr>
          <w:rFonts w:hint="default" w:ascii="Times New Roman" w:hAnsi="Times New Roman" w:eastAsia="黑体" w:cs="Times New Roman"/>
          <w:color w:val="auto"/>
          <w:kern w:val="0"/>
          <w:sz w:val="28"/>
          <w:szCs w:val="20"/>
          <w:highlight w:val="none"/>
          <w:lang w:val="en-US" w:eastAsia="zh-CN"/>
        </w:rPr>
      </w:pPr>
      <w:r>
        <w:rPr>
          <w:rFonts w:hint="default" w:ascii="Times New Roman" w:hAnsi="Times New Roman" w:eastAsia="黑体" w:cs="Times New Roman"/>
          <w:color w:val="auto"/>
          <w:kern w:val="0"/>
          <w:sz w:val="28"/>
          <w:szCs w:val="20"/>
          <w:highlight w:val="none"/>
        </w:rPr>
        <w:br w:type="page"/>
      </w:r>
      <w:bookmarkStart w:id="678" w:name="_Toc137074953"/>
      <w:bookmarkStart w:id="679" w:name="_Toc396334061"/>
      <w:bookmarkStart w:id="680" w:name="_Toc23098"/>
      <w:bookmarkStart w:id="681" w:name="_Toc320625075"/>
      <w:r>
        <w:rPr>
          <w:rFonts w:hint="default" w:ascii="Times New Roman" w:hAnsi="Times New Roman" w:eastAsia="黑体" w:cs="Times New Roman"/>
          <w:color w:val="auto"/>
          <w:kern w:val="0"/>
          <w:sz w:val="28"/>
          <w:szCs w:val="20"/>
          <w:highlight w:val="none"/>
          <w:lang w:val="en-US" w:eastAsia="zh-CN"/>
        </w:rPr>
        <w:t>十一</w:t>
      </w:r>
      <w:r>
        <w:rPr>
          <w:rFonts w:hint="default" w:ascii="Times New Roman" w:hAnsi="Times New Roman" w:eastAsia="黑体" w:cs="Times New Roman"/>
          <w:color w:val="auto"/>
          <w:kern w:val="0"/>
          <w:sz w:val="28"/>
          <w:szCs w:val="20"/>
          <w:highlight w:val="none"/>
        </w:rPr>
        <w:t>、</w:t>
      </w:r>
      <w:bookmarkEnd w:id="678"/>
      <w:bookmarkEnd w:id="679"/>
      <w:r>
        <w:rPr>
          <w:rFonts w:hint="default" w:ascii="Times New Roman" w:hAnsi="Times New Roman" w:eastAsia="黑体" w:cs="Times New Roman"/>
          <w:color w:val="auto"/>
          <w:kern w:val="0"/>
          <w:sz w:val="28"/>
          <w:szCs w:val="20"/>
          <w:highlight w:val="none"/>
          <w:lang w:val="en-US" w:eastAsia="zh-CN"/>
        </w:rPr>
        <w:t>其他资料</w:t>
      </w:r>
      <w:bookmarkEnd w:id="680"/>
      <w:bookmarkEnd w:id="681"/>
    </w:p>
    <w:p>
      <w:pPr>
        <w:wordWrap/>
        <w:spacing w:line="240" w:lineRule="auto"/>
        <w:jc w:val="left"/>
        <w:outlineLvl w:val="9"/>
        <w:rPr>
          <w:rFonts w:hint="default" w:ascii="Times New Roman" w:hAnsi="Times New Roman" w:eastAsia="黑体" w:cs="Times New Roman"/>
          <w:color w:val="auto"/>
          <w:kern w:val="0"/>
          <w:sz w:val="28"/>
          <w:szCs w:val="20"/>
          <w:highlight w:val="none"/>
          <w:lang w:val="en-US" w:eastAsia="zh-CN"/>
        </w:rPr>
      </w:pPr>
      <w:r>
        <w:rPr>
          <w:rFonts w:hint="default" w:ascii="Times New Roman" w:hAnsi="Times New Roman" w:eastAsia="黑体" w:cs="Times New Roman"/>
          <w:color w:val="auto"/>
          <w:kern w:val="0"/>
          <w:sz w:val="28"/>
          <w:szCs w:val="20"/>
          <w:highlight w:val="none"/>
          <w:lang w:val="en-US" w:eastAsia="zh-CN"/>
        </w:rPr>
        <w:br w:type="page"/>
      </w:r>
    </w:p>
    <w:p>
      <w:pPr>
        <w:pStyle w:val="9"/>
        <w:keepNext w:val="0"/>
        <w:keepLines w:val="0"/>
        <w:pageBreakBefore w:val="0"/>
        <w:widowControl w:val="0"/>
        <w:kinsoku/>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黑体" w:cs="Times New Roman"/>
          <w:color w:val="auto"/>
          <w:sz w:val="31"/>
          <w:szCs w:val="31"/>
          <w:highlight w:val="none"/>
        </w:rPr>
      </w:pPr>
      <w:r>
        <w:rPr>
          <w:rFonts w:hint="default" w:ascii="Times New Roman" w:hAnsi="Times New Roman" w:eastAsia="黑体" w:cs="Times New Roman"/>
          <w:color w:val="auto"/>
          <w:sz w:val="31"/>
          <w:szCs w:val="31"/>
          <w:highlight w:val="none"/>
          <w:u w:val="single"/>
          <w:lang w:val="en-US" w:eastAsia="zh-CN"/>
        </w:rPr>
        <w:t>辽宁</w:t>
      </w:r>
      <w:r>
        <w:rPr>
          <w:rFonts w:hint="default" w:ascii="Times New Roman" w:hAnsi="Times New Roman" w:eastAsia="黑体" w:cs="Times New Roman"/>
          <w:color w:val="auto"/>
          <w:sz w:val="31"/>
          <w:szCs w:val="31"/>
          <w:highlight w:val="none"/>
        </w:rPr>
        <w:t>省</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lang w:val="en-US" w:eastAsia="zh-CN"/>
        </w:rPr>
      </w:pP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（项目名称）</w:t>
      </w:r>
      <w:r>
        <w:rPr>
          <w:rFonts w:hint="default" w:ascii="Times New Roman" w:hAnsi="Times New Roman" w:eastAsia="黑体" w:cs="Times New Roman"/>
          <w:b w:val="0"/>
          <w:bCs w:val="0"/>
          <w:color w:val="auto"/>
          <w:sz w:val="31"/>
          <w:szCs w:val="31"/>
          <w:highlight w:val="none"/>
          <w:u w:val="single"/>
        </w:rPr>
        <w:t xml:space="preserve">          </w:t>
      </w:r>
      <w:r>
        <w:rPr>
          <w:rFonts w:hint="default" w:ascii="Times New Roman" w:hAnsi="Times New Roman" w:eastAsia="黑体" w:cs="Times New Roman"/>
          <w:b w:val="0"/>
          <w:bCs w:val="0"/>
          <w:color w:val="auto"/>
          <w:sz w:val="31"/>
          <w:szCs w:val="31"/>
          <w:highlight w:val="none"/>
        </w:rPr>
        <w:t>（</w:t>
      </w:r>
      <w:r>
        <w:rPr>
          <w:rFonts w:hint="default" w:ascii="Times New Roman" w:hAnsi="Times New Roman" w:eastAsia="黑体" w:cs="Times New Roman"/>
          <w:b w:val="0"/>
          <w:bCs w:val="0"/>
          <w:color w:val="auto"/>
          <w:sz w:val="31"/>
          <w:szCs w:val="31"/>
          <w:highlight w:val="none"/>
          <w:lang w:val="en-US" w:eastAsia="zh-CN"/>
        </w:rPr>
        <w:t>标段</w:t>
      </w:r>
      <w:r>
        <w:rPr>
          <w:rFonts w:hint="default" w:ascii="Times New Roman" w:hAnsi="Times New Roman" w:eastAsia="黑体" w:cs="Times New Roman"/>
          <w:b w:val="0"/>
          <w:bCs w:val="0"/>
          <w:color w:val="auto"/>
          <w:sz w:val="31"/>
          <w:szCs w:val="31"/>
          <w:highlight w:val="none"/>
        </w:rPr>
        <w:t>名称）</w:t>
      </w:r>
      <w:r>
        <w:rPr>
          <w:rFonts w:hint="default" w:ascii="Times New Roman" w:hAnsi="Times New Roman" w:eastAsia="黑体" w:cs="Times New Roman"/>
          <w:b w:val="0"/>
          <w:bCs w:val="0"/>
          <w:color w:val="auto"/>
          <w:sz w:val="31"/>
          <w:szCs w:val="31"/>
          <w:highlight w:val="none"/>
          <w:lang w:val="en-US" w:eastAsia="zh-CN"/>
        </w:rPr>
        <w:t>采购招标</w:t>
      </w:r>
    </w:p>
    <w:p>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default" w:ascii="Times New Roman" w:hAnsi="Times New Roman" w:eastAsia="黑体" w:cs="Times New Roman"/>
          <w:b w:val="0"/>
          <w:bCs w:val="0"/>
          <w:color w:val="auto"/>
          <w:sz w:val="31"/>
          <w:szCs w:val="31"/>
          <w:highlight w:val="none"/>
        </w:rPr>
      </w:pPr>
    </w:p>
    <w:p>
      <w:pPr>
        <w:pageBreakBefore w:val="0"/>
        <w:kinsoku/>
        <w:wordWrap w:val="0"/>
        <w:bidi w:val="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Style w:val="10"/>
        <w:rPr>
          <w:rFonts w:hint="default" w:ascii="Times New Roman" w:hAnsi="Times New Roman" w:eastAsia="黑体" w:cs="Times New Roman"/>
          <w:color w:val="auto"/>
          <w:sz w:val="20"/>
          <w:highlight w:val="none"/>
        </w:rPr>
      </w:pPr>
    </w:p>
    <w:p>
      <w:pPr>
        <w:pageBreakBefore w:val="0"/>
        <w:kinsoku/>
        <w:wordWrap w:val="0"/>
        <w:bidi w:val="0"/>
        <w:rPr>
          <w:rFonts w:hint="default" w:ascii="Times New Roman" w:hAnsi="Times New Roman" w:eastAsia="黑体" w:cs="Times New Roman"/>
          <w:color w:val="auto"/>
          <w:sz w:val="20"/>
          <w:highlight w:val="none"/>
        </w:rPr>
      </w:pPr>
    </w:p>
    <w:p>
      <w:pPr>
        <w:pageBreakBefore w:val="0"/>
        <w:tabs>
          <w:tab w:val="left" w:pos="5460"/>
        </w:tabs>
        <w:kinsoku/>
        <w:wordWrap w:val="0"/>
        <w:bidi w:val="0"/>
        <w:ind w:firstLine="0" w:firstLineChars="0"/>
        <w:jc w:val="center"/>
        <w:rPr>
          <w:rFonts w:hint="default" w:ascii="Times New Roman" w:hAnsi="Times New Roman" w:eastAsia="黑体" w:cs="Times New Roman"/>
          <w:color w:val="auto"/>
          <w:sz w:val="72"/>
          <w:szCs w:val="72"/>
          <w:highlight w:val="none"/>
        </w:rPr>
      </w:pPr>
      <w:r>
        <w:rPr>
          <w:rFonts w:hint="default" w:ascii="Times New Roman" w:hAnsi="Times New Roman" w:eastAsia="黑体" w:cs="Times New Roman"/>
          <w:color w:val="auto"/>
          <w:sz w:val="72"/>
          <w:szCs w:val="72"/>
          <w:highlight w:val="none"/>
        </w:rPr>
        <w:t>投 标 文 件</w:t>
      </w:r>
    </w:p>
    <w:p>
      <w:pPr>
        <w:pageBreakBefore w:val="0"/>
        <w:tabs>
          <w:tab w:val="left" w:pos="5460"/>
        </w:tabs>
        <w:kinsoku/>
        <w:wordWrap w:val="0"/>
        <w:bidi w:val="0"/>
        <w:ind w:firstLine="0" w:firstLineChars="0"/>
        <w:jc w:val="center"/>
        <w:rPr>
          <w:rFonts w:hint="default" w:ascii="Times New Roman" w:hAnsi="Times New Roman" w:eastAsia="黑体" w:cs="Times New Roman"/>
          <w:color w:val="auto"/>
          <w:sz w:val="72"/>
          <w:szCs w:val="72"/>
          <w:highlight w:val="none"/>
        </w:rPr>
      </w:pPr>
    </w:p>
    <w:p>
      <w:pPr>
        <w:pageBreakBefore w:val="0"/>
        <w:kinsoku/>
        <w:wordWrap w:val="0"/>
        <w:bidi w:val="0"/>
        <w:jc w:val="center"/>
        <w:rPr>
          <w:rFonts w:hint="default" w:ascii="Times New Roman" w:hAnsi="Times New Roman" w:eastAsia="黑体" w:cs="Times New Roman"/>
          <w:color w:val="auto"/>
          <w:sz w:val="44"/>
          <w:highlight w:val="none"/>
        </w:rPr>
      </w:pPr>
      <w:r>
        <w:rPr>
          <w:rFonts w:hint="default" w:ascii="Times New Roman" w:hAnsi="Times New Roman" w:eastAsia="黑体" w:cs="Times New Roman"/>
          <w:b w:val="0"/>
          <w:color w:val="auto"/>
          <w:sz w:val="32"/>
          <w:szCs w:val="32"/>
          <w:highlight w:val="none"/>
        </w:rPr>
        <w:t>（</w:t>
      </w:r>
      <w:r>
        <w:rPr>
          <w:rFonts w:hint="default" w:ascii="Times New Roman" w:hAnsi="Times New Roman" w:eastAsia="黑体" w:cs="Times New Roman"/>
          <w:b w:val="0"/>
          <w:color w:val="auto"/>
          <w:sz w:val="32"/>
          <w:szCs w:val="32"/>
          <w:highlight w:val="none"/>
          <w:lang w:val="en-US" w:eastAsia="zh-CN"/>
        </w:rPr>
        <w:t>第二个信封 报价</w:t>
      </w:r>
      <w:r>
        <w:rPr>
          <w:rFonts w:hint="default" w:ascii="Times New Roman" w:hAnsi="Times New Roman" w:eastAsia="黑体" w:cs="Times New Roman"/>
          <w:b w:val="0"/>
          <w:color w:val="auto"/>
          <w:sz w:val="32"/>
          <w:szCs w:val="32"/>
          <w:highlight w:val="none"/>
        </w:rPr>
        <w:t>文件）</w:t>
      </w: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rPr>
          <w:rFonts w:hint="default" w:ascii="Times New Roman" w:hAnsi="Times New Roman" w:eastAsia="黑体" w:cs="Times New Roman"/>
          <w:color w:val="auto"/>
          <w:sz w:val="28"/>
          <w:highlight w:val="none"/>
        </w:rPr>
      </w:pPr>
    </w:p>
    <w:p>
      <w:pPr>
        <w:pageBreakBefore w:val="0"/>
        <w:kinsoku/>
        <w:wordWrap w:val="0"/>
        <w:bidi w:val="0"/>
        <w:jc w:val="both"/>
        <w:rPr>
          <w:rFonts w:hint="default" w:ascii="Times New Roman" w:hAnsi="Times New Roman" w:eastAsia="黑体" w:cs="Times New Roman"/>
          <w:color w:val="auto"/>
          <w:sz w:val="28"/>
          <w:highlight w:val="none"/>
        </w:rPr>
      </w:pPr>
      <w:r>
        <w:rPr>
          <w:rFonts w:hint="default" w:ascii="Times New Roman" w:hAnsi="Times New Roman" w:eastAsia="黑体" w:cs="Times New Roman"/>
          <w:color w:val="auto"/>
          <w:sz w:val="28"/>
          <w:highlight w:val="none"/>
        </w:rPr>
        <w:t>投标人：</w:t>
      </w:r>
      <w:r>
        <w:rPr>
          <w:rFonts w:hint="default" w:ascii="Times New Roman" w:hAnsi="Times New Roman" w:cs="Times New Roman"/>
          <w:color w:val="auto"/>
          <w:highlight w:val="none"/>
          <w:u w:val="single"/>
        </w:rPr>
        <w:t xml:space="preserve">                                            </w:t>
      </w:r>
      <w:r>
        <w:rPr>
          <w:rFonts w:hint="default" w:ascii="Times New Roman" w:hAnsi="Times New Roman" w:eastAsia="黑体" w:cs="Times New Roman"/>
          <w:color w:val="auto"/>
          <w:sz w:val="28"/>
          <w:highlight w:val="none"/>
        </w:rPr>
        <w:t>（</w:t>
      </w:r>
      <w:r>
        <w:rPr>
          <w:rFonts w:hint="default" w:ascii="Times New Roman" w:hAnsi="Times New Roman" w:eastAsia="黑体" w:cs="Times New Roman"/>
          <w:color w:val="auto"/>
          <w:sz w:val="28"/>
          <w:highlight w:val="none"/>
          <w:lang w:eastAsia="zh-CN"/>
        </w:rPr>
        <w:t>盖单位电子印章</w:t>
      </w:r>
      <w:r>
        <w:rPr>
          <w:rFonts w:hint="default" w:ascii="Times New Roman" w:hAnsi="Times New Roman" w:eastAsia="黑体" w:cs="Times New Roman"/>
          <w:color w:val="auto"/>
          <w:sz w:val="28"/>
          <w:highlight w:val="none"/>
        </w:rPr>
        <w:t>）</w:t>
      </w:r>
    </w:p>
    <w:p>
      <w:pPr>
        <w:pageBreakBefore w:val="0"/>
        <w:kinsoku/>
        <w:wordWrap w:val="0"/>
        <w:bidi w:val="0"/>
        <w:spacing w:line="400" w:lineRule="exact"/>
        <w:jc w:val="center"/>
        <w:rPr>
          <w:rFonts w:hint="default" w:ascii="Times New Roman" w:hAnsi="Times New Roman" w:cs="Times New Roman"/>
          <w:color w:val="auto"/>
          <w:highlight w:val="none"/>
          <w:u w:val="single"/>
        </w:rPr>
      </w:pPr>
    </w:p>
    <w:p>
      <w:pPr>
        <w:pageBreakBefore w:val="0"/>
        <w:kinsoku/>
        <w:wordWrap w:val="0"/>
        <w:bidi w:val="0"/>
        <w:spacing w:line="400" w:lineRule="exact"/>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u w:val="single"/>
        </w:rPr>
        <w:t xml:space="preserve">       </w:t>
      </w:r>
      <w:r>
        <w:rPr>
          <w:rFonts w:hint="default" w:ascii="Times New Roman" w:hAnsi="Times New Roman" w:eastAsia="黑体" w:cs="Times New Roman"/>
          <w:color w:val="auto"/>
          <w:sz w:val="28"/>
          <w:highlight w:val="none"/>
        </w:rPr>
        <w:t>年</w:t>
      </w:r>
      <w:r>
        <w:rPr>
          <w:rFonts w:hint="default" w:ascii="Times New Roman" w:hAnsi="Times New Roman" w:cs="Times New Roman"/>
          <w:color w:val="auto"/>
          <w:highlight w:val="none"/>
          <w:u w:val="single"/>
        </w:rPr>
        <w:t xml:space="preserve">       </w:t>
      </w:r>
      <w:r>
        <w:rPr>
          <w:rFonts w:hint="default" w:ascii="Times New Roman" w:hAnsi="Times New Roman" w:eastAsia="黑体" w:cs="Times New Roman"/>
          <w:color w:val="auto"/>
          <w:sz w:val="28"/>
          <w:highlight w:val="none"/>
        </w:rPr>
        <w:t>月</w:t>
      </w:r>
      <w:r>
        <w:rPr>
          <w:rFonts w:hint="default" w:ascii="Times New Roman" w:hAnsi="Times New Roman" w:cs="Times New Roman"/>
          <w:color w:val="auto"/>
          <w:highlight w:val="none"/>
          <w:u w:val="single"/>
        </w:rPr>
        <w:t xml:space="preserve">       </w:t>
      </w:r>
      <w:r>
        <w:rPr>
          <w:rFonts w:hint="default" w:ascii="Times New Roman" w:hAnsi="Times New Roman" w:eastAsia="黑体" w:cs="Times New Roman"/>
          <w:color w:val="auto"/>
          <w:sz w:val="28"/>
          <w:highlight w:val="none"/>
        </w:rPr>
        <w:t>日</w:t>
      </w:r>
      <w:r>
        <w:rPr>
          <w:rFonts w:hint="default" w:ascii="Times New Roman" w:hAnsi="Times New Roman" w:cs="Times New Roman"/>
          <w:color w:val="auto"/>
          <w:highlight w:val="none"/>
        </w:rPr>
        <w:br w:type="page"/>
      </w:r>
    </w:p>
    <w:p>
      <w:pPr>
        <w:pStyle w:val="3"/>
        <w:pageBreakBefore w:val="0"/>
        <w:kinsoku/>
        <w:wordWrap w:val="0"/>
        <w:bidi w:val="0"/>
        <w:jc w:val="center"/>
        <w:rPr>
          <w:rFonts w:hint="default" w:ascii="Times New Roman" w:hAnsi="Times New Roman" w:cs="Times New Roman"/>
          <w:color w:val="auto"/>
          <w:highlight w:val="none"/>
        </w:rPr>
      </w:pPr>
      <w:bookmarkStart w:id="682" w:name="_Toc1016"/>
      <w:r>
        <w:rPr>
          <w:rFonts w:hint="default" w:ascii="Times New Roman" w:hAnsi="Times New Roman" w:cs="Times New Roman"/>
          <w:color w:val="auto"/>
          <w:highlight w:val="none"/>
        </w:rPr>
        <w:t>目</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录</w:t>
      </w:r>
      <w:bookmarkEnd w:id="682"/>
    </w:p>
    <w:p>
      <w:pPr>
        <w:pageBreakBefore w:val="0"/>
        <w:kinsoku/>
        <w:wordWrap w:val="0"/>
        <w:bidi w:val="0"/>
        <w:spacing w:line="540" w:lineRule="exact"/>
        <w:rPr>
          <w:rFonts w:hint="default" w:ascii="Times New Roman" w:hAnsi="Times New Roman" w:cs="Times New Roman"/>
          <w:color w:val="auto"/>
          <w:highlight w:val="none"/>
        </w:rPr>
      </w:pPr>
    </w:p>
    <w:p>
      <w:pPr>
        <w:pageBreakBefore w:val="0"/>
        <w:kinsoku/>
        <w:wordWrap w:val="0"/>
        <w:bidi w:val="0"/>
        <w:spacing w:line="5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一、投标函</w:t>
      </w:r>
    </w:p>
    <w:p>
      <w:pPr>
        <w:pageBreakBefore w:val="0"/>
        <w:kinsoku/>
        <w:wordWrap w:val="0"/>
        <w:bidi w:val="0"/>
        <w:spacing w:line="54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二、</w:t>
      </w:r>
      <w:r>
        <w:rPr>
          <w:rFonts w:hint="default" w:ascii="Times New Roman" w:hAnsi="Times New Roman" w:cs="Times New Roman"/>
          <w:color w:val="auto"/>
          <w:sz w:val="24"/>
          <w:szCs w:val="24"/>
          <w:highlight w:val="none"/>
          <w:lang w:val="en-US" w:eastAsia="zh-CN"/>
        </w:rPr>
        <w:t>分项报价表</w:t>
      </w:r>
    </w:p>
    <w:p>
      <w:pPr>
        <w:pageBreakBefore w:val="0"/>
        <w:kinsoku/>
        <w:wordWrap w:val="0"/>
        <w:bidi w:val="0"/>
        <w:spacing w:line="540" w:lineRule="exact"/>
        <w:rPr>
          <w:rFonts w:hint="default" w:ascii="Times New Roman" w:hAnsi="Times New Roman" w:eastAsia="黑体" w:cs="Times New Roman"/>
          <w:color w:val="auto"/>
          <w:sz w:val="20"/>
          <w:highlight w:val="none"/>
        </w:rPr>
      </w:pPr>
    </w:p>
    <w:p>
      <w:pPr>
        <w:keepNext/>
        <w:topLinePunct/>
        <w:adjustRightInd w:val="0"/>
        <w:spacing w:line="440" w:lineRule="exact"/>
        <w:jc w:val="center"/>
        <w:textAlignment w:val="baseline"/>
        <w:outlineLvl w:val="1"/>
        <w:rPr>
          <w:rFonts w:hint="default" w:ascii="Times New Roman" w:hAnsi="Times New Roman" w:eastAsia="黑体" w:cs="Times New Roman"/>
          <w:color w:val="auto"/>
          <w:kern w:val="0"/>
          <w:sz w:val="28"/>
          <w:szCs w:val="20"/>
          <w:highlight w:val="none"/>
        </w:rPr>
        <w:sectPr>
          <w:headerReference r:id="rId12" w:type="even"/>
          <w:footnotePr>
            <w:numFmt w:val="decimalEnclosedCircleChinese"/>
            <w:numRestart w:val="eachPage"/>
          </w:footnotePr>
          <w:pgSz w:w="11905" w:h="16838"/>
          <w:pgMar w:top="1417" w:right="1417" w:bottom="1701" w:left="1417" w:header="850" w:footer="850" w:gutter="0"/>
          <w:pgNumType w:fmt="decimal"/>
          <w:cols w:space="720" w:num="1"/>
          <w:docGrid w:linePitch="312" w:charSpace="0"/>
        </w:sectPr>
      </w:pPr>
    </w:p>
    <w:p>
      <w:pPr>
        <w:keepNext/>
        <w:topLinePunct/>
        <w:adjustRightInd w:val="0"/>
        <w:spacing w:before="143" w:beforeLines="50" w:after="143" w:afterLines="50" w:line="240" w:lineRule="auto"/>
        <w:jc w:val="center"/>
        <w:textAlignment w:val="baseline"/>
        <w:outlineLvl w:val="1"/>
        <w:rPr>
          <w:rFonts w:hint="default" w:ascii="Times New Roman" w:hAnsi="Times New Roman" w:eastAsia="黑体" w:cs="Times New Roman"/>
          <w:bCs/>
          <w:color w:val="auto"/>
          <w:kern w:val="0"/>
          <w:sz w:val="24"/>
          <w:highlight w:val="none"/>
        </w:rPr>
      </w:pPr>
      <w:bookmarkStart w:id="683" w:name="_Toc31377"/>
      <w:r>
        <w:rPr>
          <w:rFonts w:hint="default" w:ascii="Times New Roman" w:hAnsi="Times New Roman" w:eastAsia="黑体" w:cs="Times New Roman"/>
          <w:color w:val="auto"/>
          <w:kern w:val="0"/>
          <w:sz w:val="28"/>
          <w:szCs w:val="20"/>
          <w:highlight w:val="none"/>
        </w:rPr>
        <w:t>一、投标函</w:t>
      </w:r>
      <w:bookmarkEnd w:id="683"/>
    </w:p>
    <w:p>
      <w:pPr>
        <w:spacing w:line="440" w:lineRule="exact"/>
        <w:rPr>
          <w:rFonts w:hint="default" w:ascii="Times New Roman" w:hAnsi="Times New Roman" w:cs="Times New Roman"/>
          <w:color w:val="auto"/>
          <w:szCs w:val="21"/>
          <w:highlight w:val="none"/>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Cs w:val="21"/>
          <w:highlight w:val="none"/>
        </w:rPr>
        <w:t>（招标人名称）：</w:t>
      </w:r>
    </w:p>
    <w:p>
      <w:pPr>
        <w:spacing w:line="440" w:lineRule="exact"/>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1．我方已仔细研究了</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（项目名称）</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（标段名称）采购招标项目</w:t>
      </w:r>
      <w:r>
        <w:rPr>
          <w:rFonts w:hint="default" w:ascii="Times New Roman" w:hAnsi="Times New Roman" w:cs="Times New Roman"/>
          <w:color w:val="auto"/>
          <w:szCs w:val="21"/>
          <w:highlight w:val="none"/>
        </w:rPr>
        <w:t>招标文件的全部内容（含补遗书第___号至第___号），愿意以人民币（大写）</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Cs w:val="21"/>
          <w:highlight w:val="none"/>
        </w:rPr>
        <w:t>（¥</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Cs w:val="21"/>
          <w:highlight w:val="none"/>
        </w:rPr>
        <w:t>）的投标总报价（其中，增值税税率为</w:t>
      </w:r>
      <w:r>
        <w:rPr>
          <w:rFonts w:hint="default" w:ascii="Times New Roman" w:hAnsi="Times New Roman" w:eastAsia="黑体" w:cs="Times New Roman"/>
          <w:color w:val="auto"/>
          <w:sz w:val="28"/>
          <w:highlight w:val="none"/>
          <w:u w:val="single"/>
        </w:rPr>
        <w:t xml:space="preserve">         </w:t>
      </w:r>
      <w:r>
        <w:rPr>
          <w:rFonts w:hint="default" w:ascii="Times New Roman" w:hAnsi="Times New Roman" w:eastAsia="宋体" w:cs="Times New Roman"/>
          <w:color w:val="auto"/>
          <w:sz w:val="28"/>
          <w:highlight w:val="none"/>
          <w:lang w:val="en-US" w:eastAsia="zh-CN"/>
        </w:rPr>
        <w:t>）</w:t>
      </w:r>
      <w:r>
        <w:rPr>
          <w:rFonts w:hint="default" w:ascii="Times New Roman" w:hAnsi="Times New Roman" w:cs="Times New Roman"/>
          <w:color w:val="auto"/>
          <w:szCs w:val="21"/>
          <w:highlight w:val="none"/>
        </w:rPr>
        <w:t>提供</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Cs w:val="21"/>
          <w:highlight w:val="none"/>
        </w:rPr>
        <w:t>（设备名称及技术服务和质保期服务）</w:t>
      </w:r>
      <w:r>
        <w:rPr>
          <w:rFonts w:hint="default" w:ascii="Times New Roman" w:hAnsi="Times New Roman" w:cs="Times New Roman"/>
          <w:color w:val="auto"/>
          <w:szCs w:val="21"/>
          <w:highlight w:val="none"/>
          <w:lang w:val="en-US" w:eastAsia="zh-CN"/>
        </w:rPr>
        <w:t>/</w:t>
      </w:r>
      <w:r>
        <w:rPr>
          <w:rFonts w:hint="default" w:ascii="Times New Roman" w:hAnsi="Times New Roman" w:cs="Times New Roman"/>
          <w:color w:val="auto"/>
          <w:szCs w:val="21"/>
          <w:highlight w:val="none"/>
        </w:rPr>
        <w:t>（材料名称及相关服务），并按合同约定履行义务。</w:t>
      </w:r>
    </w:p>
    <w:p>
      <w:pPr>
        <w:spacing w:line="440" w:lineRule="exact"/>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 我方的投标文件</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lang w:val="en-US" w:eastAsia="zh-CN"/>
        </w:rPr>
        <w:t>第二个信封  报价文件</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包括下列内容：</w:t>
      </w:r>
    </w:p>
    <w:p>
      <w:pPr>
        <w:spacing w:line="400" w:lineRule="exact"/>
        <w:ind w:firstLine="405"/>
        <w:rPr>
          <w:rFonts w:hint="default" w:ascii="Times New Roman" w:hAnsi="Times New Roman" w:cs="Times New Roman"/>
          <w:color w:val="auto"/>
          <w:highlight w:val="none"/>
        </w:rPr>
      </w:pPr>
      <w:r>
        <w:rPr>
          <w:rFonts w:hint="default" w:ascii="Times New Roman" w:hAnsi="Times New Roman" w:cs="Times New Roman"/>
          <w:color w:val="auto"/>
          <w:highlight w:val="none"/>
        </w:rPr>
        <w:t>（1）投标函；</w:t>
      </w:r>
    </w:p>
    <w:p>
      <w:pPr>
        <w:spacing w:line="400" w:lineRule="exact"/>
        <w:ind w:firstLine="405"/>
        <w:rPr>
          <w:rFonts w:hint="default" w:ascii="Times New Roman" w:hAnsi="Times New Roman" w:cs="Times New Roman"/>
          <w:color w:val="auto"/>
          <w:highlight w:val="none"/>
        </w:rPr>
      </w:pPr>
      <w:r>
        <w:rPr>
          <w:rFonts w:hint="default" w:ascii="Times New Roman" w:hAnsi="Times New Roman" w:cs="Times New Roman"/>
          <w:color w:val="auto"/>
          <w:highlight w:val="none"/>
        </w:rPr>
        <w:t>（2）分项报价表；</w:t>
      </w:r>
    </w:p>
    <w:p>
      <w:pPr>
        <w:spacing w:line="400" w:lineRule="exact"/>
        <w:ind w:firstLine="405"/>
        <w:rPr>
          <w:rFonts w:hint="default" w:ascii="Times New Roman" w:hAnsi="Times New Roman" w:cs="Times New Roman"/>
          <w:color w:val="auto"/>
          <w:sz w:val="22"/>
          <w:highlight w:val="none"/>
        </w:rPr>
      </w:pPr>
      <w:r>
        <w:rPr>
          <w:rFonts w:hint="default" w:ascii="Times New Roman" w:hAnsi="Times New Roman" w:cs="Times New Roman"/>
          <w:color w:val="auto"/>
          <w:highlight w:val="none"/>
        </w:rPr>
        <w:t>……</w:t>
      </w:r>
    </w:p>
    <w:p>
      <w:pPr>
        <w:spacing w:line="440" w:lineRule="exact"/>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3</w:t>
      </w:r>
      <w:r>
        <w:rPr>
          <w:rFonts w:hint="default" w:ascii="Times New Roman" w:hAnsi="Times New Roman" w:cs="Times New Roman"/>
          <w:color w:val="auto"/>
          <w:szCs w:val="21"/>
          <w:highlight w:val="none"/>
        </w:rPr>
        <w:t>．在合同协议书正式签署生效之前，本投标函连同你方的中标通知书将构成我们双方之间共同遵守的文件，对双方具有约束力</w:t>
      </w:r>
      <w:r>
        <w:rPr>
          <w:rFonts w:hint="default" w:ascii="Times New Roman" w:hAnsi="Times New Roman" w:cs="Times New Roman"/>
          <w:color w:val="auto"/>
          <w:highlight w:val="none"/>
        </w:rPr>
        <w:t>。</w:t>
      </w:r>
    </w:p>
    <w:p>
      <w:pPr>
        <w:spacing w:line="440" w:lineRule="exact"/>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4</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rPr>
        <w:tab/>
      </w:r>
      <w:r>
        <w:rPr>
          <w:rFonts w:hint="default" w:ascii="Times New Roman" w:hAnsi="Times New Roman" w:cs="Times New Roman"/>
          <w:color w:val="auto"/>
          <w:szCs w:val="21"/>
          <w:highlight w:val="none"/>
        </w:rPr>
        <w:t>（其他补充说明）。</w:t>
      </w:r>
    </w:p>
    <w:p>
      <w:pPr>
        <w:spacing w:line="440" w:lineRule="exact"/>
        <w:ind w:firstLine="480" w:firstLineChars="200"/>
        <w:rPr>
          <w:rFonts w:hint="default" w:ascii="Times New Roman" w:hAnsi="Times New Roman" w:cs="Times New Roman"/>
          <w:color w:val="auto"/>
          <w:szCs w:val="21"/>
          <w:highlight w:val="none"/>
        </w:rPr>
      </w:pPr>
    </w:p>
    <w:p>
      <w:pPr>
        <w:spacing w:line="440" w:lineRule="exact"/>
        <w:ind w:firstLine="1680" w:firstLineChars="7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 标 人：</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rPr>
        <w:tab/>
      </w:r>
      <w:r>
        <w:rPr>
          <w:rFonts w:hint="default" w:ascii="Times New Roman" w:hAnsi="Times New Roman" w:cs="Times New Roman"/>
          <w:color w:val="auto"/>
          <w:szCs w:val="21"/>
          <w:highlight w:val="none"/>
        </w:rPr>
        <w:t>（盖单位</w:t>
      </w:r>
      <w:r>
        <w:rPr>
          <w:rFonts w:hint="default" w:ascii="Times New Roman" w:hAnsi="Times New Roman" w:cs="Times New Roman"/>
          <w:color w:val="auto"/>
          <w:szCs w:val="21"/>
          <w:highlight w:val="none"/>
          <w:lang w:val="en-US" w:eastAsia="zh-CN"/>
        </w:rPr>
        <w:t>电子印</w:t>
      </w:r>
      <w:r>
        <w:rPr>
          <w:rFonts w:hint="default" w:ascii="Times New Roman" w:hAnsi="Times New Roman" w:cs="Times New Roman"/>
          <w:color w:val="auto"/>
          <w:szCs w:val="21"/>
          <w:highlight w:val="none"/>
        </w:rPr>
        <w:t>章）</w:t>
      </w:r>
    </w:p>
    <w:p>
      <w:pPr>
        <w:spacing w:line="44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 xml:space="preserve">          法定代表人</w:t>
      </w:r>
      <w:r>
        <w:rPr>
          <w:rFonts w:hint="default" w:ascii="Times New Roman" w:hAnsi="Times New Roman" w:cs="Times New Roman"/>
          <w:color w:val="auto"/>
          <w:szCs w:val="21"/>
          <w:highlight w:val="none"/>
        </w:rPr>
        <w:t>或其委托代理人：</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rPr>
        <w:tab/>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lang w:val="en-US" w:eastAsia="zh-CN"/>
        </w:rPr>
        <w:t>个人电子签名或电子印章</w:t>
      </w:r>
      <w:r>
        <w:rPr>
          <w:rFonts w:hint="default" w:ascii="Times New Roman" w:hAnsi="Times New Roman" w:cs="Times New Roman"/>
          <w:color w:val="auto"/>
          <w:szCs w:val="21"/>
          <w:highlight w:val="none"/>
        </w:rPr>
        <w:t>）</w:t>
      </w:r>
    </w:p>
    <w:p>
      <w:pPr>
        <w:spacing w:line="440" w:lineRule="exact"/>
        <w:ind w:firstLine="1680" w:firstLineChars="7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    址：</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rPr>
        <w:tab/>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rPr>
        <w:tab/>
      </w:r>
    </w:p>
    <w:p>
      <w:pPr>
        <w:spacing w:line="440" w:lineRule="exact"/>
        <w:ind w:firstLine="1680" w:firstLineChars="7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网    址：</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rPr>
        <w:tab/>
      </w:r>
      <w:r>
        <w:rPr>
          <w:rFonts w:hint="default" w:ascii="Times New Roman" w:hAnsi="Times New Roman" w:cs="Times New Roman"/>
          <w:color w:val="auto"/>
          <w:szCs w:val="21"/>
          <w:highlight w:val="none"/>
          <w:u w:val="single"/>
        </w:rPr>
        <w:t xml:space="preserve">    </w:t>
      </w:r>
    </w:p>
    <w:p>
      <w:pPr>
        <w:spacing w:line="440" w:lineRule="exact"/>
        <w:ind w:firstLine="1680" w:firstLineChars="7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电    话：</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rPr>
        <w:tab/>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ab/>
      </w:r>
      <w:r>
        <w:rPr>
          <w:rFonts w:hint="default" w:ascii="Times New Roman" w:hAnsi="Times New Roman" w:cs="Times New Roman"/>
          <w:color w:val="auto"/>
          <w:szCs w:val="21"/>
          <w:highlight w:val="none"/>
          <w:u w:val="single"/>
        </w:rPr>
        <w:t xml:space="preserve">    </w:t>
      </w:r>
    </w:p>
    <w:p>
      <w:pPr>
        <w:spacing w:line="440" w:lineRule="exact"/>
        <w:ind w:firstLine="1680" w:firstLineChars="7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传    真：</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rPr>
        <w:tab/>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p>
    <w:p>
      <w:pPr>
        <w:spacing w:line="440" w:lineRule="exact"/>
        <w:ind w:firstLine="1680" w:firstLineChars="7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邮政编码：</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rPr>
        <w:tab/>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lang w:val="en-US" w:eastAsia="zh-CN"/>
        </w:rPr>
        <w:t xml:space="preserve">   </w:t>
      </w:r>
      <w:r>
        <w:rPr>
          <w:rFonts w:hint="default" w:ascii="Times New Roman" w:hAnsi="Times New Roman" w:cs="Times New Roman"/>
          <w:color w:val="auto"/>
          <w:szCs w:val="21"/>
          <w:highlight w:val="none"/>
          <w:u w:val="single"/>
        </w:rPr>
        <w:t xml:space="preserve">      </w:t>
      </w:r>
    </w:p>
    <w:p>
      <w:pPr>
        <w:spacing w:line="440" w:lineRule="exact"/>
        <w:ind w:firstLine="5400" w:firstLineChars="2250"/>
        <w:jc w:val="center"/>
        <w:rPr>
          <w:rFonts w:hint="default" w:ascii="Times New Roman" w:hAnsi="Times New Roman" w:cs="Times New Roman"/>
          <w:color w:val="auto"/>
          <w:szCs w:val="21"/>
          <w:highlight w:val="none"/>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Cs w:val="21"/>
          <w:highlight w:val="none"/>
        </w:rPr>
        <w:t>年</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Cs w:val="21"/>
          <w:highlight w:val="none"/>
        </w:rPr>
        <w:t>月</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szCs w:val="21"/>
          <w:highlight w:val="none"/>
        </w:rPr>
        <w:t>日</w:t>
      </w:r>
    </w:p>
    <w:p>
      <w:pPr>
        <w:spacing w:line="240" w:lineRule="auto"/>
        <w:ind w:firstLine="0" w:firstLineChars="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br w:type="page"/>
      </w:r>
    </w:p>
    <w:p>
      <w:pPr>
        <w:pStyle w:val="3"/>
        <w:spacing w:before="143" w:beforeLines="50" w:after="143" w:afterLines="50" w:line="240" w:lineRule="auto"/>
        <w:jc w:val="center"/>
        <w:outlineLvl w:val="1"/>
        <w:rPr>
          <w:rFonts w:hint="default" w:ascii="Times New Roman" w:hAnsi="Times New Roman" w:eastAsia="黑体" w:cs="Times New Roman"/>
          <w:b w:val="0"/>
          <w:color w:val="auto"/>
          <w:kern w:val="0"/>
          <w:sz w:val="28"/>
          <w:szCs w:val="20"/>
          <w:highlight w:val="none"/>
          <w:lang w:val="en-US" w:eastAsia="zh-CN" w:bidi="ar-SA"/>
        </w:rPr>
      </w:pPr>
      <w:bookmarkStart w:id="684" w:name="_Toc10236"/>
      <w:r>
        <w:rPr>
          <w:rFonts w:hint="default" w:ascii="Times New Roman" w:hAnsi="Times New Roman" w:cs="Times New Roman"/>
          <w:b w:val="0"/>
          <w:color w:val="auto"/>
          <w:kern w:val="0"/>
          <w:sz w:val="28"/>
          <w:szCs w:val="20"/>
          <w:highlight w:val="none"/>
          <w:lang w:val="en-US" w:eastAsia="zh-CN"/>
        </w:rPr>
        <w:t>二</w:t>
      </w:r>
      <w:r>
        <w:rPr>
          <w:rFonts w:hint="default" w:ascii="Times New Roman" w:hAnsi="Times New Roman" w:eastAsia="黑体" w:cs="Times New Roman"/>
          <w:b w:val="0"/>
          <w:color w:val="auto"/>
          <w:kern w:val="0"/>
          <w:sz w:val="28"/>
          <w:szCs w:val="20"/>
          <w:highlight w:val="none"/>
          <w:lang w:val="en-US" w:eastAsia="zh-CN" w:bidi="ar-SA"/>
        </w:rPr>
        <w:t>、</w:t>
      </w:r>
      <w:r>
        <w:rPr>
          <w:rFonts w:hint="default" w:ascii="Times New Roman" w:hAnsi="Times New Roman" w:cs="Times New Roman"/>
          <w:b w:val="0"/>
          <w:color w:val="auto"/>
          <w:kern w:val="0"/>
          <w:sz w:val="28"/>
          <w:szCs w:val="20"/>
          <w:highlight w:val="none"/>
          <w:lang w:val="en-US" w:eastAsia="zh-CN"/>
        </w:rPr>
        <w:t>分项报价表</w:t>
      </w:r>
      <w:bookmarkEnd w:id="684"/>
    </w:p>
    <w:p>
      <w:pPr>
        <w:snapToGrid w:val="0"/>
        <w:spacing w:line="440" w:lineRule="atLeast"/>
        <w:ind w:firstLine="540" w:firstLineChars="225"/>
        <w:rPr>
          <w:rFonts w:hint="default" w:ascii="Times New Roman" w:hAnsi="Times New Roman" w:cs="Times New Roman"/>
          <w:color w:val="auto"/>
          <w:sz w:val="24"/>
          <w:highlight w:val="none"/>
        </w:rPr>
      </w:pPr>
    </w:p>
    <w:p>
      <w:pPr>
        <w:spacing w:line="440" w:lineRule="exact"/>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 分项报价表说明</w:t>
      </w:r>
    </w:p>
    <w:p>
      <w:pPr>
        <w:spacing w:line="440" w:lineRule="exact"/>
        <w:ind w:firstLine="480" w:firstLineChars="200"/>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 分项报价表</w:t>
      </w:r>
    </w:p>
    <w:p>
      <w:pPr>
        <w:spacing w:line="440" w:lineRule="exact"/>
        <w:ind w:firstLine="480" w:firstLineChars="200"/>
        <w:jc w:val="righ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单位：人民币元</w:t>
      </w:r>
    </w:p>
    <w:tbl>
      <w:tblPr>
        <w:tblStyle w:val="30"/>
        <w:tblW w:w="8789" w:type="dxa"/>
        <w:tblInd w:w="108" w:type="dxa"/>
        <w:tblLayout w:type="fixed"/>
        <w:tblCellMar>
          <w:top w:w="0" w:type="dxa"/>
          <w:left w:w="108" w:type="dxa"/>
          <w:bottom w:w="0" w:type="dxa"/>
          <w:right w:w="108" w:type="dxa"/>
        </w:tblCellMar>
      </w:tblPr>
      <w:tblGrid>
        <w:gridCol w:w="709"/>
        <w:gridCol w:w="1559"/>
        <w:gridCol w:w="993"/>
        <w:gridCol w:w="1134"/>
        <w:gridCol w:w="1417"/>
        <w:gridCol w:w="1701"/>
        <w:gridCol w:w="1276"/>
      </w:tblGrid>
      <w:tr>
        <w:tblPrEx>
          <w:tblCellMar>
            <w:top w:w="0" w:type="dxa"/>
            <w:left w:w="108" w:type="dxa"/>
            <w:bottom w:w="0" w:type="dxa"/>
            <w:right w:w="108" w:type="dxa"/>
          </w:tblCellMar>
        </w:tblPrEx>
        <w:trPr>
          <w:trHeight w:val="405" w:hRule="atLeast"/>
        </w:trPr>
        <w:tc>
          <w:tcPr>
            <w:tcW w:w="709" w:type="dxa"/>
            <w:tcBorders>
              <w:top w:val="single" w:color="auto" w:sz="4" w:space="0"/>
              <w:left w:val="single" w:color="auto" w:sz="4" w:space="0"/>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序号</w:t>
            </w:r>
          </w:p>
        </w:tc>
        <w:tc>
          <w:tcPr>
            <w:tcW w:w="1559" w:type="dxa"/>
            <w:tcBorders>
              <w:top w:val="single" w:color="auto" w:sz="4" w:space="0"/>
              <w:left w:val="nil"/>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分项名称</w:t>
            </w:r>
          </w:p>
        </w:tc>
        <w:tc>
          <w:tcPr>
            <w:tcW w:w="993" w:type="dxa"/>
            <w:tcBorders>
              <w:top w:val="single" w:color="auto" w:sz="4" w:space="0"/>
              <w:left w:val="nil"/>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单位</w:t>
            </w:r>
          </w:p>
        </w:tc>
        <w:tc>
          <w:tcPr>
            <w:tcW w:w="1134" w:type="dxa"/>
            <w:tcBorders>
              <w:top w:val="single" w:color="auto" w:sz="4" w:space="0"/>
              <w:left w:val="nil"/>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数量</w:t>
            </w:r>
          </w:p>
        </w:tc>
        <w:tc>
          <w:tcPr>
            <w:tcW w:w="1417" w:type="dxa"/>
            <w:tcBorders>
              <w:top w:val="single" w:color="auto" w:sz="4" w:space="0"/>
              <w:left w:val="nil"/>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单价（元）</w:t>
            </w:r>
          </w:p>
        </w:tc>
        <w:tc>
          <w:tcPr>
            <w:tcW w:w="1701" w:type="dxa"/>
            <w:tcBorders>
              <w:top w:val="single" w:color="auto" w:sz="4" w:space="0"/>
              <w:left w:val="nil"/>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总价（元）</w:t>
            </w:r>
          </w:p>
        </w:tc>
        <w:tc>
          <w:tcPr>
            <w:tcW w:w="1276" w:type="dxa"/>
            <w:tcBorders>
              <w:top w:val="single" w:color="auto" w:sz="4" w:space="0"/>
              <w:left w:val="nil"/>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b/>
                <w:color w:val="auto"/>
                <w:kern w:val="0"/>
                <w:szCs w:val="21"/>
                <w:highlight w:val="none"/>
              </w:rPr>
            </w:pPr>
            <w:r>
              <w:rPr>
                <w:rFonts w:hint="default" w:ascii="Times New Roman" w:hAnsi="Times New Roman" w:cs="Times New Roman"/>
                <w:b/>
                <w:color w:val="auto"/>
                <w:kern w:val="0"/>
                <w:szCs w:val="21"/>
                <w:highlight w:val="none"/>
              </w:rPr>
              <w:t>备注</w:t>
            </w: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1559"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color w:val="auto"/>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color w:val="auto"/>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276"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1559"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color w:val="auto"/>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color w:val="auto"/>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276"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p>
        </w:tc>
        <w:tc>
          <w:tcPr>
            <w:tcW w:w="1559"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color w:val="auto"/>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color w:val="auto"/>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276"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w:t>
            </w:r>
          </w:p>
        </w:tc>
        <w:tc>
          <w:tcPr>
            <w:tcW w:w="1559"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276"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w:t>
            </w:r>
          </w:p>
        </w:tc>
        <w:tc>
          <w:tcPr>
            <w:tcW w:w="1559"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993" w:type="dxa"/>
            <w:tcBorders>
              <w:top w:val="single" w:color="auto" w:sz="4" w:space="0"/>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276"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405" w:hRule="atLeast"/>
        </w:trPr>
        <w:tc>
          <w:tcPr>
            <w:tcW w:w="709" w:type="dxa"/>
            <w:tcBorders>
              <w:top w:val="nil"/>
              <w:left w:val="single" w:color="auto" w:sz="4" w:space="0"/>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1559" w:type="dxa"/>
            <w:tcBorders>
              <w:top w:val="nil"/>
              <w:left w:val="nil"/>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w:t>
            </w:r>
          </w:p>
        </w:tc>
        <w:tc>
          <w:tcPr>
            <w:tcW w:w="993" w:type="dxa"/>
            <w:tcBorders>
              <w:top w:val="single" w:color="auto" w:sz="4" w:space="0"/>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134" w:type="dxa"/>
            <w:tcBorders>
              <w:top w:val="single" w:color="auto" w:sz="4" w:space="0"/>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417"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701"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276" w:type="dxa"/>
            <w:tcBorders>
              <w:top w:val="nil"/>
              <w:left w:val="nil"/>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r>
      <w:tr>
        <w:tblPrEx>
          <w:tblCellMar>
            <w:top w:w="0" w:type="dxa"/>
            <w:left w:w="108" w:type="dxa"/>
            <w:bottom w:w="0" w:type="dxa"/>
            <w:right w:w="108" w:type="dxa"/>
          </w:tblCellMar>
        </w:tblPrEx>
        <w:trPr>
          <w:trHeight w:val="405" w:hRule="atLeast"/>
        </w:trPr>
        <w:tc>
          <w:tcPr>
            <w:tcW w:w="5812" w:type="dxa"/>
            <w:gridSpan w:val="5"/>
            <w:tcBorders>
              <w:top w:val="single" w:color="auto" w:sz="4" w:space="0"/>
              <w:left w:val="single" w:color="auto" w:sz="4" w:space="0"/>
              <w:bottom w:val="single" w:color="auto" w:sz="4" w:space="0"/>
              <w:right w:val="single" w:color="auto" w:sz="4" w:space="0"/>
            </w:tcBorders>
            <w:vAlign w:val="center"/>
          </w:tcPr>
          <w:p>
            <w:pPr>
              <w:widowControl/>
              <w:ind w:firstLine="0" w:firstLineChars="0"/>
              <w:jc w:val="center"/>
              <w:rPr>
                <w:rFonts w:hint="default" w:ascii="Times New Roman" w:hAnsi="Times New Roman" w:cs="Times New Roman"/>
                <w:color w:val="auto"/>
                <w:kern w:val="0"/>
                <w:szCs w:val="21"/>
                <w:highlight w:val="none"/>
              </w:rPr>
            </w:pPr>
            <w:r>
              <w:rPr>
                <w:rFonts w:hint="default" w:ascii="Times New Roman" w:hAnsi="Times New Roman" w:cs="Times New Roman"/>
                <w:b/>
                <w:color w:val="auto"/>
                <w:kern w:val="0"/>
                <w:szCs w:val="21"/>
                <w:highlight w:val="none"/>
              </w:rPr>
              <w:t>合计报价</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cs="Times New Roman"/>
                <w:color w:val="auto"/>
                <w:kern w:val="0"/>
                <w:szCs w:val="21"/>
                <w:highlight w:val="none"/>
              </w:rPr>
            </w:pPr>
          </w:p>
        </w:tc>
      </w:tr>
    </w:tbl>
    <w:p>
      <w:pPr>
        <w:spacing w:line="440" w:lineRule="exact"/>
        <w:ind w:firstLine="0" w:firstLineChars="0"/>
        <w:jc w:val="both"/>
        <w:rPr>
          <w:rFonts w:hint="default" w:ascii="Times New Roman" w:hAnsi="Times New Roman" w:cs="Times New Roman"/>
          <w:color w:val="auto"/>
          <w:szCs w:val="21"/>
          <w:highlight w:val="none"/>
        </w:rPr>
      </w:pPr>
    </w:p>
    <w:p>
      <w:pPr>
        <w:spacing w:line="440" w:lineRule="exact"/>
        <w:rPr>
          <w:rFonts w:hint="default" w:ascii="Times New Roman" w:hAnsi="Times New Roman" w:cs="Times New Roman"/>
          <w:color w:val="auto"/>
          <w:szCs w:val="21"/>
          <w:highlight w:val="none"/>
        </w:rPr>
      </w:pPr>
    </w:p>
    <w:p>
      <w:pPr>
        <w:wordWrap w:val="0"/>
        <w:spacing w:line="400" w:lineRule="exact"/>
        <w:jc w:val="center"/>
        <w:outlineLvl w:val="9"/>
        <w:rPr>
          <w:rFonts w:hint="default" w:ascii="Times New Roman" w:hAnsi="Times New Roman" w:eastAsia="黑体" w:cs="Times New Roman"/>
          <w:color w:val="auto"/>
          <w:kern w:val="0"/>
          <w:sz w:val="28"/>
          <w:szCs w:val="20"/>
          <w:highlight w:val="none"/>
          <w:lang w:val="en-US" w:eastAsia="zh-CN"/>
        </w:rPr>
      </w:pPr>
    </w:p>
    <w:sectPr>
      <w:footnotePr>
        <w:numFmt w:val="decimalEnclosedCircleChinese"/>
        <w:numRestart w:val="eachPage"/>
      </w:footnotePr>
      <w:pgSz w:w="11906" w:h="16838"/>
      <w:pgMar w:top="1417" w:right="1417" w:bottom="1417" w:left="1417" w:header="720" w:footer="720" w:gutter="0"/>
      <w:pgNumType w:fmt="decimal"/>
      <w:cols w:space="720" w:num="1"/>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方正姚体">
    <w:altName w:val="方正姚体_GBK"/>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S Gothic">
    <w:altName w:val="楷体_GB2312"/>
    <w:panose1 w:val="020B0609070205080204"/>
    <w:charset w:val="80"/>
    <w:family w:val="modern"/>
    <w:pitch w:val="default"/>
    <w:sig w:usb0="00000000" w:usb1="00000000" w:usb2="08000012" w:usb3="00000000" w:csb0="4002009F" w:csb1="DFD70000"/>
  </w:font>
  <w:font w:name="隶书">
    <w:altName w:val="宋体"/>
    <w:panose1 w:val="02010509060101010101"/>
    <w:charset w:val="86"/>
    <w:family w:val="modern"/>
    <w:pitch w:val="default"/>
    <w:sig w:usb0="00000000" w:usb1="00000000" w:usb2="00000000" w:usb3="00000000" w:csb0="00040000" w:csb1="00000000"/>
  </w:font>
  <w:font w:name="经典粗黑简">
    <w:altName w:val="方正黑体_GBK"/>
    <w:panose1 w:val="00000000000000000000"/>
    <w:charset w:val="86"/>
    <w:family w:val="modern"/>
    <w:pitch w:val="default"/>
    <w:sig w:usb0="00000000" w:usb1="00000000" w:usb2="0000001E" w:usb3="00000000" w:csb0="00040000" w:csb1="00000000"/>
  </w:font>
  <w:font w:name="方正姚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方正宋体S-超大字符集">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jc w:val="center"/>
                          </w:pPr>
                          <w:r>
                            <w:fldChar w:fldCharType="begin"/>
                          </w:r>
                          <w:r>
                            <w:instrText xml:space="preserve"> PAGE   \* MERGEFORMAT </w:instrText>
                          </w:r>
                          <w:r>
                            <w:fldChar w:fldCharType="separate"/>
                          </w:r>
                          <w:r>
                            <w:rPr>
                              <w:lang w:val="zh-CN"/>
                            </w:rPr>
                            <w:t>79</w:t>
                          </w:r>
                          <w:r>
                            <w:rPr>
                              <w:lang w:val="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ry2DMHAIAACkEAAAOAAAAZHJz&#10;L2Uyb0RvYy54bWytU82O0zAQviPxDpbvNGkRq27VdFV2VYRUsSsVxNl1nCaS/2S7TcoDwBtw4sKd&#10;5+pz8NlNWgScEBd7xjOen2++md91SpKDcL4xuqDjUU6J0NyUjd4V9MP71YspJT4wXTJptCjoUXh6&#10;t3j+bN7amZiY2shSOIIg2s9aW9A6BDvLMs9roZgfGSs0jJVxigWobpeVjrWIrmQ2yfObrDWutM5w&#10;4T1eH85Gukjxq0rw8FhVXgQiC4raQjpdOrfxzBZzNts5ZuuG92Wwf6hCsUYj6SXUAwuM7F3zRyjV&#10;cGe8qcKIG5WZqmq4SD2gm3H+WzebmlmRegE43l5g8v8vLH93eHKkKQt6S4lmCiM6ff1y+vbj9P0z&#10;uY3wtNbP4LWx8Avda9MVNLi9GEwe77HxrnIq3miJwAVYHy/4ii4QjsfxdDKd5jBx2AYFKbLrd+t8&#10;eCOMIlEoqMMAE67ssPbh7Dq4xGzarBop0xClJm1Bb16+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K8tgzBwCAAApBAAADgAAAAAAAAABACAAAAA1AQAAZHJzL2Uyb0RvYy54bWxQSwUG&#10;AAAAAAYABgBZAQAAwwUAAAAA&#10;">
              <v:fill on="f" focussize="0,0"/>
              <v:stroke on="f" weight="0.5pt"/>
              <v:imagedata o:title=""/>
              <o:lock v:ext="edit" aspectratio="f"/>
              <v:textbox inset="0mm,0mm,0mm,0mm" style="mso-fit-shape-to-text:t;">
                <w:txbxContent>
                  <w:p>
                    <w:pPr>
                      <w:pStyle w:val="18"/>
                      <w:jc w:val="center"/>
                    </w:pPr>
                    <w:r>
                      <w:fldChar w:fldCharType="begin"/>
                    </w:r>
                    <w:r>
                      <w:instrText xml:space="preserve"> PAGE   \* MERGEFORMAT </w:instrText>
                    </w:r>
                    <w:r>
                      <w:fldChar w:fldCharType="separate"/>
                    </w:r>
                    <w:r>
                      <w:rPr>
                        <w:lang w:val="zh-CN"/>
                      </w:rPr>
                      <w:t>79</w:t>
                    </w:r>
                    <w:r>
                      <w:rPr>
                        <w:lang w:val="zh-CN"/>
                      </w:rPr>
                      <w:fldChar w:fldCharType="end"/>
                    </w:r>
                  </w:p>
                </w:txbxContent>
              </v:textbox>
            </v:shape>
          </w:pict>
        </mc:Fallback>
      </mc:AlternateContent>
    </w:r>
  </w:p>
  <w:p>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jc w:val="center"/>
                          </w:pPr>
                          <w:r>
                            <w:fldChar w:fldCharType="begin"/>
                          </w:r>
                          <w:r>
                            <w:instrText xml:space="preserve">PAGE   \* MERGEFORMAT</w:instrText>
                          </w:r>
                          <w:r>
                            <w:fldChar w:fldCharType="separate"/>
                          </w:r>
                          <w:r>
                            <w:rPr>
                              <w:lang w:val="zh-CN"/>
                            </w:rPr>
                            <w:t>13</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pStyle w:val="18"/>
                      <w:jc w:val="center"/>
                    </w:pPr>
                    <w:r>
                      <w:fldChar w:fldCharType="begin"/>
                    </w:r>
                    <w:r>
                      <w:instrText xml:space="preserve">PAGE   \* MERGEFORMAT</w:instrText>
                    </w:r>
                    <w:r>
                      <w:fldChar w:fldCharType="separate"/>
                    </w:r>
                    <w:r>
                      <w:rPr>
                        <w:lang w:val="zh-CN"/>
                      </w:rPr>
                      <w:t>13</w:t>
                    </w:r>
                    <w:r>
                      <w:fldChar w:fldCharType="end"/>
                    </w:r>
                  </w:p>
                </w:txbxContent>
              </v:textbox>
            </v:shape>
          </w:pict>
        </mc:Fallback>
      </mc:AlternateContent>
    </w:r>
  </w:p>
  <w:p>
    <w:pPr>
      <w:pStyle w:val="18"/>
      <w:spacing w:line="240" w:lineRule="exact"/>
      <w:ind w:right="360" w:firstLine="360"/>
      <w:jc w:val="center"/>
      <w:rPr>
        <w:rFonts w:hint="eastAsia" w:eastAsia="黑体"/>
        <w:sz w:val="17"/>
        <w:szCs w:val="17"/>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line="240" w:lineRule="exact"/>
      <w:ind w:right="360" w:firstLine="360"/>
      <w:jc w:val="center"/>
      <w:rPr>
        <w:rFonts w:hint="eastAsia" w:eastAsia="黑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18"/>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4LwR/IwIAADkEAAAOAAAAZHJz&#10;L2Uyb0RvYy54bWytU82O0zAQviPxDpbvNGkXVlXVdFV2VYRUsSsVxNl1nCaS/2S7TcoDwBtw4sKd&#10;5+pz8NlNWgScEBd7xjOen++bmd91SpKDcL4xuqDjUU6J0NyUjd4V9MP71YspJT4wXTJptCjoUXh6&#10;t3j+bN7amZiY2shSOIIg2s9aW9A6BDvLMs9roZgfGSs0jJVxigWobpeVjrWIrmQ2yfPbrDWutM5w&#10;4T1eH85Gukjxq0rw8FhVXgQiC4raQjpdOrfxzBZzNts5ZuuG92Wwf6hCsUYj6SXUAwuM7F3zRyjV&#10;cGe8qcKIG5WZqmq4SD2gm3H+WzebmlmRegE43l5g8v8vLH93eHKkKQv68oYSzRQ4On39cvr24/T9&#10;M8EbAGqtn8FvY+EZutemK2hwezGYPN5j613lVLzRFIEL0D5eEBZdIByP4+lkOs1h4rANClJk1+/W&#10;+fBGGEWiUFAHChOy7LD24ew6uMRs2qwaKRONUpO2oLc3r/L04WJBcKmjr0gD0YeJXZ1Lj1Lotl3f&#10;6taUR3TqzHlYvOWrBqWsmQ9PzGE6UD4mPjziqKRBStNLlNTGffrbe/QHabBS0mLaCqqxDpTItxpk&#10;xsEcBDcI20HQe3VvML5jbJLlScQHF+QgVs6oj1iDZcxRMekRmGmObCBqEO8DtN6IdeJiubzoe+ua&#10;XX39jNG0LKz1xvKe6oiet8t9ANqJhIjZGSiQFxXMZ6Kx36W4AL/qyeu68Yu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s0lY7tAAAAAFAQAADwAAAAAAAAABACAAAAA4AAAAZHJzL2Rvd25yZXYueG1s&#10;UEsBAhQAFAAAAAgAh07iQPgvBH8jAgAAOQQAAA4AAAAAAAAAAQAgAAAANQEAAGRycy9lMm9Eb2Mu&#10;eG1sUEsFBgAAAAAGAAYAWQEAAMoFA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2">
    <w:p>
      <w:pPr>
        <w:ind w:firstLine="480"/>
      </w:pPr>
      <w:r>
        <w:separator/>
      </w:r>
    </w:p>
  </w:footnote>
  <w:footnote w:type="continuationSeparator" w:id="63">
    <w:p>
      <w:pPr>
        <w:ind w:firstLine="480"/>
      </w:pPr>
      <w:r>
        <w:continuationSeparator/>
      </w:r>
    </w:p>
  </w:footnote>
  <w:footnote w:id="0">
    <w:p>
      <w:pPr>
        <w:pStyle w:val="22"/>
        <w:spacing w:line="320" w:lineRule="atLeast"/>
        <w:ind w:left="180" w:hanging="180" w:hangingChars="100"/>
        <w:jc w:val="both"/>
        <w:rPr>
          <w:rFonts w:ascii="Times New Roman" w:hAnsi="Times New Roman"/>
          <w:szCs w:val="18"/>
        </w:rPr>
      </w:pPr>
      <w:r>
        <w:rPr>
          <w:rStyle w:val="37"/>
          <w:rFonts w:ascii="Times New Roman" w:hAnsi="Times New Roman"/>
          <w:szCs w:val="18"/>
        </w:rPr>
        <w:footnoteRef/>
      </w:r>
      <w:r>
        <w:rPr>
          <w:rFonts w:hint="default" w:ascii="Times New Roman" w:hAnsi="Times New Roman"/>
          <w:szCs w:val="18"/>
        </w:rPr>
        <w:t xml:space="preserve"> 招标人可根据项目具体特点和实际需要对本章内容进行补充、细化，但应遵守有关法律法规、部门规章和行政规范性文件的规定。</w:t>
      </w:r>
    </w:p>
  </w:footnote>
  <w:footnote w:id="1">
    <w:p>
      <w:pPr>
        <w:pStyle w:val="22"/>
        <w:spacing w:line="320" w:lineRule="atLeast"/>
        <w:ind w:left="180" w:hanging="180" w:hangingChars="100"/>
        <w:jc w:val="both"/>
        <w:rPr>
          <w:rFonts w:ascii="Times New Roman" w:hAnsi="Times New Roman"/>
          <w:szCs w:val="18"/>
        </w:rPr>
      </w:pPr>
      <w:r>
        <w:rPr>
          <w:rStyle w:val="37"/>
          <w:rFonts w:ascii="Times New Roman" w:hAnsi="Times New Roman"/>
        </w:rPr>
        <w:footnoteRef/>
      </w:r>
      <w:r>
        <w:rPr>
          <w:rFonts w:ascii="Times New Roman" w:hAnsi="Times New Roman"/>
        </w:rPr>
        <w:t xml:space="preserve"> </w:t>
      </w:r>
      <w:r>
        <w:rPr>
          <w:rFonts w:hint="default" w:ascii="Times New Roman" w:hAnsi="Times New Roman"/>
          <w:szCs w:val="18"/>
        </w:rPr>
        <w:t>招标人应自招标文件开始发售之日起，将招标文件的关键内容上传至电子交易平台和具有招标监督职责的交通运输主管部门政府网站，公告内容应当载明项目概况、投标人资格条件要求、评标办法、潜在投标人访问电子交易系统的网络地址和方法、异议受理联系人和招标监督部门投诉举报电话等信息，接受社会监督。招标人可将招标文件的关键内容全部载明在招标公告正文中，或作为招标公告的附件进行公开，或作为独立文件在网站上进行公开。</w:t>
      </w:r>
    </w:p>
  </w:footnote>
  <w:footnote w:id="2">
    <w:p>
      <w:pPr>
        <w:pStyle w:val="22"/>
        <w:snapToGrid/>
        <w:spacing w:line="300" w:lineRule="atLeast"/>
        <w:ind w:left="180" w:hanging="180" w:hangingChars="100"/>
        <w:jc w:val="both"/>
        <w:rPr>
          <w:rFonts w:hint="default" w:ascii="Times New Roman" w:hAnsi="Times New Roman"/>
          <w:szCs w:val="18"/>
        </w:rPr>
      </w:pPr>
      <w:r>
        <w:rPr>
          <w:rStyle w:val="37"/>
          <w:rFonts w:hint="default" w:ascii="Times New Roman" w:hAnsi="Times New Roman"/>
        </w:rPr>
        <w:footnoteRef/>
      </w:r>
      <w:r>
        <w:rPr>
          <w:rStyle w:val="37"/>
          <w:rFonts w:hint="default" w:ascii="Times New Roman" w:hAnsi="Times New Roman"/>
        </w:rPr>
        <w:t xml:space="preserve"> </w:t>
      </w:r>
      <w:r>
        <w:rPr>
          <w:rFonts w:hint="default" w:ascii="Times New Roman" w:hAnsi="Times New Roman"/>
          <w:szCs w:val="18"/>
        </w:rPr>
        <w:t>招标人不得在招投标过程中设置各类不合理限制和壁垒，不得存在</w:t>
      </w:r>
      <w:r>
        <w:rPr>
          <w:rFonts w:hint="default" w:ascii="Times New Roman" w:hAnsi="Times New Roman"/>
          <w:szCs w:val="18"/>
          <w:lang w:val="en-US" w:eastAsia="zh-CN"/>
        </w:rPr>
        <w:t>限制或变相限制符合准入条件的企业参与招投标采购活动</w:t>
      </w:r>
      <w:r>
        <w:rPr>
          <w:rFonts w:hint="default" w:ascii="Times New Roman" w:hAnsi="Times New Roman"/>
          <w:szCs w:val="18"/>
        </w:rPr>
        <w:t>。</w:t>
      </w:r>
    </w:p>
  </w:footnote>
  <w:footnote w:id="3">
    <w:p>
      <w:pPr>
        <w:pStyle w:val="22"/>
        <w:spacing w:line="320" w:lineRule="atLeast"/>
        <w:ind w:left="180" w:hanging="180" w:hangingChars="100"/>
        <w:rPr>
          <w:rFonts w:ascii="Times New Roman" w:hAnsi="Times New Roman"/>
          <w:szCs w:val="18"/>
        </w:rPr>
      </w:pPr>
      <w:r>
        <w:rPr>
          <w:rStyle w:val="37"/>
          <w:rFonts w:ascii="Times New Roman" w:hAnsi="Times New Roman"/>
          <w:szCs w:val="18"/>
        </w:rPr>
        <w:footnoteRef/>
      </w:r>
      <w:r>
        <w:rPr>
          <w:rFonts w:ascii="Times New Roman" w:hAnsi="Times New Roman"/>
          <w:szCs w:val="18"/>
        </w:rPr>
        <w:t xml:space="preserve"> </w:t>
      </w:r>
      <w:r>
        <w:rPr>
          <w:rFonts w:hint="default" w:ascii="Times New Roman" w:hAnsi="Times New Roman"/>
          <w:szCs w:val="18"/>
        </w:rPr>
        <w:t>a. “投标人须知前附表”用于进一步明确正文中的未尽事宜，由招标人根据招标项目具体特点和实际需要编制和填写，且</w:t>
      </w:r>
      <w:r>
        <w:rPr>
          <w:rFonts w:ascii="Times New Roman" w:hAnsi="Times New Roman"/>
          <w:szCs w:val="18"/>
        </w:rPr>
        <w:t>应</w:t>
      </w:r>
      <w:r>
        <w:rPr>
          <w:rFonts w:hint="default" w:ascii="Times New Roman" w:hAnsi="Times New Roman"/>
          <w:szCs w:val="18"/>
        </w:rPr>
        <w:t>与招标文件中其他章节相衔接，并不得与本章正文内容相抵触。</w:t>
      </w:r>
      <w:r>
        <w:rPr>
          <w:rFonts w:hint="default" w:ascii="Times New Roman" w:hAnsi="Times New Roman"/>
          <w:b/>
          <w:bCs/>
          <w:szCs w:val="18"/>
        </w:rPr>
        <w:t>如前附表与正文不一致时，以前附表的规定为准。</w:t>
      </w:r>
    </w:p>
    <w:p>
      <w:pPr>
        <w:pStyle w:val="22"/>
        <w:spacing w:line="320" w:lineRule="atLeast"/>
        <w:ind w:firstLine="270" w:firstLineChars="150"/>
        <w:rPr>
          <w:rFonts w:ascii="Times New Roman" w:hAnsi="Times New Roman"/>
          <w:szCs w:val="18"/>
        </w:rPr>
      </w:pPr>
      <w:r>
        <w:rPr>
          <w:rFonts w:hint="default" w:ascii="Times New Roman" w:hAnsi="Times New Roman"/>
          <w:szCs w:val="18"/>
        </w:rPr>
        <w:t>b.</w:t>
      </w:r>
      <w:r>
        <w:rPr>
          <w:rFonts w:hint="default" w:ascii="Times New Roman" w:hAnsi="Times New Roman" w:cs="Times New Roman"/>
          <w:szCs w:val="18"/>
        </w:rPr>
        <w:t>“投标人须知前附表”中的附录表格同属“投标人须知前附表”内容，具有同等效力。</w:t>
      </w:r>
    </w:p>
  </w:footnote>
  <w:footnote w:id="4">
    <w:p>
      <w:pPr>
        <w:pStyle w:val="22"/>
        <w:spacing w:line="320" w:lineRule="atLeast"/>
        <w:ind w:left="180" w:hanging="180" w:hangingChars="100"/>
        <w:rPr>
          <w:rFonts w:ascii="Times New Roman" w:hAnsi="Times New Roman"/>
          <w:szCs w:val="18"/>
        </w:rPr>
      </w:pPr>
      <w:r>
        <w:rPr>
          <w:rStyle w:val="37"/>
          <w:rFonts w:ascii="Times New Roman" w:hAnsi="Times New Roman"/>
          <w:szCs w:val="18"/>
        </w:rPr>
        <w:footnoteRef/>
      </w:r>
      <w:r>
        <w:rPr>
          <w:rFonts w:hint="default" w:ascii="Times New Roman" w:hAnsi="Times New Roman"/>
        </w:rPr>
        <w:t xml:space="preserve"> 招标人不得强制限定投标保证金必须采用现金或支票方式缴纳，</w:t>
      </w:r>
      <w:r>
        <w:rPr>
          <w:rFonts w:ascii="Times New Roman" w:hAnsi="Times New Roman"/>
        </w:rPr>
        <w:t>不得拒绝银行保函形式的投标保证金</w:t>
      </w:r>
      <w:r>
        <w:rPr>
          <w:rFonts w:hint="default" w:ascii="Times New Roman" w:hAnsi="Times New Roman"/>
        </w:rPr>
        <w:t>。</w:t>
      </w:r>
    </w:p>
  </w:footnote>
  <w:footnote w:id="5">
    <w:p>
      <w:pPr>
        <w:pStyle w:val="22"/>
        <w:snapToGrid w:val="0"/>
        <w:ind w:firstLine="0" w:firstLineChars="0"/>
        <w:rPr>
          <w:rFonts w:ascii="Times New Roman" w:hAnsi="Times New Roman"/>
        </w:rPr>
      </w:pPr>
      <w:r>
        <w:rPr>
          <w:rStyle w:val="37"/>
          <w:rFonts w:ascii="Times New Roman" w:hAnsi="Times New Roman"/>
        </w:rPr>
        <w:footnoteRef/>
      </w:r>
      <w:r>
        <w:rPr>
          <w:rFonts w:ascii="Times New Roman" w:hAnsi="Times New Roman"/>
        </w:rPr>
        <w:t xml:space="preserve"> </w:t>
      </w:r>
      <w:r>
        <w:rPr>
          <w:rFonts w:hint="default" w:ascii="Times New Roman" w:hAnsi="Times New Roman"/>
        </w:rPr>
        <w:t>评标委员会应由招标人代表和有关方面的专家组成，人数为5人以上单数，其中技术、经济专家人数应不少于成员总数的三分之二。</w:t>
      </w:r>
    </w:p>
  </w:footnote>
  <w:footnote w:id="6">
    <w:p>
      <w:pPr>
        <w:pStyle w:val="22"/>
        <w:snapToGrid/>
        <w:spacing w:line="320" w:lineRule="atLeast"/>
        <w:ind w:left="180" w:hanging="180" w:hangingChars="100"/>
        <w:rPr>
          <w:rFonts w:hint="default" w:ascii="Times New Roman" w:hAnsi="Times New Roman" w:eastAsia="宋体"/>
          <w:szCs w:val="18"/>
          <w:lang w:val="en-US" w:eastAsia="zh-CN"/>
        </w:rPr>
      </w:pPr>
      <w:r>
        <w:rPr>
          <w:rStyle w:val="37"/>
          <w:rFonts w:hint="default" w:ascii="Times New Roman" w:hAnsi="Times New Roman"/>
          <w:szCs w:val="18"/>
        </w:rPr>
        <w:footnoteRef/>
      </w:r>
      <w:r>
        <w:rPr>
          <w:rFonts w:hint="default" w:ascii="Times New Roman" w:hAnsi="Times New Roman"/>
          <w:szCs w:val="18"/>
        </w:rPr>
        <w:t xml:space="preserve"> </w:t>
      </w:r>
      <w:r>
        <w:rPr>
          <w:rFonts w:hint="default" w:ascii="Times New Roman" w:hAnsi="Times New Roman"/>
          <w:szCs w:val="18"/>
          <w:lang w:val="en-US" w:eastAsia="zh-CN"/>
        </w:rPr>
        <w:t>根据《国务院办公厅关于创新完善体制机制推动招标投标市场规范健康发展的意见》（国办发〔2024〕21号）规定，招标人应结合项目特点和需求，明确定标规则。</w:t>
      </w:r>
    </w:p>
  </w:footnote>
  <w:footnote w:id="7">
    <w:p>
      <w:pPr>
        <w:pStyle w:val="22"/>
        <w:spacing w:line="320" w:lineRule="atLeast"/>
        <w:ind w:left="180" w:right="-262" w:rightChars="-109" w:hanging="180" w:hangingChars="100"/>
        <w:rPr>
          <w:rFonts w:ascii="Times New Roman" w:hAnsi="Times New Roman"/>
          <w:szCs w:val="18"/>
        </w:rPr>
      </w:pPr>
      <w:r>
        <w:rPr>
          <w:rStyle w:val="37"/>
          <w:rFonts w:ascii="Times New Roman" w:hAnsi="Times New Roman"/>
          <w:szCs w:val="18"/>
        </w:rPr>
        <w:footnoteRef/>
      </w:r>
      <w:r>
        <w:rPr>
          <w:rFonts w:hint="default" w:ascii="Times New Roman" w:hAnsi="Times New Roman"/>
        </w:rPr>
        <w:t xml:space="preserve"> 招标人不得强制限定履约保证金必须采用现金或支票方式缴纳，</w:t>
      </w:r>
      <w:r>
        <w:rPr>
          <w:rFonts w:ascii="Times New Roman" w:hAnsi="Times New Roman"/>
        </w:rPr>
        <w:t>不得拒绝银行保函形式的</w:t>
      </w:r>
      <w:r>
        <w:rPr>
          <w:rFonts w:hint="default" w:ascii="Times New Roman" w:hAnsi="Times New Roman"/>
        </w:rPr>
        <w:t>履约保证金。</w:t>
      </w:r>
    </w:p>
  </w:footnote>
  <w:footnote w:id="8">
    <w:p>
      <w:pPr>
        <w:pStyle w:val="22"/>
        <w:snapToGrid/>
        <w:spacing w:line="320" w:lineRule="atLeast"/>
        <w:ind w:left="180" w:hanging="180" w:hangingChars="100"/>
        <w:rPr>
          <w:rFonts w:hint="default" w:ascii="Times New Roman" w:hAnsi="Times New Roman"/>
          <w:szCs w:val="18"/>
        </w:rPr>
      </w:pPr>
      <w:r>
        <w:rPr>
          <w:rStyle w:val="32"/>
          <w:rFonts w:hint="default" w:ascii="Times New Roman" w:hAnsi="Times New Roman" w:cs="Times New Roman"/>
          <w:szCs w:val="18"/>
        </w:rPr>
        <w:footnoteRef/>
      </w:r>
      <w:r>
        <w:rPr>
          <w:rFonts w:hint="default" w:ascii="Times New Roman" w:hAnsi="Times New Roman"/>
          <w:szCs w:val="18"/>
        </w:rPr>
        <w:t xml:space="preserve"> 招标人应当按照国家有关规定，在招标文件中明确</w:t>
      </w:r>
      <w:r>
        <w:rPr>
          <w:rFonts w:hint="default" w:ascii="Times New Roman" w:hAnsi="Times New Roman"/>
          <w:szCs w:val="18"/>
          <w:lang w:eastAsia="zh-CN"/>
        </w:rPr>
        <w:t>履约</w:t>
      </w:r>
      <w:r>
        <w:rPr>
          <w:rFonts w:hint="default" w:ascii="Times New Roman" w:hAnsi="Times New Roman"/>
          <w:szCs w:val="18"/>
        </w:rPr>
        <w:t>保证金收取比例。</w:t>
      </w:r>
    </w:p>
  </w:footnote>
  <w:footnote w:id="9">
    <w:p>
      <w:pPr>
        <w:pStyle w:val="22"/>
        <w:snapToGrid w:val="0"/>
        <w:rPr>
          <w:rFonts w:hint="default" w:ascii="Times New Roman" w:hAnsi="Times New Roman" w:eastAsia="宋体"/>
          <w:lang w:eastAsia="zh-CN"/>
        </w:rPr>
      </w:pPr>
      <w:r>
        <w:rPr>
          <w:rStyle w:val="37"/>
          <w:rFonts w:ascii="Times New Roman" w:hAnsi="Times New Roman"/>
        </w:rPr>
        <w:footnoteRef/>
      </w:r>
      <w:r>
        <w:rPr>
          <w:rFonts w:ascii="Times New Roman" w:hAnsi="Times New Roman"/>
        </w:rPr>
        <w:t xml:space="preserve"> </w:t>
      </w:r>
      <w:r>
        <w:rPr>
          <w:rFonts w:hint="default" w:ascii="Times New Roman" w:hAnsi="Times New Roman"/>
        </w:rPr>
        <w:t>仅适用于采用</w:t>
      </w:r>
      <w:r>
        <w:rPr>
          <w:rFonts w:hint="eastAsia" w:ascii="Times New Roman" w:hAnsi="Times New Roman"/>
          <w:lang w:eastAsia="zh-CN"/>
        </w:rPr>
        <w:t>综合评分法</w:t>
      </w:r>
      <w:r>
        <w:rPr>
          <w:rFonts w:hint="default" w:ascii="Times New Roman" w:hAnsi="Times New Roman"/>
        </w:rPr>
        <w:t>的项目</w:t>
      </w:r>
      <w:r>
        <w:rPr>
          <w:rFonts w:hint="default" w:ascii="Times New Roman" w:hAnsi="Times New Roman"/>
          <w:lang w:eastAsia="zh-CN"/>
        </w:rPr>
        <w:t>。</w:t>
      </w:r>
    </w:p>
  </w:footnote>
  <w:footnote w:id="10">
    <w:p>
      <w:pPr>
        <w:pStyle w:val="22"/>
        <w:ind w:left="0" w:firstLine="360"/>
        <w:rPr>
          <w:rFonts w:hint="default" w:ascii="Times New Roman" w:hAnsi="Times New Roman"/>
          <w:szCs w:val="18"/>
        </w:rPr>
      </w:pPr>
      <w:r>
        <w:rPr>
          <w:rStyle w:val="37"/>
          <w:rFonts w:ascii="Times New Roman" w:hAnsi="Times New Roman"/>
          <w:szCs w:val="18"/>
        </w:rPr>
        <w:footnoteRef/>
      </w:r>
      <w:r>
        <w:rPr>
          <w:rFonts w:hint="default" w:ascii="Times New Roman" w:hAnsi="Times New Roman"/>
          <w:szCs w:val="18"/>
        </w:rPr>
        <w:t xml:space="preserve"> 具体资质要求由招标人在满足国家相关法律法规前提下，根据招标项目具体特点和实际情况确定。</w:t>
      </w:r>
    </w:p>
  </w:footnote>
  <w:footnote w:id="11">
    <w:p>
      <w:pPr>
        <w:pStyle w:val="22"/>
        <w:snapToGrid w:val="0"/>
        <w:ind w:firstLine="0"/>
        <w:rPr>
          <w:rFonts w:ascii="Times New Roman" w:hAnsi="Times New Roman"/>
        </w:rPr>
      </w:pPr>
      <w:r>
        <w:rPr>
          <w:rStyle w:val="37"/>
          <w:rFonts w:ascii="Times New Roman" w:hAnsi="Times New Roman"/>
        </w:rPr>
        <w:footnoteRef/>
      </w:r>
      <w:r>
        <w:rPr>
          <w:rFonts w:ascii="Times New Roman" w:hAnsi="Times New Roman"/>
        </w:rPr>
        <w:t xml:space="preserve"> </w:t>
      </w:r>
      <w:r>
        <w:rPr>
          <w:rFonts w:hint="default" w:ascii="Times New Roman" w:hAnsi="Times New Roman"/>
        </w:rPr>
        <w:t>企业资质等级应当严格按照从业资质管理相关规定，提出与招标项目相适应的资质最低条件，不得提高资质等级要求。</w:t>
      </w:r>
    </w:p>
  </w:footnote>
  <w:footnote w:id="12">
    <w:p>
      <w:pPr>
        <w:pStyle w:val="22"/>
        <w:spacing w:line="240" w:lineRule="auto"/>
        <w:ind w:left="180" w:hanging="180" w:hangingChars="100"/>
        <w:rPr>
          <w:rFonts w:hint="default" w:ascii="Times New Roman" w:hAnsi="Times New Roman"/>
          <w:szCs w:val="18"/>
          <w:highlight w:val="none"/>
        </w:rPr>
      </w:pPr>
      <w:r>
        <w:rPr>
          <w:rStyle w:val="37"/>
          <w:rFonts w:ascii="Times New Roman" w:hAnsi="Times New Roman"/>
          <w:szCs w:val="18"/>
        </w:rPr>
        <w:footnoteRef/>
      </w:r>
      <w:r>
        <w:rPr>
          <w:rFonts w:hint="default" w:ascii="Times New Roman" w:hAnsi="Times New Roman"/>
          <w:szCs w:val="18"/>
        </w:rPr>
        <w:t xml:space="preserve"> 具体财务要求由招标人在满足国家相关法律法规前提下，根据招标项目具体特点和实际情况确定。</w:t>
      </w:r>
    </w:p>
  </w:footnote>
  <w:footnote w:id="13">
    <w:p>
      <w:pPr>
        <w:pStyle w:val="22"/>
        <w:spacing w:line="300" w:lineRule="atLeast"/>
        <w:ind w:left="180" w:hanging="180" w:hangingChars="100"/>
        <w:rPr>
          <w:rFonts w:hint="default" w:ascii="Times New Roman" w:hAnsi="Times New Roman"/>
          <w:szCs w:val="18"/>
        </w:rPr>
      </w:pPr>
      <w:r>
        <w:rPr>
          <w:rStyle w:val="37"/>
          <w:rFonts w:ascii="Times New Roman" w:hAnsi="Times New Roman"/>
          <w:szCs w:val="18"/>
        </w:rPr>
        <w:footnoteRef/>
      </w:r>
      <w:r>
        <w:rPr>
          <w:rFonts w:hint="default" w:ascii="Times New Roman" w:hAnsi="Times New Roman"/>
          <w:szCs w:val="18"/>
        </w:rPr>
        <w:t xml:space="preserve"> 具体业绩要求由招标人在满足国家相关法律法规前提下，根据招标项目具体特点和实际情况确定，但不得设置过高的业绩资格条件。</w:t>
      </w:r>
    </w:p>
  </w:footnote>
  <w:footnote w:id="14">
    <w:p>
      <w:pPr>
        <w:pStyle w:val="22"/>
        <w:snapToGrid w:val="0"/>
        <w:ind w:firstLine="0" w:firstLineChars="0"/>
        <w:rPr>
          <w:rFonts w:ascii="Times New Roman" w:hAnsi="Times New Roman"/>
        </w:rPr>
      </w:pPr>
      <w:r>
        <w:rPr>
          <w:rStyle w:val="37"/>
          <w:rFonts w:ascii="Times New Roman" w:hAnsi="Times New Roman"/>
        </w:rPr>
        <w:footnoteRef/>
      </w:r>
      <w:r>
        <w:rPr>
          <w:rFonts w:ascii="Times New Roman" w:hAnsi="Times New Roman"/>
        </w:rPr>
        <w:t xml:space="preserve"> </w:t>
      </w:r>
      <w:r>
        <w:rPr>
          <w:rFonts w:hint="default" w:ascii="Times New Roman" w:hAnsi="Times New Roman"/>
        </w:rPr>
        <w:t>业绩量化指标不得超过项目标的规模。</w:t>
      </w:r>
    </w:p>
  </w:footnote>
  <w:footnote w:id="15">
    <w:p>
      <w:pPr>
        <w:pStyle w:val="22"/>
        <w:ind w:left="0" w:firstLine="0" w:firstLineChars="0"/>
        <w:rPr>
          <w:rFonts w:hint="default" w:ascii="Times New Roman" w:hAnsi="Times New Roman"/>
          <w:szCs w:val="18"/>
        </w:rPr>
      </w:pPr>
      <w:r>
        <w:rPr>
          <w:rStyle w:val="37"/>
          <w:rFonts w:ascii="Times New Roman" w:hAnsi="Times New Roman"/>
          <w:szCs w:val="18"/>
        </w:rPr>
        <w:footnoteRef/>
      </w:r>
      <w:r>
        <w:rPr>
          <w:rFonts w:hint="default" w:ascii="Times New Roman" w:hAnsi="Times New Roman"/>
          <w:szCs w:val="18"/>
        </w:rPr>
        <w:t xml:space="preserve"> </w:t>
      </w:r>
      <w:r>
        <w:rPr>
          <w:rFonts w:hint="default" w:ascii="Times New Roman" w:hAnsi="Times New Roman"/>
        </w:rPr>
        <w:t>具体信誉要求由招标人在满足国家相关法律法规前提下，根据招标项目具体特点和实际情况确定</w:t>
      </w:r>
      <w:r>
        <w:rPr>
          <w:rFonts w:ascii="Times New Roman" w:hAnsi="Times New Roman"/>
          <w:lang w:eastAsia="zh-CN"/>
        </w:rPr>
        <w:t>。</w:t>
      </w:r>
    </w:p>
  </w:footnote>
  <w:footnote w:id="16">
    <w:p>
      <w:pPr>
        <w:pStyle w:val="22"/>
        <w:ind w:left="0" w:firstLine="0" w:firstLineChars="0"/>
        <w:rPr>
          <w:rFonts w:hint="default" w:ascii="Times New Roman" w:hAnsi="Times New Roman"/>
          <w:szCs w:val="18"/>
        </w:rPr>
      </w:pPr>
      <w:r>
        <w:rPr>
          <w:rStyle w:val="37"/>
          <w:rFonts w:ascii="Times New Roman" w:hAnsi="Times New Roman"/>
          <w:szCs w:val="18"/>
        </w:rPr>
        <w:footnoteRef/>
      </w:r>
      <w:r>
        <w:rPr>
          <w:rFonts w:hint="default" w:ascii="Times New Roman" w:hAnsi="Times New Roman"/>
          <w:szCs w:val="18"/>
        </w:rPr>
        <w:t xml:space="preserve"> </w:t>
      </w:r>
      <w:r>
        <w:rPr>
          <w:rFonts w:hint="default" w:ascii="Times New Roman" w:hAnsi="Times New Roman"/>
        </w:rPr>
        <w:t>具体</w:t>
      </w:r>
      <w:r>
        <w:rPr>
          <w:rFonts w:hint="default" w:ascii="Times New Roman" w:hAnsi="Times New Roman"/>
          <w:lang w:val="en-US" w:eastAsia="zh-CN"/>
        </w:rPr>
        <w:t>其他</w:t>
      </w:r>
      <w:r>
        <w:rPr>
          <w:rFonts w:hint="default" w:ascii="Times New Roman" w:hAnsi="Times New Roman"/>
        </w:rPr>
        <w:t>要求由招标人在满足国家相关法律法规前提下，根据招标项目具体特点和实际情况确定</w:t>
      </w:r>
      <w:r>
        <w:rPr>
          <w:rFonts w:ascii="Times New Roman" w:hAnsi="Times New Roman"/>
          <w:lang w:eastAsia="zh-CN"/>
        </w:rPr>
        <w:t>。</w:t>
      </w:r>
    </w:p>
  </w:footnote>
  <w:footnote w:id="17">
    <w:p>
      <w:pPr>
        <w:pStyle w:val="22"/>
        <w:snapToGrid w:val="0"/>
        <w:rPr>
          <w:rFonts w:ascii="Times New Roman" w:hAnsi="Times New Roman"/>
        </w:rPr>
      </w:pPr>
      <w:r>
        <w:rPr>
          <w:rStyle w:val="37"/>
          <w:rFonts w:ascii="Times New Roman" w:hAnsi="Times New Roman"/>
        </w:rPr>
        <w:footnoteRef/>
      </w:r>
      <w:r>
        <w:rPr>
          <w:rFonts w:ascii="Times New Roman" w:hAnsi="Times New Roman"/>
        </w:rPr>
        <w:t xml:space="preserve"> </w:t>
      </w:r>
      <w:r>
        <w:rPr>
          <w:rFonts w:hint="default" w:ascii="Times New Roman" w:hAnsi="Times New Roman"/>
        </w:rPr>
        <w:t xml:space="preserve"> 招标人可根据实际需要进行修改。</w:t>
      </w:r>
    </w:p>
  </w:footnote>
  <w:footnote w:id="18">
    <w:p>
      <w:pPr>
        <w:pStyle w:val="22"/>
        <w:spacing w:line="320" w:lineRule="atLeast"/>
        <w:ind w:left="180" w:hanging="180" w:hangingChars="100"/>
        <w:jc w:val="both"/>
        <w:rPr>
          <w:rFonts w:hint="default" w:ascii="Times New Roman" w:hAnsi="Times New Roman"/>
          <w:szCs w:val="18"/>
        </w:rPr>
      </w:pPr>
      <w:r>
        <w:rPr>
          <w:rStyle w:val="37"/>
          <w:rFonts w:ascii="Times New Roman" w:hAnsi="Times New Roman"/>
          <w:szCs w:val="18"/>
        </w:rPr>
        <w:footnoteRef/>
      </w:r>
      <w:r>
        <w:rPr>
          <w:rFonts w:ascii="Times New Roman" w:hAnsi="Times New Roman"/>
          <w:szCs w:val="18"/>
        </w:rPr>
        <w:t xml:space="preserve"> </w:t>
      </w:r>
      <w:r>
        <w:rPr>
          <w:rFonts w:hint="default" w:ascii="Times New Roman" w:hAnsi="Times New Roman"/>
          <w:szCs w:val="18"/>
        </w:rPr>
        <w:t>“评标办法前附表”用于明确评标的方法、因素、标准和程序</w:t>
      </w:r>
      <w:r>
        <w:rPr>
          <w:rFonts w:hint="default" w:ascii="Times New Roman" w:hAnsi="Times New Roman"/>
          <w:szCs w:val="18"/>
          <w:lang w:eastAsia="zh-CN"/>
        </w:rPr>
        <w:t>，</w:t>
      </w:r>
      <w:r>
        <w:rPr>
          <w:rFonts w:hint="default" w:ascii="Times New Roman" w:hAnsi="Times New Roman"/>
          <w:szCs w:val="18"/>
        </w:rPr>
        <w:t>是对评标办法正文的补充和细化，应对照评标办法正文中同一编号的条款一起阅读和理解。</w:t>
      </w:r>
      <w:r>
        <w:rPr>
          <w:rFonts w:hint="default" w:ascii="Times New Roman" w:hAnsi="Times New Roman" w:eastAsia="黑体"/>
          <w:szCs w:val="18"/>
        </w:rPr>
        <w:t>如前附表与正文不一致时，以前附表的规定为准</w:t>
      </w:r>
      <w:r>
        <w:rPr>
          <w:rFonts w:hint="default" w:ascii="Times New Roman" w:hAnsi="Times New Roman"/>
          <w:szCs w:val="18"/>
        </w:rPr>
        <w:t>。招标人应根据招标项目具体特点和实际需要，详细列明全部评审因素、标准，没有列明的因素和标准不得作为评标的依据。</w:t>
      </w:r>
    </w:p>
  </w:footnote>
  <w:footnote w:id="19">
    <w:p>
      <w:pPr>
        <w:pStyle w:val="22"/>
        <w:spacing w:line="320" w:lineRule="atLeast"/>
        <w:ind w:left="180" w:hanging="180" w:hangingChars="100"/>
        <w:jc w:val="both"/>
        <w:rPr>
          <w:rFonts w:hint="default" w:ascii="Times New Roman" w:hAnsi="Times New Roman"/>
          <w:szCs w:val="18"/>
        </w:rPr>
      </w:pPr>
      <w:r>
        <w:rPr>
          <w:rStyle w:val="37"/>
          <w:rFonts w:ascii="Times New Roman" w:hAnsi="Times New Roman"/>
          <w:szCs w:val="18"/>
        </w:rPr>
        <w:footnoteRef/>
      </w:r>
      <w:r>
        <w:rPr>
          <w:rFonts w:ascii="Times New Roman" w:hAnsi="Times New Roman"/>
          <w:szCs w:val="18"/>
        </w:rPr>
        <w:t xml:space="preserve"> </w:t>
      </w:r>
      <w:r>
        <w:rPr>
          <w:rFonts w:hint="default" w:ascii="Times New Roman" w:hAnsi="Times New Roman"/>
          <w:szCs w:val="18"/>
        </w:rPr>
        <w:t>“评标办法前附表”用于明确评标的方法、因素、标准和程序</w:t>
      </w:r>
      <w:r>
        <w:rPr>
          <w:rFonts w:hint="default" w:ascii="Times New Roman" w:hAnsi="Times New Roman"/>
          <w:szCs w:val="18"/>
          <w:lang w:eastAsia="zh-CN"/>
        </w:rPr>
        <w:t>，</w:t>
      </w:r>
      <w:r>
        <w:rPr>
          <w:rFonts w:hint="default" w:ascii="Times New Roman" w:hAnsi="Times New Roman"/>
          <w:szCs w:val="18"/>
        </w:rPr>
        <w:t>是对评标办法正文的补充和细化，应对照评标办法正文中同一编号的条款一起阅读和理解。</w:t>
      </w:r>
      <w:r>
        <w:rPr>
          <w:rFonts w:hint="default" w:ascii="Times New Roman" w:hAnsi="Times New Roman" w:eastAsia="黑体"/>
          <w:szCs w:val="18"/>
        </w:rPr>
        <w:t>如前附表与正文不一致时，以前附表的规定为准</w:t>
      </w:r>
      <w:r>
        <w:rPr>
          <w:rFonts w:hint="default" w:ascii="Times New Roman" w:hAnsi="Times New Roman"/>
          <w:szCs w:val="18"/>
        </w:rPr>
        <w:t>。招标人应根据招标项目具体特点和实际需要，详细列明全部评审因素、标准，没有列明的因素和标准不得作为评标的依据。</w:t>
      </w:r>
    </w:p>
  </w:footnote>
  <w:footnote w:id="20">
    <w:p>
      <w:pPr>
        <w:pStyle w:val="22"/>
        <w:snapToGrid w:val="0"/>
        <w:rPr>
          <w:rFonts w:ascii="Times New Roman" w:hAnsi="Times New Roman"/>
        </w:rPr>
      </w:pPr>
      <w:r>
        <w:rPr>
          <w:rStyle w:val="37"/>
          <w:rFonts w:ascii="Times New Roman" w:hAnsi="Times New Roman"/>
        </w:rPr>
        <w:footnoteRef/>
      </w:r>
      <w:r>
        <w:rPr>
          <w:rFonts w:ascii="Times New Roman" w:hAnsi="Times New Roman"/>
        </w:rPr>
        <w:t xml:space="preserve"> </w:t>
      </w:r>
      <w:r>
        <w:rPr>
          <w:rFonts w:hint="default" w:ascii="Times New Roman" w:hAnsi="Times New Roman"/>
        </w:rPr>
        <w:t>评标价权重分值不应低于50分。</w:t>
      </w:r>
    </w:p>
  </w:footnote>
  <w:footnote w:id="21">
    <w:p>
      <w:pPr>
        <w:pStyle w:val="22"/>
        <w:snapToGrid w:val="0"/>
        <w:rPr>
          <w:rFonts w:hint="default" w:ascii="Times New Roman" w:hAnsi="Times New Roman" w:eastAsia="宋体"/>
          <w:lang w:val="en-US" w:eastAsia="zh-CN"/>
        </w:rPr>
      </w:pPr>
      <w:r>
        <w:rPr>
          <w:rStyle w:val="37"/>
          <w:rFonts w:ascii="Times New Roman" w:hAnsi="Times New Roman"/>
        </w:rPr>
        <w:footnoteRef/>
      </w:r>
      <w:r>
        <w:rPr>
          <w:rFonts w:ascii="Times New Roman" w:hAnsi="Times New Roman"/>
        </w:rPr>
        <w:t xml:space="preserve"> </w:t>
      </w:r>
      <w:r>
        <w:rPr>
          <w:rFonts w:hint="default" w:ascii="Times New Roman" w:hAnsi="Times New Roman"/>
          <w:lang w:val="en-US" w:eastAsia="zh-CN"/>
        </w:rPr>
        <w:t>适用于设备采购招标项目</w:t>
      </w:r>
    </w:p>
  </w:footnote>
  <w:footnote w:id="22">
    <w:p>
      <w:pPr>
        <w:widowControl w:val="0"/>
        <w:adjustRightInd w:val="0"/>
        <w:snapToGrid w:val="0"/>
        <w:spacing w:line="420" w:lineRule="atLeast"/>
        <w:ind w:firstLine="0"/>
        <w:jc w:val="left"/>
        <w:textAlignment w:val="baseline"/>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en-US" w:eastAsia="zh-CN" w:bidi="ar-SA"/>
        </w:rPr>
        <w:t xml:space="preserve"> </w:t>
      </w:r>
      <w:r>
        <w:rPr>
          <w:rFonts w:hint="eastAsia" w:ascii="Times New Roman" w:hAnsi="Times New Roman" w:eastAsia="宋体" w:cs="Times New Roman"/>
          <w:kern w:val="0"/>
          <w:sz w:val="18"/>
          <w:szCs w:val="20"/>
          <w:lang w:val="en-US" w:eastAsia="zh-CN" w:bidi="ar-SA"/>
        </w:rPr>
        <w:t>招标人可结合辽宁省公路建设领域管理政策文件、招标项目具体特点和实际需要对项目专用合同条款进行补充、细化，不得设置各类有失公允或违法违规合同条款。</w:t>
      </w:r>
    </w:p>
  </w:footnote>
  <w:footnote w:id="23">
    <w:p>
      <w:pPr>
        <w:pStyle w:val="22"/>
        <w:snapToGrid w:val="0"/>
        <w:rPr>
          <w:rFonts w:hint="default" w:ascii="Times New Roman" w:hAnsi="Times New Roman" w:eastAsia="宋体"/>
          <w:lang w:val="en-US" w:eastAsia="zh-CN"/>
        </w:rPr>
      </w:pPr>
      <w:r>
        <w:rPr>
          <w:rStyle w:val="37"/>
          <w:rFonts w:ascii="Times New Roman" w:hAnsi="Times New Roman"/>
        </w:rPr>
        <w:footnoteRef/>
      </w:r>
      <w:r>
        <w:rPr>
          <w:rFonts w:ascii="Times New Roman" w:hAnsi="Times New Roman"/>
        </w:rPr>
        <w:t xml:space="preserve"> </w:t>
      </w:r>
      <w:r>
        <w:rPr>
          <w:rFonts w:hint="default" w:ascii="Times New Roman" w:hAnsi="Times New Roman"/>
          <w:lang w:val="en-US" w:eastAsia="zh-CN"/>
        </w:rPr>
        <w:t>适用于材料采购招标项目</w:t>
      </w:r>
    </w:p>
  </w:footnote>
  <w:footnote w:id="24">
    <w:p>
      <w:pPr>
        <w:widowControl w:val="0"/>
        <w:adjustRightInd w:val="0"/>
        <w:snapToGrid w:val="0"/>
        <w:spacing w:line="420" w:lineRule="atLeast"/>
        <w:ind w:firstLine="0"/>
        <w:jc w:val="left"/>
        <w:textAlignment w:val="baseline"/>
        <w:rPr>
          <w:rFonts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en-US" w:eastAsia="zh-CN" w:bidi="ar-SA"/>
        </w:rPr>
        <w:t xml:space="preserve"> </w:t>
      </w:r>
      <w:r>
        <w:rPr>
          <w:rFonts w:hint="eastAsia" w:ascii="Times New Roman" w:hAnsi="Times New Roman" w:eastAsia="宋体" w:cs="Times New Roman"/>
          <w:kern w:val="0"/>
          <w:sz w:val="18"/>
          <w:szCs w:val="20"/>
          <w:lang w:val="en-US" w:eastAsia="zh-CN" w:bidi="ar-SA"/>
        </w:rPr>
        <w:t>招标人可结合辽宁省公路建设领域管理政策文件、招标项目具体特点和实际需要对项目专用合同条款进行补充、细化，不得设置各类有失公允或违法违规合同条款。</w:t>
      </w:r>
    </w:p>
  </w:footnote>
  <w:footnote w:id="25">
    <w:p>
      <w:pPr>
        <w:pStyle w:val="22"/>
        <w:snapToGrid w:val="0"/>
      </w:pPr>
      <w:r>
        <w:rPr>
          <w:rStyle w:val="37"/>
        </w:rPr>
        <w:footnoteRef/>
      </w:r>
      <w:r>
        <w:t xml:space="preserve"> </w:t>
      </w:r>
      <w:r>
        <w:rPr>
          <w:rFonts w:hint="eastAsia"/>
        </w:rPr>
        <w:t>适用于设备采购</w:t>
      </w:r>
    </w:p>
  </w:footnote>
  <w:footnote w:id="26">
    <w:p>
      <w:pPr>
        <w:pStyle w:val="22"/>
        <w:snapToGrid w:val="0"/>
      </w:pPr>
      <w:r>
        <w:rPr>
          <w:rStyle w:val="37"/>
        </w:rPr>
        <w:footnoteRef/>
      </w:r>
      <w:r>
        <w:t xml:space="preserve"> </w:t>
      </w:r>
      <w:r>
        <w:rPr>
          <w:rFonts w:hint="eastAsia"/>
        </w:rPr>
        <w:t>适用于</w:t>
      </w:r>
      <w:r>
        <w:rPr>
          <w:rFonts w:hint="eastAsia"/>
          <w:lang w:val="en-US" w:eastAsia="zh-CN"/>
        </w:rPr>
        <w:t>材料</w:t>
      </w:r>
      <w:r>
        <w:rPr>
          <w:rFonts w:hint="eastAsia"/>
        </w:rPr>
        <w:t>采购</w:t>
      </w:r>
    </w:p>
  </w:footnote>
  <w:footnote w:id="27">
    <w:p>
      <w:pPr>
        <w:pStyle w:val="22"/>
        <w:ind w:firstLine="0"/>
        <w:rPr>
          <w:rFonts w:ascii="Times New Roman" w:hAnsi="Times New Roman"/>
          <w:szCs w:val="18"/>
        </w:rPr>
      </w:pPr>
      <w:r>
        <w:rPr>
          <w:rStyle w:val="37"/>
          <w:rFonts w:ascii="Times New Roman" w:hAnsi="Times New Roman"/>
          <w:szCs w:val="18"/>
        </w:rPr>
        <w:footnoteRef/>
      </w:r>
      <w:r>
        <w:rPr>
          <w:rFonts w:hint="default" w:ascii="Times New Roman" w:hAnsi="Times New Roman"/>
          <w:szCs w:val="18"/>
        </w:rPr>
        <w:t xml:space="preserve"> 招标人可结合招标项目具体特点和实际需要，对本章内容进行补充、细化。</w:t>
      </w:r>
    </w:p>
  </w:footnote>
  <w:footnote w:id="28">
    <w:p>
      <w:pPr>
        <w:pStyle w:val="22"/>
        <w:spacing w:line="300" w:lineRule="atLeast"/>
        <w:ind w:left="204" w:leftChars="85" w:firstLine="0" w:firstLineChars="0"/>
        <w:rPr>
          <w:rFonts w:hint="default" w:ascii="Times New Roman" w:hAnsi="Times New Roman" w:eastAsia="宋体"/>
          <w:szCs w:val="18"/>
          <w:lang w:val="en-US" w:eastAsia="zh-CN"/>
        </w:rPr>
      </w:pPr>
      <w:r>
        <w:rPr>
          <w:rStyle w:val="37"/>
          <w:rFonts w:ascii="Times New Roman" w:hAnsi="Times New Roman"/>
          <w:szCs w:val="18"/>
        </w:rPr>
        <w:footnoteRef/>
      </w:r>
      <w:r>
        <w:rPr>
          <w:rFonts w:ascii="Times New Roman" w:hAnsi="Times New Roman"/>
          <w:szCs w:val="18"/>
        </w:rPr>
        <w:t xml:space="preserve"> </w:t>
      </w:r>
      <w:r>
        <w:rPr>
          <w:rFonts w:hint="default" w:ascii="Times New Roman" w:hAnsi="Times New Roman"/>
          <w:szCs w:val="18"/>
          <w:lang w:val="en-US" w:eastAsia="zh-CN"/>
        </w:rPr>
        <w:t>若联合体协议书采用线下签署方式，投标人应</w:t>
      </w:r>
      <w:r>
        <w:rPr>
          <w:rFonts w:hint="default" w:ascii="Times New Roman" w:hAnsi="Times New Roman"/>
          <w:szCs w:val="18"/>
        </w:rPr>
        <w:t>附</w:t>
      </w:r>
      <w:r>
        <w:rPr>
          <w:rFonts w:hint="default" w:ascii="Times New Roman" w:hAnsi="Times New Roman"/>
          <w:szCs w:val="18"/>
          <w:lang w:val="en-US" w:eastAsia="zh-CN"/>
        </w:rPr>
        <w:t>所有成员签字盖章后的</w:t>
      </w:r>
      <w:r>
        <w:rPr>
          <w:rFonts w:hint="default" w:ascii="Times New Roman" w:hAnsi="Times New Roman"/>
          <w:szCs w:val="18"/>
        </w:rPr>
        <w:t>联合体协议书</w:t>
      </w:r>
      <w:r>
        <w:rPr>
          <w:rFonts w:hint="default" w:ascii="Times New Roman" w:hAnsi="Times New Roman"/>
          <w:szCs w:val="18"/>
          <w:lang w:val="en-US" w:eastAsia="zh-CN"/>
        </w:rPr>
        <w:t>原件扫描件</w:t>
      </w:r>
      <w:r>
        <w:rPr>
          <w:rFonts w:hint="default" w:ascii="Times New Roman" w:hAnsi="Times New Roman"/>
          <w:szCs w:val="18"/>
          <w:highlight w:val="none"/>
          <w:lang w:val="en-US" w:eastAsia="zh-CN"/>
        </w:rPr>
        <w:t>。</w:t>
      </w:r>
    </w:p>
  </w:footnote>
  <w:footnote w:id="29">
    <w:p>
      <w:pPr>
        <w:pStyle w:val="22"/>
        <w:spacing w:line="320" w:lineRule="atLeast"/>
        <w:ind w:firstLine="0"/>
        <w:rPr>
          <w:rFonts w:ascii="Times New Roman" w:hAnsi="Times New Roman"/>
          <w:sz w:val="21"/>
          <w:szCs w:val="21"/>
        </w:rPr>
      </w:pPr>
      <w:r>
        <w:rPr>
          <w:rStyle w:val="37"/>
          <w:rFonts w:ascii="Times New Roman" w:hAnsi="Times New Roman"/>
        </w:rPr>
        <w:footnoteRef/>
      </w:r>
      <w:r>
        <w:rPr>
          <w:rStyle w:val="37"/>
          <w:rFonts w:ascii="Times New Roman" w:hAnsi="Times New Roman"/>
        </w:rPr>
        <w:t xml:space="preserve"> </w:t>
      </w:r>
      <w:r>
        <w:rPr>
          <w:rFonts w:hint="default" w:ascii="Times New Roman" w:hAnsi="Times New Roman"/>
          <w:sz w:val="21"/>
          <w:szCs w:val="21"/>
          <w:lang w:val="en-US" w:eastAsia="zh-CN"/>
        </w:rPr>
        <w:t>技术服务和质保期服务计划/相关服务计划按照招标文件暗标要求进行编制</w:t>
      </w:r>
      <w:r>
        <w:rPr>
          <w:rFonts w:ascii="Times New Roman" w:hAnsi="Times New Roman"/>
          <w:sz w:val="21"/>
          <w:szCs w:val="21"/>
        </w:rPr>
        <w:t>。</w:t>
      </w:r>
    </w:p>
  </w:footnote>
  <w:footnote w:id="30">
    <w:p>
      <w:pPr>
        <w:widowControl w:val="0"/>
        <w:adjustRightInd w:val="0"/>
        <w:snapToGrid w:val="0"/>
        <w:spacing w:line="420" w:lineRule="atLeast"/>
        <w:ind w:firstLine="454" w:firstLineChars="0"/>
        <w:jc w:val="left"/>
        <w:textAlignment w:val="baseline"/>
        <w:rPr>
          <w:rFonts w:hint="default" w:ascii="Times New Roman" w:hAnsi="Times New Roman" w:eastAsia="宋体" w:cs="Times New Roman"/>
          <w:kern w:val="0"/>
          <w:sz w:val="18"/>
          <w:szCs w:val="20"/>
          <w:lang w:val="en-US" w:eastAsia="zh-CN" w:bidi="ar-SA"/>
        </w:rPr>
      </w:pPr>
      <w:r>
        <w:rPr>
          <w:rFonts w:ascii="Times New Roman" w:hAnsi="Times New Roman" w:eastAsia="宋体" w:cs="Times New Roman"/>
          <w:kern w:val="2"/>
          <w:sz w:val="21"/>
          <w:szCs w:val="24"/>
          <w:vertAlign w:val="superscript"/>
          <w:lang w:val="en-US" w:eastAsia="zh-CN" w:bidi="ar-SA"/>
        </w:rPr>
        <w:footnoteRef/>
      </w:r>
      <w:r>
        <w:rPr>
          <w:rFonts w:ascii="Times New Roman" w:hAnsi="Times New Roman" w:eastAsia="宋体" w:cs="Times New Roman"/>
          <w:kern w:val="0"/>
          <w:sz w:val="18"/>
          <w:szCs w:val="20"/>
          <w:lang w:val="zh-CN" w:eastAsia="zh-CN" w:bidi="ar-SA"/>
        </w:rPr>
        <w:t xml:space="preserve"> </w:t>
      </w:r>
      <w:r>
        <w:rPr>
          <w:rFonts w:hint="eastAsia" w:ascii="Times New Roman" w:hAnsi="Times New Roman" w:eastAsia="宋体" w:cs="Times New Roman"/>
          <w:kern w:val="0"/>
          <w:sz w:val="18"/>
          <w:szCs w:val="20"/>
          <w:lang w:val="en-US" w:eastAsia="zh-CN" w:bidi="ar-SA"/>
        </w:rPr>
        <w:t>若本次招标接受联合体投标，以联合体形式参与投标的投标人，联合体各成员应分别填写信息。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tabs>
        <w:tab w:val="left" w:pos="2615"/>
        <w:tab w:val="clear" w:pos="4153"/>
      </w:tabs>
      <w:ind w:firstLine="0" w:firstLineChars="0"/>
      <w:rPr>
        <w:rFonts w:hint="eastAsia" w:ascii="Times New Roman" w:hAnsi="Times New Roman" w:eastAsia="黑体" w:cs="Times New Roman"/>
        <w:sz w:val="20"/>
        <w:szCs w:val="21"/>
        <w:lang w:eastAsia="zh-CN"/>
      </w:rPr>
    </w:pPr>
    <w:r>
      <w:rPr>
        <w:rFonts w:hint="eastAsia" w:eastAsia="黑体" w:cs="Times New Roman"/>
        <w:sz w:val="20"/>
        <w:szCs w:val="21"/>
        <w:lang w:eastAsia="zh-CN"/>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single" w:color="auto" w:sz="4" w:space="0"/>
      </w:pBdr>
      <w:ind w:firstLine="0" w:firstLineChars="0"/>
      <w:rPr>
        <w:rFonts w:hint="default" w:ascii="Times New Roman" w:hAnsi="Times New Roman" w:eastAsia="黑体" w:cs="Times New Roman"/>
        <w:sz w:val="20"/>
        <w:szCs w:val="21"/>
      </w:rPr>
    </w:pPr>
    <w:r>
      <w:rPr>
        <w:rFonts w:hint="eastAsia" w:eastAsia="黑体" w:cs="Times New Roman"/>
        <w:sz w:val="20"/>
        <w:szCs w:val="21"/>
        <w:lang w:eastAsia="zh-CN"/>
      </w:rPr>
      <w:t>辽宁省公路工程标准设备材料采购电子招标文件</w:t>
    </w:r>
    <w:r>
      <w:rPr>
        <w:rFonts w:hint="default" w:ascii="Times New Roman" w:hAnsi="Times New Roman" w:eastAsia="黑体" w:cs="Times New Roman"/>
        <w:sz w:val="20"/>
        <w:szCs w:val="21"/>
      </w:rPr>
      <w:t>（</w:t>
    </w:r>
    <w:r>
      <w:rPr>
        <w:rFonts w:hint="eastAsia" w:eastAsia="黑体" w:cs="Times New Roman"/>
        <w:sz w:val="20"/>
        <w:szCs w:val="21"/>
        <w:lang w:eastAsia="zh-CN"/>
      </w:rPr>
      <w:t>2025年版</w:t>
    </w:r>
    <w:r>
      <w:rPr>
        <w:rFonts w:hint="default" w:ascii="Times New Roman" w:hAnsi="Times New Roman" w:eastAsia="黑体" w:cs="Times New Roman"/>
        <w:sz w:val="20"/>
        <w:szCs w:val="21"/>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jc w:val="right"/>
      <w:rPr>
        <w:szCs w:val="21"/>
      </w:rPr>
    </w:pPr>
    <w:r>
      <w:rPr>
        <w:rStyle w:val="46"/>
        <w:rFonts w:hint="eastAsia" w:eastAsia="黑体"/>
        <w:b w:val="0"/>
        <w:bCs w:val="0"/>
        <w:kern w:val="10"/>
        <w:sz w:val="21"/>
        <w:szCs w:val="21"/>
      </w:rPr>
      <w:t>第七章  投标文件格式</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topLinePunct/>
      <w:spacing w:line="240" w:lineRule="atLeast"/>
      <w:jc w:val="right"/>
      <w:rPr>
        <w:szCs w:val="21"/>
      </w:rPr>
    </w:pPr>
    <w:r>
      <w:rPr>
        <w:rStyle w:val="46"/>
        <w:rFonts w:hint="eastAsia" w:eastAsia="黑体"/>
        <w:b w:val="0"/>
        <w:bCs w:val="0"/>
        <w:kern w:val="10"/>
        <w:sz w:val="21"/>
        <w:szCs w:val="21"/>
      </w:rPr>
      <w:t>第七章  投标文件格式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3B1B86"/>
    <w:multiLevelType w:val="singleLevel"/>
    <w:tmpl w:val="9C3B1B86"/>
    <w:lvl w:ilvl="0" w:tentative="0">
      <w:start w:val="1"/>
      <w:numFmt w:val="decimal"/>
      <w:suff w:val="nothing"/>
      <w:lvlText w:val="（%1）"/>
      <w:lvlJc w:val="left"/>
    </w:lvl>
  </w:abstractNum>
  <w:abstractNum w:abstractNumId="1">
    <w:nsid w:val="0000000A"/>
    <w:multiLevelType w:val="singleLevel"/>
    <w:tmpl w:val="0000000A"/>
    <w:lvl w:ilvl="0" w:tentative="0">
      <w:start w:val="1"/>
      <w:numFmt w:val="decimal"/>
      <w:suff w:val="nothing"/>
      <w:lvlText w:val="（%1）"/>
      <w:lvlJc w:val="left"/>
      <w:pPr>
        <w:tabs>
          <w:tab w:val="left"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footnotePr>
    <w:numFmt w:val="decimalEnclosedCircleChinese"/>
    <w:numRestart w:val="eachPage"/>
    <w:footnote w:id="62"/>
    <w:footnote w:id="6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JmZTQ4Y2Y2NGEzY2MxZDQyNGU0OThlOWNkMmVjZTMifQ=="/>
  </w:docVars>
  <w:rsids>
    <w:rsidRoot w:val="00172A27"/>
    <w:rsid w:val="00002A60"/>
    <w:rsid w:val="00004603"/>
    <w:rsid w:val="00007319"/>
    <w:rsid w:val="000106AE"/>
    <w:rsid w:val="00012703"/>
    <w:rsid w:val="0001485E"/>
    <w:rsid w:val="00021BFE"/>
    <w:rsid w:val="000250D6"/>
    <w:rsid w:val="00025ACC"/>
    <w:rsid w:val="00026171"/>
    <w:rsid w:val="00033881"/>
    <w:rsid w:val="000351AE"/>
    <w:rsid w:val="00043778"/>
    <w:rsid w:val="0005468C"/>
    <w:rsid w:val="00062AC6"/>
    <w:rsid w:val="00067035"/>
    <w:rsid w:val="00070121"/>
    <w:rsid w:val="0007139F"/>
    <w:rsid w:val="000778D0"/>
    <w:rsid w:val="00080C9B"/>
    <w:rsid w:val="0008132B"/>
    <w:rsid w:val="00081360"/>
    <w:rsid w:val="0008253E"/>
    <w:rsid w:val="0009436D"/>
    <w:rsid w:val="000943B0"/>
    <w:rsid w:val="00094A28"/>
    <w:rsid w:val="00094C66"/>
    <w:rsid w:val="000962E4"/>
    <w:rsid w:val="00097D40"/>
    <w:rsid w:val="000A287B"/>
    <w:rsid w:val="000A5C81"/>
    <w:rsid w:val="000A76B3"/>
    <w:rsid w:val="000B65E2"/>
    <w:rsid w:val="000C0018"/>
    <w:rsid w:val="000C1A9B"/>
    <w:rsid w:val="000C1C80"/>
    <w:rsid w:val="000C2AB5"/>
    <w:rsid w:val="000C4710"/>
    <w:rsid w:val="000D4336"/>
    <w:rsid w:val="000D49B4"/>
    <w:rsid w:val="000E08CB"/>
    <w:rsid w:val="000E5673"/>
    <w:rsid w:val="000E6375"/>
    <w:rsid w:val="000E6D00"/>
    <w:rsid w:val="000F2186"/>
    <w:rsid w:val="000F2A12"/>
    <w:rsid w:val="000F2ECC"/>
    <w:rsid w:val="000F55AD"/>
    <w:rsid w:val="001011FC"/>
    <w:rsid w:val="00102618"/>
    <w:rsid w:val="00105423"/>
    <w:rsid w:val="00106180"/>
    <w:rsid w:val="001119B6"/>
    <w:rsid w:val="00115124"/>
    <w:rsid w:val="00117F0F"/>
    <w:rsid w:val="00125158"/>
    <w:rsid w:val="00130FB8"/>
    <w:rsid w:val="0014098E"/>
    <w:rsid w:val="001530C6"/>
    <w:rsid w:val="00167741"/>
    <w:rsid w:val="00172A27"/>
    <w:rsid w:val="001735B4"/>
    <w:rsid w:val="001748A3"/>
    <w:rsid w:val="00182B11"/>
    <w:rsid w:val="00183B4A"/>
    <w:rsid w:val="00185F10"/>
    <w:rsid w:val="00187033"/>
    <w:rsid w:val="00193C1D"/>
    <w:rsid w:val="001978D3"/>
    <w:rsid w:val="001A093D"/>
    <w:rsid w:val="001A0CCF"/>
    <w:rsid w:val="001A2E05"/>
    <w:rsid w:val="001A374D"/>
    <w:rsid w:val="001A3DCB"/>
    <w:rsid w:val="001A4491"/>
    <w:rsid w:val="001A4684"/>
    <w:rsid w:val="001B0E6B"/>
    <w:rsid w:val="001B70EC"/>
    <w:rsid w:val="001B7FEF"/>
    <w:rsid w:val="001C30C7"/>
    <w:rsid w:val="001E1433"/>
    <w:rsid w:val="001F2208"/>
    <w:rsid w:val="001F4134"/>
    <w:rsid w:val="001F45EE"/>
    <w:rsid w:val="001F4850"/>
    <w:rsid w:val="00204A5C"/>
    <w:rsid w:val="00207A0B"/>
    <w:rsid w:val="00212A53"/>
    <w:rsid w:val="0021322F"/>
    <w:rsid w:val="00213B90"/>
    <w:rsid w:val="00215224"/>
    <w:rsid w:val="00215AF0"/>
    <w:rsid w:val="00221B9D"/>
    <w:rsid w:val="002229E2"/>
    <w:rsid w:val="0022434B"/>
    <w:rsid w:val="0023423F"/>
    <w:rsid w:val="00237B0E"/>
    <w:rsid w:val="002430C2"/>
    <w:rsid w:val="00251A49"/>
    <w:rsid w:val="0025460A"/>
    <w:rsid w:val="002558A4"/>
    <w:rsid w:val="00255D0D"/>
    <w:rsid w:val="00260C77"/>
    <w:rsid w:val="00261352"/>
    <w:rsid w:val="00263F0B"/>
    <w:rsid w:val="00264EB1"/>
    <w:rsid w:val="00276C71"/>
    <w:rsid w:val="00281526"/>
    <w:rsid w:val="00284601"/>
    <w:rsid w:val="00285406"/>
    <w:rsid w:val="00294D9A"/>
    <w:rsid w:val="002A552C"/>
    <w:rsid w:val="002A65ED"/>
    <w:rsid w:val="002C0C29"/>
    <w:rsid w:val="002C7B9B"/>
    <w:rsid w:val="002D11A0"/>
    <w:rsid w:val="002D2B90"/>
    <w:rsid w:val="002D6F32"/>
    <w:rsid w:val="002E1DAC"/>
    <w:rsid w:val="002E2461"/>
    <w:rsid w:val="002E6D05"/>
    <w:rsid w:val="002F3394"/>
    <w:rsid w:val="002F72A0"/>
    <w:rsid w:val="00302CFF"/>
    <w:rsid w:val="00311324"/>
    <w:rsid w:val="003122C4"/>
    <w:rsid w:val="0032031D"/>
    <w:rsid w:val="00321647"/>
    <w:rsid w:val="00321989"/>
    <w:rsid w:val="003243EC"/>
    <w:rsid w:val="003247CD"/>
    <w:rsid w:val="00332FBF"/>
    <w:rsid w:val="003362AD"/>
    <w:rsid w:val="00342688"/>
    <w:rsid w:val="0034440E"/>
    <w:rsid w:val="00347899"/>
    <w:rsid w:val="003518D6"/>
    <w:rsid w:val="00354B7A"/>
    <w:rsid w:val="00363966"/>
    <w:rsid w:val="003741B0"/>
    <w:rsid w:val="0038240C"/>
    <w:rsid w:val="0038359A"/>
    <w:rsid w:val="00387996"/>
    <w:rsid w:val="00391F03"/>
    <w:rsid w:val="003A1857"/>
    <w:rsid w:val="003A2368"/>
    <w:rsid w:val="003A27AF"/>
    <w:rsid w:val="003A593E"/>
    <w:rsid w:val="003A6775"/>
    <w:rsid w:val="003C0D7D"/>
    <w:rsid w:val="003C4858"/>
    <w:rsid w:val="003C5BB3"/>
    <w:rsid w:val="003D1170"/>
    <w:rsid w:val="003D1B8E"/>
    <w:rsid w:val="003D2393"/>
    <w:rsid w:val="003D2D72"/>
    <w:rsid w:val="003D36EE"/>
    <w:rsid w:val="003D6E0A"/>
    <w:rsid w:val="003F3518"/>
    <w:rsid w:val="003F504F"/>
    <w:rsid w:val="003F5101"/>
    <w:rsid w:val="003F5B69"/>
    <w:rsid w:val="003F639B"/>
    <w:rsid w:val="00404AF6"/>
    <w:rsid w:val="004105EF"/>
    <w:rsid w:val="00415A1A"/>
    <w:rsid w:val="0042326A"/>
    <w:rsid w:val="00423F96"/>
    <w:rsid w:val="00430878"/>
    <w:rsid w:val="00431F4F"/>
    <w:rsid w:val="0043351E"/>
    <w:rsid w:val="00433676"/>
    <w:rsid w:val="0043613F"/>
    <w:rsid w:val="00436504"/>
    <w:rsid w:val="004405C7"/>
    <w:rsid w:val="00441D39"/>
    <w:rsid w:val="00442AF8"/>
    <w:rsid w:val="0044514A"/>
    <w:rsid w:val="00447E59"/>
    <w:rsid w:val="00457DC2"/>
    <w:rsid w:val="004733D3"/>
    <w:rsid w:val="00487315"/>
    <w:rsid w:val="00494624"/>
    <w:rsid w:val="00495001"/>
    <w:rsid w:val="004A112E"/>
    <w:rsid w:val="004A1631"/>
    <w:rsid w:val="004A76F2"/>
    <w:rsid w:val="004B51E3"/>
    <w:rsid w:val="004B58BC"/>
    <w:rsid w:val="004B6ED7"/>
    <w:rsid w:val="004D1209"/>
    <w:rsid w:val="004D4247"/>
    <w:rsid w:val="004D67CC"/>
    <w:rsid w:val="004D7237"/>
    <w:rsid w:val="004D794D"/>
    <w:rsid w:val="004D7FCB"/>
    <w:rsid w:val="004E0C05"/>
    <w:rsid w:val="004E3473"/>
    <w:rsid w:val="004F1425"/>
    <w:rsid w:val="004F3309"/>
    <w:rsid w:val="00500A8F"/>
    <w:rsid w:val="005034E3"/>
    <w:rsid w:val="0050739A"/>
    <w:rsid w:val="005100DC"/>
    <w:rsid w:val="00511660"/>
    <w:rsid w:val="00512A0D"/>
    <w:rsid w:val="00517CCE"/>
    <w:rsid w:val="005229A0"/>
    <w:rsid w:val="00522D50"/>
    <w:rsid w:val="00527D92"/>
    <w:rsid w:val="00531BAF"/>
    <w:rsid w:val="00537781"/>
    <w:rsid w:val="005409DB"/>
    <w:rsid w:val="00542C62"/>
    <w:rsid w:val="00543F5F"/>
    <w:rsid w:val="00545698"/>
    <w:rsid w:val="00546149"/>
    <w:rsid w:val="00550148"/>
    <w:rsid w:val="00555089"/>
    <w:rsid w:val="005565F1"/>
    <w:rsid w:val="00562259"/>
    <w:rsid w:val="005655BD"/>
    <w:rsid w:val="00566ADA"/>
    <w:rsid w:val="00571F99"/>
    <w:rsid w:val="00573B46"/>
    <w:rsid w:val="00573C8F"/>
    <w:rsid w:val="00576C5E"/>
    <w:rsid w:val="00577C17"/>
    <w:rsid w:val="00580957"/>
    <w:rsid w:val="005824FB"/>
    <w:rsid w:val="005826AA"/>
    <w:rsid w:val="00586955"/>
    <w:rsid w:val="00592226"/>
    <w:rsid w:val="00594240"/>
    <w:rsid w:val="005955BA"/>
    <w:rsid w:val="005A0B59"/>
    <w:rsid w:val="005A0E9F"/>
    <w:rsid w:val="005A175C"/>
    <w:rsid w:val="005A245A"/>
    <w:rsid w:val="005A2C7B"/>
    <w:rsid w:val="005A328C"/>
    <w:rsid w:val="005B0F9A"/>
    <w:rsid w:val="005B1A42"/>
    <w:rsid w:val="005B4DB1"/>
    <w:rsid w:val="005C162E"/>
    <w:rsid w:val="005C417A"/>
    <w:rsid w:val="005D22FC"/>
    <w:rsid w:val="005D3D41"/>
    <w:rsid w:val="005D736F"/>
    <w:rsid w:val="005E4F70"/>
    <w:rsid w:val="005E7CE8"/>
    <w:rsid w:val="005F162E"/>
    <w:rsid w:val="005F16C3"/>
    <w:rsid w:val="005F328B"/>
    <w:rsid w:val="005F74F3"/>
    <w:rsid w:val="00605A28"/>
    <w:rsid w:val="006109EF"/>
    <w:rsid w:val="00614E98"/>
    <w:rsid w:val="0062295C"/>
    <w:rsid w:val="00623AD2"/>
    <w:rsid w:val="00632B51"/>
    <w:rsid w:val="00633021"/>
    <w:rsid w:val="00636962"/>
    <w:rsid w:val="006376A9"/>
    <w:rsid w:val="006438E7"/>
    <w:rsid w:val="00644C71"/>
    <w:rsid w:val="006462FA"/>
    <w:rsid w:val="00657340"/>
    <w:rsid w:val="00660EBB"/>
    <w:rsid w:val="00663119"/>
    <w:rsid w:val="00663CC5"/>
    <w:rsid w:val="00670660"/>
    <w:rsid w:val="00675445"/>
    <w:rsid w:val="006806AB"/>
    <w:rsid w:val="00684D69"/>
    <w:rsid w:val="00686AF3"/>
    <w:rsid w:val="006928F3"/>
    <w:rsid w:val="00692945"/>
    <w:rsid w:val="006952F5"/>
    <w:rsid w:val="006A0150"/>
    <w:rsid w:val="006A350C"/>
    <w:rsid w:val="006A5596"/>
    <w:rsid w:val="006A6269"/>
    <w:rsid w:val="006A6A9F"/>
    <w:rsid w:val="006B4620"/>
    <w:rsid w:val="006C1B42"/>
    <w:rsid w:val="006C56C9"/>
    <w:rsid w:val="006D144F"/>
    <w:rsid w:val="006D567B"/>
    <w:rsid w:val="006D79F6"/>
    <w:rsid w:val="006E0B76"/>
    <w:rsid w:val="006E1665"/>
    <w:rsid w:val="006E1CF0"/>
    <w:rsid w:val="006E2EB3"/>
    <w:rsid w:val="006E3EAB"/>
    <w:rsid w:val="006E521B"/>
    <w:rsid w:val="006F30B4"/>
    <w:rsid w:val="006F46C3"/>
    <w:rsid w:val="006F6474"/>
    <w:rsid w:val="006F6E12"/>
    <w:rsid w:val="00701A84"/>
    <w:rsid w:val="00705859"/>
    <w:rsid w:val="00706041"/>
    <w:rsid w:val="00710F59"/>
    <w:rsid w:val="007123AF"/>
    <w:rsid w:val="00712A96"/>
    <w:rsid w:val="00712FF3"/>
    <w:rsid w:val="00721056"/>
    <w:rsid w:val="00725C94"/>
    <w:rsid w:val="00726A6C"/>
    <w:rsid w:val="00726B23"/>
    <w:rsid w:val="00726DB7"/>
    <w:rsid w:val="00727E29"/>
    <w:rsid w:val="00733083"/>
    <w:rsid w:val="007404E5"/>
    <w:rsid w:val="00742B21"/>
    <w:rsid w:val="00744517"/>
    <w:rsid w:val="007445A6"/>
    <w:rsid w:val="00750137"/>
    <w:rsid w:val="0075115C"/>
    <w:rsid w:val="00755157"/>
    <w:rsid w:val="00766147"/>
    <w:rsid w:val="00766DD4"/>
    <w:rsid w:val="00770518"/>
    <w:rsid w:val="007724D2"/>
    <w:rsid w:val="00772E30"/>
    <w:rsid w:val="007769FC"/>
    <w:rsid w:val="00777B21"/>
    <w:rsid w:val="00780470"/>
    <w:rsid w:val="007861D1"/>
    <w:rsid w:val="00790A94"/>
    <w:rsid w:val="007911B2"/>
    <w:rsid w:val="00797ACE"/>
    <w:rsid w:val="007A08F7"/>
    <w:rsid w:val="007A1E5B"/>
    <w:rsid w:val="007A36C9"/>
    <w:rsid w:val="007A5188"/>
    <w:rsid w:val="007A6512"/>
    <w:rsid w:val="007A67FD"/>
    <w:rsid w:val="007B3D71"/>
    <w:rsid w:val="007B5213"/>
    <w:rsid w:val="007B7DDF"/>
    <w:rsid w:val="007C292F"/>
    <w:rsid w:val="007D07A2"/>
    <w:rsid w:val="007D16DC"/>
    <w:rsid w:val="007D4C26"/>
    <w:rsid w:val="007D5CBB"/>
    <w:rsid w:val="007D6572"/>
    <w:rsid w:val="007D7740"/>
    <w:rsid w:val="007E0563"/>
    <w:rsid w:val="007E6590"/>
    <w:rsid w:val="007E78FD"/>
    <w:rsid w:val="007F0FAC"/>
    <w:rsid w:val="007F33A5"/>
    <w:rsid w:val="007F55F9"/>
    <w:rsid w:val="007F6A96"/>
    <w:rsid w:val="008016DA"/>
    <w:rsid w:val="00803D1B"/>
    <w:rsid w:val="00804854"/>
    <w:rsid w:val="00805D01"/>
    <w:rsid w:val="00814ACE"/>
    <w:rsid w:val="0081682E"/>
    <w:rsid w:val="00822B05"/>
    <w:rsid w:val="00823971"/>
    <w:rsid w:val="00826534"/>
    <w:rsid w:val="00826C28"/>
    <w:rsid w:val="00833E5B"/>
    <w:rsid w:val="00842D0A"/>
    <w:rsid w:val="00842DD8"/>
    <w:rsid w:val="0084602F"/>
    <w:rsid w:val="00847755"/>
    <w:rsid w:val="00851FB3"/>
    <w:rsid w:val="0085267C"/>
    <w:rsid w:val="008567AE"/>
    <w:rsid w:val="008602E0"/>
    <w:rsid w:val="008625DD"/>
    <w:rsid w:val="008631FE"/>
    <w:rsid w:val="00865A18"/>
    <w:rsid w:val="00877B50"/>
    <w:rsid w:val="00880C4E"/>
    <w:rsid w:val="00884568"/>
    <w:rsid w:val="00886D39"/>
    <w:rsid w:val="008936E5"/>
    <w:rsid w:val="008A0C4A"/>
    <w:rsid w:val="008A3781"/>
    <w:rsid w:val="008A4F8A"/>
    <w:rsid w:val="008A5485"/>
    <w:rsid w:val="008A6265"/>
    <w:rsid w:val="008B4958"/>
    <w:rsid w:val="008C1519"/>
    <w:rsid w:val="008C4D93"/>
    <w:rsid w:val="008D0EA5"/>
    <w:rsid w:val="008D1879"/>
    <w:rsid w:val="008D2B4F"/>
    <w:rsid w:val="008F2DB6"/>
    <w:rsid w:val="008F78BF"/>
    <w:rsid w:val="0090152F"/>
    <w:rsid w:val="00905AE6"/>
    <w:rsid w:val="009102B1"/>
    <w:rsid w:val="00913DA9"/>
    <w:rsid w:val="00915BD0"/>
    <w:rsid w:val="009165B6"/>
    <w:rsid w:val="0091764F"/>
    <w:rsid w:val="00922D1D"/>
    <w:rsid w:val="0092577B"/>
    <w:rsid w:val="00926831"/>
    <w:rsid w:val="00937163"/>
    <w:rsid w:val="00942FF5"/>
    <w:rsid w:val="00943B39"/>
    <w:rsid w:val="00943F58"/>
    <w:rsid w:val="0094443B"/>
    <w:rsid w:val="0094784E"/>
    <w:rsid w:val="0094793B"/>
    <w:rsid w:val="00956336"/>
    <w:rsid w:val="0096197F"/>
    <w:rsid w:val="009635CE"/>
    <w:rsid w:val="00964882"/>
    <w:rsid w:val="009678EF"/>
    <w:rsid w:val="00972737"/>
    <w:rsid w:val="00972D10"/>
    <w:rsid w:val="00976894"/>
    <w:rsid w:val="0098095B"/>
    <w:rsid w:val="00981293"/>
    <w:rsid w:val="009816BB"/>
    <w:rsid w:val="00984168"/>
    <w:rsid w:val="0098473F"/>
    <w:rsid w:val="0098548A"/>
    <w:rsid w:val="00987946"/>
    <w:rsid w:val="009914DB"/>
    <w:rsid w:val="00993DD3"/>
    <w:rsid w:val="0099765D"/>
    <w:rsid w:val="009A21F7"/>
    <w:rsid w:val="009A4E18"/>
    <w:rsid w:val="009A6828"/>
    <w:rsid w:val="009B115E"/>
    <w:rsid w:val="009B54E6"/>
    <w:rsid w:val="009C42F0"/>
    <w:rsid w:val="009C5D2B"/>
    <w:rsid w:val="009D0A6C"/>
    <w:rsid w:val="009E280D"/>
    <w:rsid w:val="009E77CE"/>
    <w:rsid w:val="009F0479"/>
    <w:rsid w:val="009F1AC6"/>
    <w:rsid w:val="009F3D52"/>
    <w:rsid w:val="009F42B3"/>
    <w:rsid w:val="009F46DE"/>
    <w:rsid w:val="009F7053"/>
    <w:rsid w:val="00A00218"/>
    <w:rsid w:val="00A01041"/>
    <w:rsid w:val="00A013E6"/>
    <w:rsid w:val="00A059CF"/>
    <w:rsid w:val="00A05EDA"/>
    <w:rsid w:val="00A12741"/>
    <w:rsid w:val="00A160BA"/>
    <w:rsid w:val="00A161A9"/>
    <w:rsid w:val="00A20C87"/>
    <w:rsid w:val="00A214E6"/>
    <w:rsid w:val="00A236AA"/>
    <w:rsid w:val="00A239C4"/>
    <w:rsid w:val="00A24AE5"/>
    <w:rsid w:val="00A27544"/>
    <w:rsid w:val="00A27AD2"/>
    <w:rsid w:val="00A31FBE"/>
    <w:rsid w:val="00A33FE5"/>
    <w:rsid w:val="00A443E0"/>
    <w:rsid w:val="00A51D94"/>
    <w:rsid w:val="00A51ECB"/>
    <w:rsid w:val="00A549E2"/>
    <w:rsid w:val="00A63667"/>
    <w:rsid w:val="00A64CFB"/>
    <w:rsid w:val="00A660F9"/>
    <w:rsid w:val="00A663FC"/>
    <w:rsid w:val="00A7108D"/>
    <w:rsid w:val="00A71821"/>
    <w:rsid w:val="00A72400"/>
    <w:rsid w:val="00A75AAB"/>
    <w:rsid w:val="00A77C2A"/>
    <w:rsid w:val="00A8366F"/>
    <w:rsid w:val="00A86BC1"/>
    <w:rsid w:val="00A909F4"/>
    <w:rsid w:val="00A90FFC"/>
    <w:rsid w:val="00A93CEE"/>
    <w:rsid w:val="00A95DBF"/>
    <w:rsid w:val="00A97ECB"/>
    <w:rsid w:val="00AA77E6"/>
    <w:rsid w:val="00AB22FD"/>
    <w:rsid w:val="00AB249C"/>
    <w:rsid w:val="00AB3141"/>
    <w:rsid w:val="00AB5EF7"/>
    <w:rsid w:val="00AB609D"/>
    <w:rsid w:val="00AB66B8"/>
    <w:rsid w:val="00AC0D1C"/>
    <w:rsid w:val="00AC2268"/>
    <w:rsid w:val="00AD4BF6"/>
    <w:rsid w:val="00AD75D8"/>
    <w:rsid w:val="00AD7CAC"/>
    <w:rsid w:val="00AD7DE4"/>
    <w:rsid w:val="00AE2EAF"/>
    <w:rsid w:val="00AE3D01"/>
    <w:rsid w:val="00AE4FC4"/>
    <w:rsid w:val="00AE5260"/>
    <w:rsid w:val="00AE5CF7"/>
    <w:rsid w:val="00AE67B6"/>
    <w:rsid w:val="00AF08A4"/>
    <w:rsid w:val="00AF3442"/>
    <w:rsid w:val="00AF49A0"/>
    <w:rsid w:val="00AF5D13"/>
    <w:rsid w:val="00AF7CFA"/>
    <w:rsid w:val="00B05EB7"/>
    <w:rsid w:val="00B0641E"/>
    <w:rsid w:val="00B065F5"/>
    <w:rsid w:val="00B17226"/>
    <w:rsid w:val="00B1739F"/>
    <w:rsid w:val="00B17C7E"/>
    <w:rsid w:val="00B20435"/>
    <w:rsid w:val="00B2193F"/>
    <w:rsid w:val="00B34169"/>
    <w:rsid w:val="00B37C5F"/>
    <w:rsid w:val="00B40DB4"/>
    <w:rsid w:val="00B43529"/>
    <w:rsid w:val="00B45828"/>
    <w:rsid w:val="00B46489"/>
    <w:rsid w:val="00B51807"/>
    <w:rsid w:val="00B51D11"/>
    <w:rsid w:val="00B52304"/>
    <w:rsid w:val="00B568D1"/>
    <w:rsid w:val="00B56F9E"/>
    <w:rsid w:val="00B6040F"/>
    <w:rsid w:val="00B60C4A"/>
    <w:rsid w:val="00B60D18"/>
    <w:rsid w:val="00B70AB4"/>
    <w:rsid w:val="00B70E4F"/>
    <w:rsid w:val="00B76B4B"/>
    <w:rsid w:val="00B82CF7"/>
    <w:rsid w:val="00B82E6C"/>
    <w:rsid w:val="00B83DB7"/>
    <w:rsid w:val="00B83E5B"/>
    <w:rsid w:val="00B840FF"/>
    <w:rsid w:val="00B850F5"/>
    <w:rsid w:val="00B86D09"/>
    <w:rsid w:val="00B923D8"/>
    <w:rsid w:val="00B924CB"/>
    <w:rsid w:val="00BA1742"/>
    <w:rsid w:val="00BA6A1E"/>
    <w:rsid w:val="00BA73D9"/>
    <w:rsid w:val="00BA779B"/>
    <w:rsid w:val="00BA7B36"/>
    <w:rsid w:val="00BB14E3"/>
    <w:rsid w:val="00BB6955"/>
    <w:rsid w:val="00BC31D7"/>
    <w:rsid w:val="00BC62D1"/>
    <w:rsid w:val="00BC7BDB"/>
    <w:rsid w:val="00BD07C5"/>
    <w:rsid w:val="00BD0888"/>
    <w:rsid w:val="00BD2382"/>
    <w:rsid w:val="00BD38A7"/>
    <w:rsid w:val="00BD4CB1"/>
    <w:rsid w:val="00BD5685"/>
    <w:rsid w:val="00BD58EC"/>
    <w:rsid w:val="00BD5F19"/>
    <w:rsid w:val="00BD6C5E"/>
    <w:rsid w:val="00BD7122"/>
    <w:rsid w:val="00BE1F7A"/>
    <w:rsid w:val="00BF1F32"/>
    <w:rsid w:val="00BF7CA8"/>
    <w:rsid w:val="00C000E6"/>
    <w:rsid w:val="00C10A53"/>
    <w:rsid w:val="00C11B1A"/>
    <w:rsid w:val="00C13744"/>
    <w:rsid w:val="00C1558A"/>
    <w:rsid w:val="00C16E65"/>
    <w:rsid w:val="00C26A17"/>
    <w:rsid w:val="00C409F2"/>
    <w:rsid w:val="00C40EFF"/>
    <w:rsid w:val="00C426BD"/>
    <w:rsid w:val="00C428F5"/>
    <w:rsid w:val="00C452D2"/>
    <w:rsid w:val="00C473A5"/>
    <w:rsid w:val="00C50F27"/>
    <w:rsid w:val="00C561A1"/>
    <w:rsid w:val="00C57185"/>
    <w:rsid w:val="00C60374"/>
    <w:rsid w:val="00C65F10"/>
    <w:rsid w:val="00C737E3"/>
    <w:rsid w:val="00C74CE6"/>
    <w:rsid w:val="00C750F1"/>
    <w:rsid w:val="00C75D0D"/>
    <w:rsid w:val="00C77D07"/>
    <w:rsid w:val="00C8459E"/>
    <w:rsid w:val="00C9312C"/>
    <w:rsid w:val="00C97B27"/>
    <w:rsid w:val="00CA54D2"/>
    <w:rsid w:val="00CB10FE"/>
    <w:rsid w:val="00CB1F5E"/>
    <w:rsid w:val="00CB2000"/>
    <w:rsid w:val="00CB621C"/>
    <w:rsid w:val="00CC02F2"/>
    <w:rsid w:val="00CC247B"/>
    <w:rsid w:val="00CC69FA"/>
    <w:rsid w:val="00CC6B34"/>
    <w:rsid w:val="00CD09B4"/>
    <w:rsid w:val="00CD6EE8"/>
    <w:rsid w:val="00CD737F"/>
    <w:rsid w:val="00CD7773"/>
    <w:rsid w:val="00CE4AF8"/>
    <w:rsid w:val="00CE691B"/>
    <w:rsid w:val="00CE78B9"/>
    <w:rsid w:val="00CF48A1"/>
    <w:rsid w:val="00CF5CD9"/>
    <w:rsid w:val="00CF67F1"/>
    <w:rsid w:val="00D01E73"/>
    <w:rsid w:val="00D0314D"/>
    <w:rsid w:val="00D0344C"/>
    <w:rsid w:val="00D0532F"/>
    <w:rsid w:val="00D05F0E"/>
    <w:rsid w:val="00D10DA3"/>
    <w:rsid w:val="00D13DA8"/>
    <w:rsid w:val="00D2665C"/>
    <w:rsid w:val="00D31A22"/>
    <w:rsid w:val="00D32CD6"/>
    <w:rsid w:val="00D355AF"/>
    <w:rsid w:val="00D4185E"/>
    <w:rsid w:val="00D424F4"/>
    <w:rsid w:val="00D4426F"/>
    <w:rsid w:val="00D47B11"/>
    <w:rsid w:val="00D61E00"/>
    <w:rsid w:val="00D70B9C"/>
    <w:rsid w:val="00D71AF2"/>
    <w:rsid w:val="00D73671"/>
    <w:rsid w:val="00D74914"/>
    <w:rsid w:val="00D7638D"/>
    <w:rsid w:val="00D765FC"/>
    <w:rsid w:val="00D8264B"/>
    <w:rsid w:val="00D8313F"/>
    <w:rsid w:val="00D9028D"/>
    <w:rsid w:val="00D90E2B"/>
    <w:rsid w:val="00D91F21"/>
    <w:rsid w:val="00D935CD"/>
    <w:rsid w:val="00D94273"/>
    <w:rsid w:val="00D944A0"/>
    <w:rsid w:val="00D946E9"/>
    <w:rsid w:val="00DA0916"/>
    <w:rsid w:val="00DA7EB6"/>
    <w:rsid w:val="00DB17DE"/>
    <w:rsid w:val="00DB1F46"/>
    <w:rsid w:val="00DB2502"/>
    <w:rsid w:val="00DB3854"/>
    <w:rsid w:val="00DB45CC"/>
    <w:rsid w:val="00DB7E41"/>
    <w:rsid w:val="00DC1BF6"/>
    <w:rsid w:val="00DC3A4D"/>
    <w:rsid w:val="00DC4FA6"/>
    <w:rsid w:val="00DC500F"/>
    <w:rsid w:val="00DC76AE"/>
    <w:rsid w:val="00DD230C"/>
    <w:rsid w:val="00DD2358"/>
    <w:rsid w:val="00DE0C34"/>
    <w:rsid w:val="00DE2DF3"/>
    <w:rsid w:val="00DE3B31"/>
    <w:rsid w:val="00DE7014"/>
    <w:rsid w:val="00DF58D7"/>
    <w:rsid w:val="00E00B48"/>
    <w:rsid w:val="00E030EE"/>
    <w:rsid w:val="00E108C3"/>
    <w:rsid w:val="00E11F03"/>
    <w:rsid w:val="00E120B9"/>
    <w:rsid w:val="00E13758"/>
    <w:rsid w:val="00E148F3"/>
    <w:rsid w:val="00E151DA"/>
    <w:rsid w:val="00E15382"/>
    <w:rsid w:val="00E20944"/>
    <w:rsid w:val="00E238A2"/>
    <w:rsid w:val="00E27256"/>
    <w:rsid w:val="00E3243B"/>
    <w:rsid w:val="00E335D8"/>
    <w:rsid w:val="00E33707"/>
    <w:rsid w:val="00E34005"/>
    <w:rsid w:val="00E40E23"/>
    <w:rsid w:val="00E413AB"/>
    <w:rsid w:val="00E43274"/>
    <w:rsid w:val="00E4665E"/>
    <w:rsid w:val="00E53F38"/>
    <w:rsid w:val="00E64E71"/>
    <w:rsid w:val="00E73E35"/>
    <w:rsid w:val="00E807BA"/>
    <w:rsid w:val="00E80F7E"/>
    <w:rsid w:val="00E8164C"/>
    <w:rsid w:val="00E82B5F"/>
    <w:rsid w:val="00E90D94"/>
    <w:rsid w:val="00E95194"/>
    <w:rsid w:val="00E96F65"/>
    <w:rsid w:val="00EA5BBB"/>
    <w:rsid w:val="00EB10A7"/>
    <w:rsid w:val="00EB2328"/>
    <w:rsid w:val="00EB48A2"/>
    <w:rsid w:val="00EB6DE7"/>
    <w:rsid w:val="00EB71F5"/>
    <w:rsid w:val="00EC4440"/>
    <w:rsid w:val="00EC6890"/>
    <w:rsid w:val="00ED694A"/>
    <w:rsid w:val="00ED76D9"/>
    <w:rsid w:val="00F0031B"/>
    <w:rsid w:val="00F060A4"/>
    <w:rsid w:val="00F06124"/>
    <w:rsid w:val="00F07523"/>
    <w:rsid w:val="00F10F7C"/>
    <w:rsid w:val="00F15D39"/>
    <w:rsid w:val="00F16B10"/>
    <w:rsid w:val="00F231AB"/>
    <w:rsid w:val="00F24BB1"/>
    <w:rsid w:val="00F304EE"/>
    <w:rsid w:val="00F31887"/>
    <w:rsid w:val="00F35671"/>
    <w:rsid w:val="00F37F12"/>
    <w:rsid w:val="00F400C4"/>
    <w:rsid w:val="00F41E90"/>
    <w:rsid w:val="00F4710F"/>
    <w:rsid w:val="00F53A81"/>
    <w:rsid w:val="00F56016"/>
    <w:rsid w:val="00F57D8D"/>
    <w:rsid w:val="00F60E88"/>
    <w:rsid w:val="00F73B29"/>
    <w:rsid w:val="00F757F6"/>
    <w:rsid w:val="00F823B7"/>
    <w:rsid w:val="00F82B69"/>
    <w:rsid w:val="00F84961"/>
    <w:rsid w:val="00F86321"/>
    <w:rsid w:val="00F91188"/>
    <w:rsid w:val="00F9546C"/>
    <w:rsid w:val="00F96CF9"/>
    <w:rsid w:val="00F97B72"/>
    <w:rsid w:val="00FA10A8"/>
    <w:rsid w:val="00FA1427"/>
    <w:rsid w:val="00FA45BA"/>
    <w:rsid w:val="00FA5296"/>
    <w:rsid w:val="00FB1F93"/>
    <w:rsid w:val="00FB48DF"/>
    <w:rsid w:val="00FB5972"/>
    <w:rsid w:val="00FB632F"/>
    <w:rsid w:val="00FC3BAF"/>
    <w:rsid w:val="00FC5824"/>
    <w:rsid w:val="00FC5D22"/>
    <w:rsid w:val="00FD01BA"/>
    <w:rsid w:val="00FD0CA5"/>
    <w:rsid w:val="00FD1B32"/>
    <w:rsid w:val="00FD4012"/>
    <w:rsid w:val="00FE20F3"/>
    <w:rsid w:val="00FE4D45"/>
    <w:rsid w:val="00FE7070"/>
    <w:rsid w:val="00FF460F"/>
    <w:rsid w:val="00FF4F25"/>
    <w:rsid w:val="00FF6B57"/>
    <w:rsid w:val="01091206"/>
    <w:rsid w:val="012873DD"/>
    <w:rsid w:val="014337F8"/>
    <w:rsid w:val="015B3560"/>
    <w:rsid w:val="017B3FF0"/>
    <w:rsid w:val="017F67AA"/>
    <w:rsid w:val="01814321"/>
    <w:rsid w:val="01822EC5"/>
    <w:rsid w:val="01B52C2D"/>
    <w:rsid w:val="01B80BEC"/>
    <w:rsid w:val="01CE2E9D"/>
    <w:rsid w:val="01F85EC0"/>
    <w:rsid w:val="022F0983"/>
    <w:rsid w:val="027A3AA1"/>
    <w:rsid w:val="028B5071"/>
    <w:rsid w:val="02906810"/>
    <w:rsid w:val="02922C03"/>
    <w:rsid w:val="02D56BEB"/>
    <w:rsid w:val="030C78DB"/>
    <w:rsid w:val="03427629"/>
    <w:rsid w:val="034766CD"/>
    <w:rsid w:val="034E6807"/>
    <w:rsid w:val="035F0010"/>
    <w:rsid w:val="037232BE"/>
    <w:rsid w:val="037D56E7"/>
    <w:rsid w:val="038D0151"/>
    <w:rsid w:val="03E04B6A"/>
    <w:rsid w:val="03E715D0"/>
    <w:rsid w:val="03ED05FD"/>
    <w:rsid w:val="04561AEE"/>
    <w:rsid w:val="047C0850"/>
    <w:rsid w:val="049125AB"/>
    <w:rsid w:val="04940FE9"/>
    <w:rsid w:val="04A7703E"/>
    <w:rsid w:val="04AC61EE"/>
    <w:rsid w:val="04BA3FA6"/>
    <w:rsid w:val="04FD4606"/>
    <w:rsid w:val="050634BB"/>
    <w:rsid w:val="0520383A"/>
    <w:rsid w:val="05234E03"/>
    <w:rsid w:val="05293077"/>
    <w:rsid w:val="055709AD"/>
    <w:rsid w:val="055962C4"/>
    <w:rsid w:val="056F673D"/>
    <w:rsid w:val="05D32A1C"/>
    <w:rsid w:val="05E0766C"/>
    <w:rsid w:val="05EA1B39"/>
    <w:rsid w:val="05FE4C26"/>
    <w:rsid w:val="06265ABD"/>
    <w:rsid w:val="06510766"/>
    <w:rsid w:val="065B1A57"/>
    <w:rsid w:val="067B3A34"/>
    <w:rsid w:val="06935222"/>
    <w:rsid w:val="06A34CC8"/>
    <w:rsid w:val="06A93AE7"/>
    <w:rsid w:val="06AB4FE9"/>
    <w:rsid w:val="06C278B5"/>
    <w:rsid w:val="06C311A8"/>
    <w:rsid w:val="06D61345"/>
    <w:rsid w:val="06EB2968"/>
    <w:rsid w:val="06FB15AB"/>
    <w:rsid w:val="071312E4"/>
    <w:rsid w:val="073B37B8"/>
    <w:rsid w:val="07753EDE"/>
    <w:rsid w:val="077E2B67"/>
    <w:rsid w:val="079D7527"/>
    <w:rsid w:val="07A70F85"/>
    <w:rsid w:val="07FD0DA7"/>
    <w:rsid w:val="0814540D"/>
    <w:rsid w:val="0819223E"/>
    <w:rsid w:val="08311325"/>
    <w:rsid w:val="083414E6"/>
    <w:rsid w:val="087F28FA"/>
    <w:rsid w:val="088176B4"/>
    <w:rsid w:val="088A1B31"/>
    <w:rsid w:val="08A55307"/>
    <w:rsid w:val="08AE4799"/>
    <w:rsid w:val="08DF02AB"/>
    <w:rsid w:val="09027D41"/>
    <w:rsid w:val="090B72F2"/>
    <w:rsid w:val="09105143"/>
    <w:rsid w:val="094B1DE4"/>
    <w:rsid w:val="097F7BD4"/>
    <w:rsid w:val="099A67B7"/>
    <w:rsid w:val="099F7A3A"/>
    <w:rsid w:val="09D023D0"/>
    <w:rsid w:val="09E85885"/>
    <w:rsid w:val="0A0228C1"/>
    <w:rsid w:val="0A180B84"/>
    <w:rsid w:val="0A407B82"/>
    <w:rsid w:val="0A481E7F"/>
    <w:rsid w:val="0A5F7F8C"/>
    <w:rsid w:val="0A69550A"/>
    <w:rsid w:val="0A9F3E33"/>
    <w:rsid w:val="0ABD092B"/>
    <w:rsid w:val="0AC637B9"/>
    <w:rsid w:val="0ACE0286"/>
    <w:rsid w:val="0ADD629B"/>
    <w:rsid w:val="0AE64D56"/>
    <w:rsid w:val="0B024724"/>
    <w:rsid w:val="0B2E5519"/>
    <w:rsid w:val="0B38732E"/>
    <w:rsid w:val="0B41424F"/>
    <w:rsid w:val="0B4B60CB"/>
    <w:rsid w:val="0B5605CC"/>
    <w:rsid w:val="0B594ADB"/>
    <w:rsid w:val="0B5D195B"/>
    <w:rsid w:val="0B627BFF"/>
    <w:rsid w:val="0B66017E"/>
    <w:rsid w:val="0B93537C"/>
    <w:rsid w:val="0BA778F3"/>
    <w:rsid w:val="0BAE21B6"/>
    <w:rsid w:val="0BF0712E"/>
    <w:rsid w:val="0C1503FE"/>
    <w:rsid w:val="0C1D4BBD"/>
    <w:rsid w:val="0C3B63A2"/>
    <w:rsid w:val="0C5A4BC9"/>
    <w:rsid w:val="0C5F5F72"/>
    <w:rsid w:val="0C9B1F9A"/>
    <w:rsid w:val="0CA35A93"/>
    <w:rsid w:val="0CB0347E"/>
    <w:rsid w:val="0D1500CF"/>
    <w:rsid w:val="0D2F7B25"/>
    <w:rsid w:val="0D4252A2"/>
    <w:rsid w:val="0D573276"/>
    <w:rsid w:val="0D9E2E2F"/>
    <w:rsid w:val="0DA03D99"/>
    <w:rsid w:val="0DB166B1"/>
    <w:rsid w:val="0DB717F6"/>
    <w:rsid w:val="0DCA6984"/>
    <w:rsid w:val="0DD75CD7"/>
    <w:rsid w:val="0E252179"/>
    <w:rsid w:val="0E2A4C6B"/>
    <w:rsid w:val="0E7A1BB8"/>
    <w:rsid w:val="0E8518F4"/>
    <w:rsid w:val="0E8E59FB"/>
    <w:rsid w:val="0E9665F4"/>
    <w:rsid w:val="0E984360"/>
    <w:rsid w:val="0EA06CB7"/>
    <w:rsid w:val="0EA85371"/>
    <w:rsid w:val="0EB560BF"/>
    <w:rsid w:val="0EBA4947"/>
    <w:rsid w:val="0EBC61DF"/>
    <w:rsid w:val="0EE02A09"/>
    <w:rsid w:val="0EF014C5"/>
    <w:rsid w:val="0F7A5ED6"/>
    <w:rsid w:val="0FDB5A6C"/>
    <w:rsid w:val="103963AA"/>
    <w:rsid w:val="10406C6C"/>
    <w:rsid w:val="105F3B62"/>
    <w:rsid w:val="10703E0F"/>
    <w:rsid w:val="10721E36"/>
    <w:rsid w:val="10885918"/>
    <w:rsid w:val="108F4B64"/>
    <w:rsid w:val="109E4EEF"/>
    <w:rsid w:val="10B301BB"/>
    <w:rsid w:val="10BA75CD"/>
    <w:rsid w:val="10EF4CC1"/>
    <w:rsid w:val="112E688E"/>
    <w:rsid w:val="113625E8"/>
    <w:rsid w:val="11743B70"/>
    <w:rsid w:val="11930593"/>
    <w:rsid w:val="1194447E"/>
    <w:rsid w:val="119E6FA4"/>
    <w:rsid w:val="11C4716D"/>
    <w:rsid w:val="11CC007C"/>
    <w:rsid w:val="11F2192F"/>
    <w:rsid w:val="12212C5A"/>
    <w:rsid w:val="12463148"/>
    <w:rsid w:val="125D13BB"/>
    <w:rsid w:val="12730A42"/>
    <w:rsid w:val="12AA36D7"/>
    <w:rsid w:val="12E35EDE"/>
    <w:rsid w:val="12F901BB"/>
    <w:rsid w:val="130C43DC"/>
    <w:rsid w:val="13181334"/>
    <w:rsid w:val="137E6912"/>
    <w:rsid w:val="138E61A0"/>
    <w:rsid w:val="139951DB"/>
    <w:rsid w:val="13BB426A"/>
    <w:rsid w:val="13E46BF1"/>
    <w:rsid w:val="13FB0A64"/>
    <w:rsid w:val="14053B42"/>
    <w:rsid w:val="140E7208"/>
    <w:rsid w:val="1422304F"/>
    <w:rsid w:val="145B1459"/>
    <w:rsid w:val="1479563A"/>
    <w:rsid w:val="14961F4B"/>
    <w:rsid w:val="14E6148C"/>
    <w:rsid w:val="14F52F16"/>
    <w:rsid w:val="15024CCA"/>
    <w:rsid w:val="151948C9"/>
    <w:rsid w:val="151D0195"/>
    <w:rsid w:val="15372CA7"/>
    <w:rsid w:val="154B5A81"/>
    <w:rsid w:val="158E222C"/>
    <w:rsid w:val="15907FBE"/>
    <w:rsid w:val="16094BB9"/>
    <w:rsid w:val="160A449E"/>
    <w:rsid w:val="160C7B69"/>
    <w:rsid w:val="16157A01"/>
    <w:rsid w:val="163E2AD9"/>
    <w:rsid w:val="163F22FA"/>
    <w:rsid w:val="165A7423"/>
    <w:rsid w:val="166149F5"/>
    <w:rsid w:val="166C4E41"/>
    <w:rsid w:val="166E24EC"/>
    <w:rsid w:val="16910D9D"/>
    <w:rsid w:val="16A356B5"/>
    <w:rsid w:val="17136502"/>
    <w:rsid w:val="17190F2B"/>
    <w:rsid w:val="173E4A05"/>
    <w:rsid w:val="175B7696"/>
    <w:rsid w:val="175E2CE2"/>
    <w:rsid w:val="17626C76"/>
    <w:rsid w:val="178624E4"/>
    <w:rsid w:val="17C95975"/>
    <w:rsid w:val="17D15A91"/>
    <w:rsid w:val="17DE3E23"/>
    <w:rsid w:val="17EE4066"/>
    <w:rsid w:val="17FE5B8E"/>
    <w:rsid w:val="18303CBB"/>
    <w:rsid w:val="183F12A7"/>
    <w:rsid w:val="185D3751"/>
    <w:rsid w:val="18B9233C"/>
    <w:rsid w:val="18D630E6"/>
    <w:rsid w:val="18E72CEE"/>
    <w:rsid w:val="18F2399E"/>
    <w:rsid w:val="19070E81"/>
    <w:rsid w:val="191926DB"/>
    <w:rsid w:val="196178B0"/>
    <w:rsid w:val="19622F5E"/>
    <w:rsid w:val="19660CEA"/>
    <w:rsid w:val="19766C87"/>
    <w:rsid w:val="19A41FCE"/>
    <w:rsid w:val="19BE215E"/>
    <w:rsid w:val="19C72E9C"/>
    <w:rsid w:val="19D41982"/>
    <w:rsid w:val="19E66603"/>
    <w:rsid w:val="1A0575B6"/>
    <w:rsid w:val="1A177A01"/>
    <w:rsid w:val="1A1F2E4A"/>
    <w:rsid w:val="1A4F56F7"/>
    <w:rsid w:val="1A6344A6"/>
    <w:rsid w:val="1A647F2F"/>
    <w:rsid w:val="1A6C7EAA"/>
    <w:rsid w:val="1A791CC0"/>
    <w:rsid w:val="1A7F4978"/>
    <w:rsid w:val="1AED3AD7"/>
    <w:rsid w:val="1AF545FE"/>
    <w:rsid w:val="1B065B6B"/>
    <w:rsid w:val="1B120826"/>
    <w:rsid w:val="1B60164C"/>
    <w:rsid w:val="1B795713"/>
    <w:rsid w:val="1B7B5BD7"/>
    <w:rsid w:val="1BA254A9"/>
    <w:rsid w:val="1BAD2DBB"/>
    <w:rsid w:val="1BC47CB3"/>
    <w:rsid w:val="1BC5537A"/>
    <w:rsid w:val="1C107633"/>
    <w:rsid w:val="1C215CD0"/>
    <w:rsid w:val="1C400181"/>
    <w:rsid w:val="1C490AB2"/>
    <w:rsid w:val="1C623275"/>
    <w:rsid w:val="1C657C00"/>
    <w:rsid w:val="1CA4388D"/>
    <w:rsid w:val="1CB6711D"/>
    <w:rsid w:val="1CDD0B4D"/>
    <w:rsid w:val="1CE12C0A"/>
    <w:rsid w:val="1CF77E61"/>
    <w:rsid w:val="1CFE6317"/>
    <w:rsid w:val="1D2708D8"/>
    <w:rsid w:val="1D2C43C4"/>
    <w:rsid w:val="1D435587"/>
    <w:rsid w:val="1D586945"/>
    <w:rsid w:val="1D7F002D"/>
    <w:rsid w:val="1D837940"/>
    <w:rsid w:val="1DA12E9E"/>
    <w:rsid w:val="1DB23D88"/>
    <w:rsid w:val="1DC046F7"/>
    <w:rsid w:val="1E36109D"/>
    <w:rsid w:val="1E3864AB"/>
    <w:rsid w:val="1E6B66E3"/>
    <w:rsid w:val="1E6F4637"/>
    <w:rsid w:val="1E7602DE"/>
    <w:rsid w:val="1E780C0D"/>
    <w:rsid w:val="1E9A6D50"/>
    <w:rsid w:val="1EA646F4"/>
    <w:rsid w:val="1EAA1311"/>
    <w:rsid w:val="1EC576E9"/>
    <w:rsid w:val="1EFA6AF8"/>
    <w:rsid w:val="1F2C5050"/>
    <w:rsid w:val="1F363BD8"/>
    <w:rsid w:val="1F5844BB"/>
    <w:rsid w:val="1F585345"/>
    <w:rsid w:val="1FB54005"/>
    <w:rsid w:val="1FBE6B51"/>
    <w:rsid w:val="20263B2F"/>
    <w:rsid w:val="202D4D18"/>
    <w:rsid w:val="203B617F"/>
    <w:rsid w:val="20433104"/>
    <w:rsid w:val="20542ED4"/>
    <w:rsid w:val="20564E9E"/>
    <w:rsid w:val="205A411C"/>
    <w:rsid w:val="205E1019"/>
    <w:rsid w:val="2069769F"/>
    <w:rsid w:val="207946A2"/>
    <w:rsid w:val="20EE3611"/>
    <w:rsid w:val="20F16975"/>
    <w:rsid w:val="20FC568F"/>
    <w:rsid w:val="210B38EA"/>
    <w:rsid w:val="210E7F88"/>
    <w:rsid w:val="213276BA"/>
    <w:rsid w:val="21792FBB"/>
    <w:rsid w:val="217B70EC"/>
    <w:rsid w:val="21A331FD"/>
    <w:rsid w:val="21B165EA"/>
    <w:rsid w:val="21C570CD"/>
    <w:rsid w:val="21EF55AB"/>
    <w:rsid w:val="225B4C6A"/>
    <w:rsid w:val="22946A32"/>
    <w:rsid w:val="22A200F8"/>
    <w:rsid w:val="22BB76BB"/>
    <w:rsid w:val="22C205F2"/>
    <w:rsid w:val="22CF41DC"/>
    <w:rsid w:val="22D02771"/>
    <w:rsid w:val="232F75C6"/>
    <w:rsid w:val="236A0004"/>
    <w:rsid w:val="23856442"/>
    <w:rsid w:val="23964A5E"/>
    <w:rsid w:val="23C66F3E"/>
    <w:rsid w:val="23CB7951"/>
    <w:rsid w:val="23CC3C8A"/>
    <w:rsid w:val="23DC6782"/>
    <w:rsid w:val="23ED49BB"/>
    <w:rsid w:val="24C52063"/>
    <w:rsid w:val="24EE1375"/>
    <w:rsid w:val="25832103"/>
    <w:rsid w:val="25994CA7"/>
    <w:rsid w:val="25BA7C7E"/>
    <w:rsid w:val="260625B3"/>
    <w:rsid w:val="26242EE1"/>
    <w:rsid w:val="2641404B"/>
    <w:rsid w:val="26426B75"/>
    <w:rsid w:val="2685584E"/>
    <w:rsid w:val="26B80518"/>
    <w:rsid w:val="26C0321D"/>
    <w:rsid w:val="26E13AB1"/>
    <w:rsid w:val="26E73922"/>
    <w:rsid w:val="26EB1B11"/>
    <w:rsid w:val="26F90B2C"/>
    <w:rsid w:val="26F97F6A"/>
    <w:rsid w:val="272830DD"/>
    <w:rsid w:val="27495B1B"/>
    <w:rsid w:val="27B8502F"/>
    <w:rsid w:val="27C15A0D"/>
    <w:rsid w:val="27D05112"/>
    <w:rsid w:val="27DB7FEE"/>
    <w:rsid w:val="27E72880"/>
    <w:rsid w:val="27F1135B"/>
    <w:rsid w:val="281C5F77"/>
    <w:rsid w:val="28227A91"/>
    <w:rsid w:val="284B2E60"/>
    <w:rsid w:val="28525444"/>
    <w:rsid w:val="285717B4"/>
    <w:rsid w:val="28703E19"/>
    <w:rsid w:val="28A450B9"/>
    <w:rsid w:val="28B042DC"/>
    <w:rsid w:val="28C140B9"/>
    <w:rsid w:val="28E544AE"/>
    <w:rsid w:val="29095B9C"/>
    <w:rsid w:val="290A3B15"/>
    <w:rsid w:val="29331264"/>
    <w:rsid w:val="29752DF4"/>
    <w:rsid w:val="297665B1"/>
    <w:rsid w:val="29A21154"/>
    <w:rsid w:val="29E969A0"/>
    <w:rsid w:val="29F55167"/>
    <w:rsid w:val="2A103412"/>
    <w:rsid w:val="2A19569C"/>
    <w:rsid w:val="2A1E2D2D"/>
    <w:rsid w:val="2A283373"/>
    <w:rsid w:val="2A571F3F"/>
    <w:rsid w:val="2A5822A4"/>
    <w:rsid w:val="2A694C28"/>
    <w:rsid w:val="2A6A4C35"/>
    <w:rsid w:val="2A7778D7"/>
    <w:rsid w:val="2A806267"/>
    <w:rsid w:val="2A8F62DB"/>
    <w:rsid w:val="2AB4113F"/>
    <w:rsid w:val="2ABB16D0"/>
    <w:rsid w:val="2AC670C5"/>
    <w:rsid w:val="2AF44E32"/>
    <w:rsid w:val="2B9D28FD"/>
    <w:rsid w:val="2BB60EE7"/>
    <w:rsid w:val="2BE0339B"/>
    <w:rsid w:val="2BE414A3"/>
    <w:rsid w:val="2C050D8C"/>
    <w:rsid w:val="2C08542D"/>
    <w:rsid w:val="2C207F06"/>
    <w:rsid w:val="2C232282"/>
    <w:rsid w:val="2C6466CE"/>
    <w:rsid w:val="2C8E776E"/>
    <w:rsid w:val="2CB84348"/>
    <w:rsid w:val="2CE8602F"/>
    <w:rsid w:val="2CF03227"/>
    <w:rsid w:val="2CF47A58"/>
    <w:rsid w:val="2D18015B"/>
    <w:rsid w:val="2D366247"/>
    <w:rsid w:val="2D4B150D"/>
    <w:rsid w:val="2D581F18"/>
    <w:rsid w:val="2D666D38"/>
    <w:rsid w:val="2D7434A7"/>
    <w:rsid w:val="2DD120B8"/>
    <w:rsid w:val="2DEA131C"/>
    <w:rsid w:val="2DF8651E"/>
    <w:rsid w:val="2E1E3201"/>
    <w:rsid w:val="2E3E3C10"/>
    <w:rsid w:val="2E400CA4"/>
    <w:rsid w:val="2E5413BB"/>
    <w:rsid w:val="2E642E7C"/>
    <w:rsid w:val="2E6B0AEC"/>
    <w:rsid w:val="2EC04FA7"/>
    <w:rsid w:val="2ED43335"/>
    <w:rsid w:val="2F3C2E7D"/>
    <w:rsid w:val="2F3E1D7A"/>
    <w:rsid w:val="2F413135"/>
    <w:rsid w:val="2F4662FF"/>
    <w:rsid w:val="2F58524D"/>
    <w:rsid w:val="2F6B1725"/>
    <w:rsid w:val="2F7964B4"/>
    <w:rsid w:val="2F8C268B"/>
    <w:rsid w:val="2FCB38F0"/>
    <w:rsid w:val="2FFB1A6A"/>
    <w:rsid w:val="300049EF"/>
    <w:rsid w:val="30354355"/>
    <w:rsid w:val="305146E6"/>
    <w:rsid w:val="30521681"/>
    <w:rsid w:val="30556C3A"/>
    <w:rsid w:val="30C145B6"/>
    <w:rsid w:val="30FA0A5F"/>
    <w:rsid w:val="310F2977"/>
    <w:rsid w:val="31472444"/>
    <w:rsid w:val="31494069"/>
    <w:rsid w:val="31862C5E"/>
    <w:rsid w:val="31884CF7"/>
    <w:rsid w:val="31896E18"/>
    <w:rsid w:val="31A72F68"/>
    <w:rsid w:val="31E52343"/>
    <w:rsid w:val="32002DA2"/>
    <w:rsid w:val="320358CC"/>
    <w:rsid w:val="32075FF9"/>
    <w:rsid w:val="32392AEE"/>
    <w:rsid w:val="32460F53"/>
    <w:rsid w:val="327F3BB3"/>
    <w:rsid w:val="32B64511"/>
    <w:rsid w:val="32B941E7"/>
    <w:rsid w:val="32DC7485"/>
    <w:rsid w:val="32F159B3"/>
    <w:rsid w:val="333B43DF"/>
    <w:rsid w:val="333F17C2"/>
    <w:rsid w:val="33857B1D"/>
    <w:rsid w:val="33875B81"/>
    <w:rsid w:val="33B4266C"/>
    <w:rsid w:val="33CB5F8B"/>
    <w:rsid w:val="33F25B4F"/>
    <w:rsid w:val="342E0F88"/>
    <w:rsid w:val="34403A44"/>
    <w:rsid w:val="347569F5"/>
    <w:rsid w:val="34853B4C"/>
    <w:rsid w:val="34A511A6"/>
    <w:rsid w:val="34B51B07"/>
    <w:rsid w:val="34CC69B3"/>
    <w:rsid w:val="3502042B"/>
    <w:rsid w:val="350E1BDA"/>
    <w:rsid w:val="350F761D"/>
    <w:rsid w:val="35352E7D"/>
    <w:rsid w:val="35444E49"/>
    <w:rsid w:val="3556338E"/>
    <w:rsid w:val="357D0C39"/>
    <w:rsid w:val="35D52583"/>
    <w:rsid w:val="35E161D5"/>
    <w:rsid w:val="35E50A14"/>
    <w:rsid w:val="35F411BD"/>
    <w:rsid w:val="36026DB7"/>
    <w:rsid w:val="36110972"/>
    <w:rsid w:val="361613EB"/>
    <w:rsid w:val="3624433A"/>
    <w:rsid w:val="3628478F"/>
    <w:rsid w:val="36290D45"/>
    <w:rsid w:val="362C275B"/>
    <w:rsid w:val="3647376A"/>
    <w:rsid w:val="36653A36"/>
    <w:rsid w:val="36657792"/>
    <w:rsid w:val="367F755C"/>
    <w:rsid w:val="36B45DB4"/>
    <w:rsid w:val="36DA7EC6"/>
    <w:rsid w:val="36ED5D04"/>
    <w:rsid w:val="36FD3F9D"/>
    <w:rsid w:val="372B2FED"/>
    <w:rsid w:val="37452EE6"/>
    <w:rsid w:val="374F2957"/>
    <w:rsid w:val="375B3D12"/>
    <w:rsid w:val="376756C2"/>
    <w:rsid w:val="377F6482"/>
    <w:rsid w:val="37CC5A57"/>
    <w:rsid w:val="382144AD"/>
    <w:rsid w:val="387B47CC"/>
    <w:rsid w:val="38883C0B"/>
    <w:rsid w:val="389A2654"/>
    <w:rsid w:val="389C7F90"/>
    <w:rsid w:val="38A13F81"/>
    <w:rsid w:val="38CD30C2"/>
    <w:rsid w:val="39160452"/>
    <w:rsid w:val="39327AB8"/>
    <w:rsid w:val="393A5AF3"/>
    <w:rsid w:val="3941590C"/>
    <w:rsid w:val="3961212F"/>
    <w:rsid w:val="398208CC"/>
    <w:rsid w:val="39926B26"/>
    <w:rsid w:val="39A037BF"/>
    <w:rsid w:val="39FA5950"/>
    <w:rsid w:val="3A30455A"/>
    <w:rsid w:val="3A6F3B80"/>
    <w:rsid w:val="3AC55452"/>
    <w:rsid w:val="3AC971CA"/>
    <w:rsid w:val="3AD033FC"/>
    <w:rsid w:val="3AF46C72"/>
    <w:rsid w:val="3AF47245"/>
    <w:rsid w:val="3B136C6E"/>
    <w:rsid w:val="3B3A1E92"/>
    <w:rsid w:val="3B716BE4"/>
    <w:rsid w:val="3B723161"/>
    <w:rsid w:val="3B974891"/>
    <w:rsid w:val="3BBF16F2"/>
    <w:rsid w:val="3BC8543C"/>
    <w:rsid w:val="3BCA412D"/>
    <w:rsid w:val="3BDB749D"/>
    <w:rsid w:val="3BE32E2A"/>
    <w:rsid w:val="3BED6F23"/>
    <w:rsid w:val="3C2105FF"/>
    <w:rsid w:val="3C28373B"/>
    <w:rsid w:val="3C3C7D06"/>
    <w:rsid w:val="3C4147DF"/>
    <w:rsid w:val="3C611912"/>
    <w:rsid w:val="3C942B7F"/>
    <w:rsid w:val="3C9F3754"/>
    <w:rsid w:val="3CB46D7D"/>
    <w:rsid w:val="3CBA5319"/>
    <w:rsid w:val="3CC91E56"/>
    <w:rsid w:val="3CE8111C"/>
    <w:rsid w:val="3CF44581"/>
    <w:rsid w:val="3D09729A"/>
    <w:rsid w:val="3D1818C2"/>
    <w:rsid w:val="3D213899"/>
    <w:rsid w:val="3D2E70CB"/>
    <w:rsid w:val="3D403C9A"/>
    <w:rsid w:val="3D4E5423"/>
    <w:rsid w:val="3D4F499E"/>
    <w:rsid w:val="3D6437FE"/>
    <w:rsid w:val="3D9933A8"/>
    <w:rsid w:val="3DA51F9C"/>
    <w:rsid w:val="3DA70690"/>
    <w:rsid w:val="3DAA3649"/>
    <w:rsid w:val="3DCE1BA1"/>
    <w:rsid w:val="3DD43036"/>
    <w:rsid w:val="3DDB7FD1"/>
    <w:rsid w:val="3E0047CB"/>
    <w:rsid w:val="3E111FEB"/>
    <w:rsid w:val="3E192175"/>
    <w:rsid w:val="3E1E55B3"/>
    <w:rsid w:val="3E3F6B1A"/>
    <w:rsid w:val="3E9305E9"/>
    <w:rsid w:val="3EAE5A4E"/>
    <w:rsid w:val="3EE804A2"/>
    <w:rsid w:val="3F0B2EA0"/>
    <w:rsid w:val="3F115584"/>
    <w:rsid w:val="3F184EB4"/>
    <w:rsid w:val="3F27785D"/>
    <w:rsid w:val="3F2B13A4"/>
    <w:rsid w:val="3F2D75BE"/>
    <w:rsid w:val="3F781209"/>
    <w:rsid w:val="3FCA52FB"/>
    <w:rsid w:val="3FF53A9B"/>
    <w:rsid w:val="3FF55E7C"/>
    <w:rsid w:val="4023022C"/>
    <w:rsid w:val="40786313"/>
    <w:rsid w:val="40861EE8"/>
    <w:rsid w:val="409A38FB"/>
    <w:rsid w:val="40AA1674"/>
    <w:rsid w:val="40B575D3"/>
    <w:rsid w:val="40F005A0"/>
    <w:rsid w:val="410A5F3D"/>
    <w:rsid w:val="41135982"/>
    <w:rsid w:val="413B04DB"/>
    <w:rsid w:val="417F0130"/>
    <w:rsid w:val="417F09E7"/>
    <w:rsid w:val="418E7A84"/>
    <w:rsid w:val="41A05D1E"/>
    <w:rsid w:val="41A839F4"/>
    <w:rsid w:val="41C103FC"/>
    <w:rsid w:val="41C4321C"/>
    <w:rsid w:val="41CA5B15"/>
    <w:rsid w:val="41F45E6E"/>
    <w:rsid w:val="42620094"/>
    <w:rsid w:val="426E37B8"/>
    <w:rsid w:val="427C44C4"/>
    <w:rsid w:val="427C7278"/>
    <w:rsid w:val="42BF6CE3"/>
    <w:rsid w:val="42E45062"/>
    <w:rsid w:val="42F12B6C"/>
    <w:rsid w:val="42F25E92"/>
    <w:rsid w:val="43547FC2"/>
    <w:rsid w:val="43754D8C"/>
    <w:rsid w:val="439A528D"/>
    <w:rsid w:val="43A43DCC"/>
    <w:rsid w:val="43A85162"/>
    <w:rsid w:val="43DE580C"/>
    <w:rsid w:val="44136A7F"/>
    <w:rsid w:val="441A1C4E"/>
    <w:rsid w:val="441C7588"/>
    <w:rsid w:val="44366AFE"/>
    <w:rsid w:val="443E4E5B"/>
    <w:rsid w:val="444F02BA"/>
    <w:rsid w:val="44623DCE"/>
    <w:rsid w:val="44745E94"/>
    <w:rsid w:val="44875704"/>
    <w:rsid w:val="44CB3B1B"/>
    <w:rsid w:val="44D7587B"/>
    <w:rsid w:val="44DA1CE5"/>
    <w:rsid w:val="451C0AA3"/>
    <w:rsid w:val="45246A6A"/>
    <w:rsid w:val="45250BF0"/>
    <w:rsid w:val="45332022"/>
    <w:rsid w:val="45592DA7"/>
    <w:rsid w:val="45626EC4"/>
    <w:rsid w:val="45E41333"/>
    <w:rsid w:val="45E47E77"/>
    <w:rsid w:val="45ED51BC"/>
    <w:rsid w:val="45FB6FE8"/>
    <w:rsid w:val="460C5157"/>
    <w:rsid w:val="463C0CB3"/>
    <w:rsid w:val="46641814"/>
    <w:rsid w:val="46747F5F"/>
    <w:rsid w:val="46B77214"/>
    <w:rsid w:val="46BE093B"/>
    <w:rsid w:val="46C155A5"/>
    <w:rsid w:val="46CE7AF5"/>
    <w:rsid w:val="470C4574"/>
    <w:rsid w:val="473E5817"/>
    <w:rsid w:val="47640AF8"/>
    <w:rsid w:val="47891DAE"/>
    <w:rsid w:val="479E1646"/>
    <w:rsid w:val="47B879A3"/>
    <w:rsid w:val="47CC5899"/>
    <w:rsid w:val="47D247C1"/>
    <w:rsid w:val="4816269F"/>
    <w:rsid w:val="483672CE"/>
    <w:rsid w:val="483B65A4"/>
    <w:rsid w:val="485B27FD"/>
    <w:rsid w:val="4861082B"/>
    <w:rsid w:val="487A34B7"/>
    <w:rsid w:val="48A4239B"/>
    <w:rsid w:val="48A6169C"/>
    <w:rsid w:val="48BA71A8"/>
    <w:rsid w:val="48E417B3"/>
    <w:rsid w:val="49197C60"/>
    <w:rsid w:val="49321834"/>
    <w:rsid w:val="493C2472"/>
    <w:rsid w:val="496303B9"/>
    <w:rsid w:val="497A6719"/>
    <w:rsid w:val="498963DE"/>
    <w:rsid w:val="49A31148"/>
    <w:rsid w:val="49BF1701"/>
    <w:rsid w:val="4A1649E3"/>
    <w:rsid w:val="4A1B4158"/>
    <w:rsid w:val="4A2D22B6"/>
    <w:rsid w:val="4A36507D"/>
    <w:rsid w:val="4A6A3171"/>
    <w:rsid w:val="4A6B1AFE"/>
    <w:rsid w:val="4A7364C9"/>
    <w:rsid w:val="4A8154BD"/>
    <w:rsid w:val="4A857FAB"/>
    <w:rsid w:val="4A8F5DF4"/>
    <w:rsid w:val="4A9D3546"/>
    <w:rsid w:val="4AC42881"/>
    <w:rsid w:val="4AD86434"/>
    <w:rsid w:val="4AF64982"/>
    <w:rsid w:val="4B0A4C46"/>
    <w:rsid w:val="4B2B0B52"/>
    <w:rsid w:val="4B2E6D15"/>
    <w:rsid w:val="4B3925F7"/>
    <w:rsid w:val="4B5B0112"/>
    <w:rsid w:val="4B774FCB"/>
    <w:rsid w:val="4B7C7A78"/>
    <w:rsid w:val="4B9B0199"/>
    <w:rsid w:val="4BA803F5"/>
    <w:rsid w:val="4BD41185"/>
    <w:rsid w:val="4BE40FE4"/>
    <w:rsid w:val="4C1C0DD6"/>
    <w:rsid w:val="4C2555A1"/>
    <w:rsid w:val="4C525534"/>
    <w:rsid w:val="4CA961D2"/>
    <w:rsid w:val="4CBC1C5F"/>
    <w:rsid w:val="4CD26C12"/>
    <w:rsid w:val="4CEB0465"/>
    <w:rsid w:val="4CF136D5"/>
    <w:rsid w:val="4D0201D0"/>
    <w:rsid w:val="4D0F1DAD"/>
    <w:rsid w:val="4D307987"/>
    <w:rsid w:val="4D573E80"/>
    <w:rsid w:val="4D61085B"/>
    <w:rsid w:val="4DD14953"/>
    <w:rsid w:val="4DE76DEB"/>
    <w:rsid w:val="4E0C30A2"/>
    <w:rsid w:val="4E8972EB"/>
    <w:rsid w:val="4ED225C5"/>
    <w:rsid w:val="4EF94AC3"/>
    <w:rsid w:val="4F0612C4"/>
    <w:rsid w:val="4F095FFE"/>
    <w:rsid w:val="4F354C93"/>
    <w:rsid w:val="4F3D3E30"/>
    <w:rsid w:val="4F7E64C7"/>
    <w:rsid w:val="4FA42CE3"/>
    <w:rsid w:val="4FD400B7"/>
    <w:rsid w:val="4FF06F7E"/>
    <w:rsid w:val="4FF84D7B"/>
    <w:rsid w:val="50175B49"/>
    <w:rsid w:val="5018705F"/>
    <w:rsid w:val="501A12CE"/>
    <w:rsid w:val="501E581F"/>
    <w:rsid w:val="503D5DA2"/>
    <w:rsid w:val="504D397F"/>
    <w:rsid w:val="50525B59"/>
    <w:rsid w:val="505C5D66"/>
    <w:rsid w:val="50937738"/>
    <w:rsid w:val="50B13A11"/>
    <w:rsid w:val="50B70DEB"/>
    <w:rsid w:val="50D2381E"/>
    <w:rsid w:val="51082574"/>
    <w:rsid w:val="511C5086"/>
    <w:rsid w:val="516923D4"/>
    <w:rsid w:val="518C153C"/>
    <w:rsid w:val="51B9766F"/>
    <w:rsid w:val="51E30160"/>
    <w:rsid w:val="52066806"/>
    <w:rsid w:val="52122BFF"/>
    <w:rsid w:val="521D1562"/>
    <w:rsid w:val="52374AD2"/>
    <w:rsid w:val="524A66DC"/>
    <w:rsid w:val="526D0C41"/>
    <w:rsid w:val="52CE57B0"/>
    <w:rsid w:val="52DA0283"/>
    <w:rsid w:val="52E63738"/>
    <w:rsid w:val="533E3905"/>
    <w:rsid w:val="53566466"/>
    <w:rsid w:val="53601DB3"/>
    <w:rsid w:val="53612967"/>
    <w:rsid w:val="53A24E2C"/>
    <w:rsid w:val="53B349BB"/>
    <w:rsid w:val="53BD6289"/>
    <w:rsid w:val="53C210E3"/>
    <w:rsid w:val="53C669BD"/>
    <w:rsid w:val="53D224B3"/>
    <w:rsid w:val="53FD7330"/>
    <w:rsid w:val="542F42BA"/>
    <w:rsid w:val="54526F0E"/>
    <w:rsid w:val="54782713"/>
    <w:rsid w:val="548E5275"/>
    <w:rsid w:val="54914A2F"/>
    <w:rsid w:val="54931516"/>
    <w:rsid w:val="549B7616"/>
    <w:rsid w:val="54A41A2E"/>
    <w:rsid w:val="54B90FC5"/>
    <w:rsid w:val="552E46BC"/>
    <w:rsid w:val="55393E6B"/>
    <w:rsid w:val="55576514"/>
    <w:rsid w:val="555A3408"/>
    <w:rsid w:val="55633225"/>
    <w:rsid w:val="556370DE"/>
    <w:rsid w:val="556E0847"/>
    <w:rsid w:val="55A25378"/>
    <w:rsid w:val="55C37111"/>
    <w:rsid w:val="55ED5656"/>
    <w:rsid w:val="56085DF4"/>
    <w:rsid w:val="5633046F"/>
    <w:rsid w:val="56346CD4"/>
    <w:rsid w:val="5637090C"/>
    <w:rsid w:val="565263A7"/>
    <w:rsid w:val="565F7902"/>
    <w:rsid w:val="566C722D"/>
    <w:rsid w:val="56727B8D"/>
    <w:rsid w:val="56B051C1"/>
    <w:rsid w:val="56C50A07"/>
    <w:rsid w:val="56C87B9D"/>
    <w:rsid w:val="56D30863"/>
    <w:rsid w:val="56D55F97"/>
    <w:rsid w:val="56E5222A"/>
    <w:rsid w:val="5724649F"/>
    <w:rsid w:val="57434603"/>
    <w:rsid w:val="57A80FC1"/>
    <w:rsid w:val="57CC3598"/>
    <w:rsid w:val="57D85BBE"/>
    <w:rsid w:val="57F80557"/>
    <w:rsid w:val="580F3851"/>
    <w:rsid w:val="58421289"/>
    <w:rsid w:val="5875650F"/>
    <w:rsid w:val="588F6FE2"/>
    <w:rsid w:val="589A0491"/>
    <w:rsid w:val="58D81171"/>
    <w:rsid w:val="58EE4B98"/>
    <w:rsid w:val="59156368"/>
    <w:rsid w:val="59356DEA"/>
    <w:rsid w:val="59A64B68"/>
    <w:rsid w:val="59AD4E28"/>
    <w:rsid w:val="59E00D5A"/>
    <w:rsid w:val="59F360CB"/>
    <w:rsid w:val="5A147A38"/>
    <w:rsid w:val="5A4F7C8D"/>
    <w:rsid w:val="5A670D37"/>
    <w:rsid w:val="5A733572"/>
    <w:rsid w:val="5A747072"/>
    <w:rsid w:val="5A9A35FE"/>
    <w:rsid w:val="5A9D4FB2"/>
    <w:rsid w:val="5AAE6D5E"/>
    <w:rsid w:val="5AB42E2E"/>
    <w:rsid w:val="5AB94AC0"/>
    <w:rsid w:val="5AC53A88"/>
    <w:rsid w:val="5B352068"/>
    <w:rsid w:val="5B545E5B"/>
    <w:rsid w:val="5B977DC6"/>
    <w:rsid w:val="5B9C3DBC"/>
    <w:rsid w:val="5BA4483A"/>
    <w:rsid w:val="5BAF52D3"/>
    <w:rsid w:val="5BB24978"/>
    <w:rsid w:val="5C4051CD"/>
    <w:rsid w:val="5C414B38"/>
    <w:rsid w:val="5C471B28"/>
    <w:rsid w:val="5C566F47"/>
    <w:rsid w:val="5C67342A"/>
    <w:rsid w:val="5C7B3531"/>
    <w:rsid w:val="5C846B4A"/>
    <w:rsid w:val="5C937179"/>
    <w:rsid w:val="5CDD759E"/>
    <w:rsid w:val="5D0858C1"/>
    <w:rsid w:val="5D2B2C34"/>
    <w:rsid w:val="5D363FEE"/>
    <w:rsid w:val="5D43207A"/>
    <w:rsid w:val="5D5A0E23"/>
    <w:rsid w:val="5D704692"/>
    <w:rsid w:val="5D7D5AC3"/>
    <w:rsid w:val="5D9562FF"/>
    <w:rsid w:val="5DAE4D26"/>
    <w:rsid w:val="5DC32037"/>
    <w:rsid w:val="5DDE3802"/>
    <w:rsid w:val="5DE03A1E"/>
    <w:rsid w:val="5DE4738C"/>
    <w:rsid w:val="5DF5602D"/>
    <w:rsid w:val="5DF748C4"/>
    <w:rsid w:val="5E7B2F0B"/>
    <w:rsid w:val="5E9F5041"/>
    <w:rsid w:val="5EAE14D8"/>
    <w:rsid w:val="5ED014D1"/>
    <w:rsid w:val="5EE82BA3"/>
    <w:rsid w:val="5F061A14"/>
    <w:rsid w:val="5F295B30"/>
    <w:rsid w:val="5F3863B7"/>
    <w:rsid w:val="5F4C7F44"/>
    <w:rsid w:val="5F642625"/>
    <w:rsid w:val="5F64400A"/>
    <w:rsid w:val="5FA97E40"/>
    <w:rsid w:val="5FAC105F"/>
    <w:rsid w:val="5FB977AF"/>
    <w:rsid w:val="5FBA5715"/>
    <w:rsid w:val="5FC627A0"/>
    <w:rsid w:val="600D5DA2"/>
    <w:rsid w:val="60305A54"/>
    <w:rsid w:val="60511E26"/>
    <w:rsid w:val="605250CF"/>
    <w:rsid w:val="60535781"/>
    <w:rsid w:val="605E4C35"/>
    <w:rsid w:val="605F32EC"/>
    <w:rsid w:val="607448F1"/>
    <w:rsid w:val="60B05B8F"/>
    <w:rsid w:val="60B45E71"/>
    <w:rsid w:val="610E43FE"/>
    <w:rsid w:val="61416B0F"/>
    <w:rsid w:val="616E5D6A"/>
    <w:rsid w:val="618F792D"/>
    <w:rsid w:val="61905107"/>
    <w:rsid w:val="61940BB0"/>
    <w:rsid w:val="61972646"/>
    <w:rsid w:val="61A316BC"/>
    <w:rsid w:val="61B956D0"/>
    <w:rsid w:val="61F50F1C"/>
    <w:rsid w:val="61F5736C"/>
    <w:rsid w:val="620B6B90"/>
    <w:rsid w:val="621F21D0"/>
    <w:rsid w:val="623C62EE"/>
    <w:rsid w:val="627063FC"/>
    <w:rsid w:val="62804FC6"/>
    <w:rsid w:val="62C84CBD"/>
    <w:rsid w:val="62CF7148"/>
    <w:rsid w:val="6321792E"/>
    <w:rsid w:val="633F7921"/>
    <w:rsid w:val="63400343"/>
    <w:rsid w:val="634347F2"/>
    <w:rsid w:val="63440DE8"/>
    <w:rsid w:val="63512CC8"/>
    <w:rsid w:val="637D1D0F"/>
    <w:rsid w:val="638207E4"/>
    <w:rsid w:val="63BE2CC5"/>
    <w:rsid w:val="63ED67C0"/>
    <w:rsid w:val="63F648F8"/>
    <w:rsid w:val="63F83144"/>
    <w:rsid w:val="63FD614D"/>
    <w:rsid w:val="640E50ED"/>
    <w:rsid w:val="641036CB"/>
    <w:rsid w:val="642D083A"/>
    <w:rsid w:val="646033F8"/>
    <w:rsid w:val="646627A3"/>
    <w:rsid w:val="646877F5"/>
    <w:rsid w:val="64933ABF"/>
    <w:rsid w:val="649913A1"/>
    <w:rsid w:val="64AD0BED"/>
    <w:rsid w:val="64D77000"/>
    <w:rsid w:val="64D94D23"/>
    <w:rsid w:val="65140FB5"/>
    <w:rsid w:val="65695619"/>
    <w:rsid w:val="657632A3"/>
    <w:rsid w:val="65B0017A"/>
    <w:rsid w:val="65B40B48"/>
    <w:rsid w:val="65CF19EA"/>
    <w:rsid w:val="65DF2605"/>
    <w:rsid w:val="65FB33C0"/>
    <w:rsid w:val="663E4AB3"/>
    <w:rsid w:val="66680A54"/>
    <w:rsid w:val="66A31A68"/>
    <w:rsid w:val="66CA13F7"/>
    <w:rsid w:val="66EC00EE"/>
    <w:rsid w:val="67002A3B"/>
    <w:rsid w:val="670B29FF"/>
    <w:rsid w:val="672B5EAD"/>
    <w:rsid w:val="672C55DE"/>
    <w:rsid w:val="67367361"/>
    <w:rsid w:val="674C3ED2"/>
    <w:rsid w:val="67684445"/>
    <w:rsid w:val="677F4F2C"/>
    <w:rsid w:val="67981728"/>
    <w:rsid w:val="67982C74"/>
    <w:rsid w:val="67D1173C"/>
    <w:rsid w:val="67D72CA3"/>
    <w:rsid w:val="67EA24FF"/>
    <w:rsid w:val="67F33A1A"/>
    <w:rsid w:val="67F74E5D"/>
    <w:rsid w:val="67FD18B3"/>
    <w:rsid w:val="6809591F"/>
    <w:rsid w:val="680B538A"/>
    <w:rsid w:val="680B5B3B"/>
    <w:rsid w:val="680D18B3"/>
    <w:rsid w:val="683337C1"/>
    <w:rsid w:val="68503000"/>
    <w:rsid w:val="688349F7"/>
    <w:rsid w:val="68866F70"/>
    <w:rsid w:val="68D91796"/>
    <w:rsid w:val="68F8431C"/>
    <w:rsid w:val="6916161A"/>
    <w:rsid w:val="69371308"/>
    <w:rsid w:val="695E7B16"/>
    <w:rsid w:val="6997250D"/>
    <w:rsid w:val="699A1BA3"/>
    <w:rsid w:val="699C4D1C"/>
    <w:rsid w:val="69A17750"/>
    <w:rsid w:val="69A22965"/>
    <w:rsid w:val="69C24293"/>
    <w:rsid w:val="69C441F4"/>
    <w:rsid w:val="69D8681A"/>
    <w:rsid w:val="69DD2AAC"/>
    <w:rsid w:val="69FE523A"/>
    <w:rsid w:val="6A0A597F"/>
    <w:rsid w:val="6A2535EB"/>
    <w:rsid w:val="6A3B33E5"/>
    <w:rsid w:val="6A7569FE"/>
    <w:rsid w:val="6A7C1587"/>
    <w:rsid w:val="6A945313"/>
    <w:rsid w:val="6AAF6DF6"/>
    <w:rsid w:val="6AE12B83"/>
    <w:rsid w:val="6AF9356D"/>
    <w:rsid w:val="6B0F4184"/>
    <w:rsid w:val="6B272A3A"/>
    <w:rsid w:val="6B2C2701"/>
    <w:rsid w:val="6B3453A9"/>
    <w:rsid w:val="6B400310"/>
    <w:rsid w:val="6B630195"/>
    <w:rsid w:val="6BCA3618"/>
    <w:rsid w:val="6C303DC2"/>
    <w:rsid w:val="6C426EE7"/>
    <w:rsid w:val="6C5A7E3D"/>
    <w:rsid w:val="6C814479"/>
    <w:rsid w:val="6C960240"/>
    <w:rsid w:val="6CA9321C"/>
    <w:rsid w:val="6D0B5768"/>
    <w:rsid w:val="6D0E7122"/>
    <w:rsid w:val="6D200486"/>
    <w:rsid w:val="6D2C01A8"/>
    <w:rsid w:val="6D3723B5"/>
    <w:rsid w:val="6D4F2BD0"/>
    <w:rsid w:val="6D7974FE"/>
    <w:rsid w:val="6D8E5EC9"/>
    <w:rsid w:val="6DA14C99"/>
    <w:rsid w:val="6DBD3593"/>
    <w:rsid w:val="6E3F391B"/>
    <w:rsid w:val="6E566520"/>
    <w:rsid w:val="6E7A0C0E"/>
    <w:rsid w:val="6E7E7AF9"/>
    <w:rsid w:val="6E8403F6"/>
    <w:rsid w:val="6E8D4C2A"/>
    <w:rsid w:val="6EE6207F"/>
    <w:rsid w:val="6EE906BC"/>
    <w:rsid w:val="6EEB3A95"/>
    <w:rsid w:val="6F241291"/>
    <w:rsid w:val="6F747754"/>
    <w:rsid w:val="6F897436"/>
    <w:rsid w:val="6FDC1BCE"/>
    <w:rsid w:val="6FE4739E"/>
    <w:rsid w:val="6FE47507"/>
    <w:rsid w:val="6FF85FDD"/>
    <w:rsid w:val="6FFD4051"/>
    <w:rsid w:val="700C64C3"/>
    <w:rsid w:val="702249EF"/>
    <w:rsid w:val="702552C0"/>
    <w:rsid w:val="702B3CB1"/>
    <w:rsid w:val="702E7E6F"/>
    <w:rsid w:val="70810852"/>
    <w:rsid w:val="70893AA1"/>
    <w:rsid w:val="70983D65"/>
    <w:rsid w:val="70AE1182"/>
    <w:rsid w:val="712D0709"/>
    <w:rsid w:val="715E0C2A"/>
    <w:rsid w:val="71DB6C48"/>
    <w:rsid w:val="71EC2F5F"/>
    <w:rsid w:val="72000B39"/>
    <w:rsid w:val="72137EC8"/>
    <w:rsid w:val="72280003"/>
    <w:rsid w:val="722C0B88"/>
    <w:rsid w:val="72521C52"/>
    <w:rsid w:val="725A41C1"/>
    <w:rsid w:val="72A51D41"/>
    <w:rsid w:val="72A945B8"/>
    <w:rsid w:val="72A9667D"/>
    <w:rsid w:val="72D603E0"/>
    <w:rsid w:val="730068A6"/>
    <w:rsid w:val="73093C7F"/>
    <w:rsid w:val="73364B63"/>
    <w:rsid w:val="733D7598"/>
    <w:rsid w:val="734E35CA"/>
    <w:rsid w:val="73727874"/>
    <w:rsid w:val="73D95FDF"/>
    <w:rsid w:val="73E968B1"/>
    <w:rsid w:val="74087ADA"/>
    <w:rsid w:val="74263D9C"/>
    <w:rsid w:val="746D116A"/>
    <w:rsid w:val="74877DDA"/>
    <w:rsid w:val="748F1019"/>
    <w:rsid w:val="74923B6B"/>
    <w:rsid w:val="74A44E7F"/>
    <w:rsid w:val="74B44E65"/>
    <w:rsid w:val="74BF07F1"/>
    <w:rsid w:val="74DA48CB"/>
    <w:rsid w:val="74EF64F9"/>
    <w:rsid w:val="74F10A24"/>
    <w:rsid w:val="751D1885"/>
    <w:rsid w:val="75564E94"/>
    <w:rsid w:val="756F7C84"/>
    <w:rsid w:val="75705230"/>
    <w:rsid w:val="757273BD"/>
    <w:rsid w:val="757860FC"/>
    <w:rsid w:val="75A83394"/>
    <w:rsid w:val="75BC5722"/>
    <w:rsid w:val="75E432D2"/>
    <w:rsid w:val="75E52D09"/>
    <w:rsid w:val="75E572F8"/>
    <w:rsid w:val="75F06ACD"/>
    <w:rsid w:val="75F81E7F"/>
    <w:rsid w:val="75F9486F"/>
    <w:rsid w:val="761107C1"/>
    <w:rsid w:val="76177B6A"/>
    <w:rsid w:val="761E5F06"/>
    <w:rsid w:val="762C4799"/>
    <w:rsid w:val="765A0431"/>
    <w:rsid w:val="76703C4B"/>
    <w:rsid w:val="76852DCA"/>
    <w:rsid w:val="76A71821"/>
    <w:rsid w:val="76BA248B"/>
    <w:rsid w:val="76D62075"/>
    <w:rsid w:val="76F32056"/>
    <w:rsid w:val="77185A8F"/>
    <w:rsid w:val="7719677D"/>
    <w:rsid w:val="771B4FFF"/>
    <w:rsid w:val="7731237B"/>
    <w:rsid w:val="77466E5C"/>
    <w:rsid w:val="77543075"/>
    <w:rsid w:val="775677C6"/>
    <w:rsid w:val="77801481"/>
    <w:rsid w:val="779C59FE"/>
    <w:rsid w:val="77A50A1D"/>
    <w:rsid w:val="77E375D8"/>
    <w:rsid w:val="78724531"/>
    <w:rsid w:val="78773D48"/>
    <w:rsid w:val="787943FB"/>
    <w:rsid w:val="78BE62B2"/>
    <w:rsid w:val="78C857C1"/>
    <w:rsid w:val="78CC4E73"/>
    <w:rsid w:val="78F82897"/>
    <w:rsid w:val="79193FD2"/>
    <w:rsid w:val="793F5519"/>
    <w:rsid w:val="794A0D94"/>
    <w:rsid w:val="79591F53"/>
    <w:rsid w:val="795A1BBF"/>
    <w:rsid w:val="796B468C"/>
    <w:rsid w:val="798776EC"/>
    <w:rsid w:val="7A326F58"/>
    <w:rsid w:val="7A421A85"/>
    <w:rsid w:val="7A4A37F8"/>
    <w:rsid w:val="7A67399B"/>
    <w:rsid w:val="7ACB02FA"/>
    <w:rsid w:val="7AE10C43"/>
    <w:rsid w:val="7AE91D0C"/>
    <w:rsid w:val="7AF952B8"/>
    <w:rsid w:val="7B0652F3"/>
    <w:rsid w:val="7B1F0E69"/>
    <w:rsid w:val="7B1F572E"/>
    <w:rsid w:val="7B36365C"/>
    <w:rsid w:val="7B6B66D2"/>
    <w:rsid w:val="7BE8272D"/>
    <w:rsid w:val="7BF74231"/>
    <w:rsid w:val="7BFA2EC5"/>
    <w:rsid w:val="7C3A0345"/>
    <w:rsid w:val="7C427741"/>
    <w:rsid w:val="7C5238E1"/>
    <w:rsid w:val="7C561982"/>
    <w:rsid w:val="7C5C494A"/>
    <w:rsid w:val="7C6333F8"/>
    <w:rsid w:val="7C712545"/>
    <w:rsid w:val="7C896BD7"/>
    <w:rsid w:val="7CBE2DDC"/>
    <w:rsid w:val="7CC3658D"/>
    <w:rsid w:val="7CCC7300"/>
    <w:rsid w:val="7CD66560"/>
    <w:rsid w:val="7CE23BAB"/>
    <w:rsid w:val="7CE51182"/>
    <w:rsid w:val="7D1B0177"/>
    <w:rsid w:val="7D210FAE"/>
    <w:rsid w:val="7D2D701C"/>
    <w:rsid w:val="7D342FE7"/>
    <w:rsid w:val="7D861D07"/>
    <w:rsid w:val="7D962AE8"/>
    <w:rsid w:val="7DD06A24"/>
    <w:rsid w:val="7DDA0536"/>
    <w:rsid w:val="7DE42E8D"/>
    <w:rsid w:val="7DFD162B"/>
    <w:rsid w:val="7E137EC1"/>
    <w:rsid w:val="7E146A62"/>
    <w:rsid w:val="7E187CE6"/>
    <w:rsid w:val="7E7B74DF"/>
    <w:rsid w:val="7E9E4B9A"/>
    <w:rsid w:val="7EA35558"/>
    <w:rsid w:val="7EFA0975"/>
    <w:rsid w:val="7F473AE0"/>
    <w:rsid w:val="7F5C05D3"/>
    <w:rsid w:val="7F7676A4"/>
    <w:rsid w:val="7F7917E3"/>
    <w:rsid w:val="7F9124DC"/>
    <w:rsid w:val="E4FEE06D"/>
    <w:rsid w:val="EFEF91E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楷体_GB2312"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480" w:firstLineChars="200"/>
      <w:jc w:val="both"/>
    </w:pPr>
    <w:rPr>
      <w:rFonts w:ascii="Calibri" w:hAnsi="Calibri" w:eastAsia="宋体" w:cs="Times New Roman"/>
      <w:kern w:val="2"/>
      <w:sz w:val="24"/>
      <w:szCs w:val="22"/>
      <w:lang w:val="en-US" w:eastAsia="zh-CN" w:bidi="ar-SA"/>
    </w:rPr>
  </w:style>
  <w:style w:type="paragraph" w:styleId="2">
    <w:name w:val="heading 1"/>
    <w:basedOn w:val="1"/>
    <w:next w:val="1"/>
    <w:qFormat/>
    <w:uiPriority w:val="0"/>
    <w:pPr>
      <w:keepNext/>
      <w:keepLines/>
      <w:spacing w:before="340" w:after="330" w:line="576" w:lineRule="auto"/>
      <w:outlineLvl w:val="0"/>
    </w:pPr>
    <w:rPr>
      <w:rFonts w:ascii="Times New Roman" w:hAnsi="Times New Roman"/>
      <w:b/>
      <w:kern w:val="44"/>
      <w:sz w:val="44"/>
      <w:szCs w:val="20"/>
    </w:rPr>
  </w:style>
  <w:style w:type="paragraph" w:styleId="3">
    <w:name w:val="heading 2"/>
    <w:basedOn w:val="1"/>
    <w:next w:val="1"/>
    <w:qFormat/>
    <w:uiPriority w:val="0"/>
    <w:pPr>
      <w:keepNext/>
      <w:keepLines/>
      <w:spacing w:before="260" w:after="260" w:line="240" w:lineRule="auto"/>
      <w:ind w:firstLine="0" w:firstLineChars="0"/>
      <w:outlineLvl w:val="1"/>
    </w:pPr>
    <w:rPr>
      <w:rFonts w:ascii="Arial" w:hAnsi="Arial" w:eastAsia="黑体"/>
      <w:b/>
      <w:sz w:val="32"/>
      <w:szCs w:val="20"/>
    </w:rPr>
  </w:style>
  <w:style w:type="paragraph" w:styleId="4">
    <w:name w:val="heading 3"/>
    <w:basedOn w:val="1"/>
    <w:next w:val="1"/>
    <w:qFormat/>
    <w:uiPriority w:val="0"/>
    <w:pPr>
      <w:keepNext/>
      <w:keepLines/>
      <w:spacing w:before="260" w:after="260" w:line="240" w:lineRule="auto"/>
      <w:ind w:firstLine="105" w:firstLineChars="50"/>
      <w:outlineLvl w:val="2"/>
    </w:pPr>
    <w:rPr>
      <w:rFonts w:ascii="黑体" w:hAnsi="黑体" w:eastAsia="黑体"/>
      <w:sz w:val="28"/>
      <w:szCs w:val="20"/>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qFormat/>
    <w:uiPriority w:val="39"/>
    <w:pPr>
      <w:ind w:left="1200" w:leftChars="1200"/>
    </w:pPr>
  </w:style>
  <w:style w:type="paragraph" w:styleId="6">
    <w:name w:val="Normal Indent"/>
    <w:basedOn w:val="1"/>
    <w:next w:val="1"/>
    <w:qFormat/>
    <w:uiPriority w:val="0"/>
    <w:pPr>
      <w:ind w:firstLine="420"/>
    </w:pPr>
  </w:style>
  <w:style w:type="paragraph" w:styleId="7">
    <w:name w:val="Document Map"/>
    <w:basedOn w:val="1"/>
    <w:qFormat/>
    <w:uiPriority w:val="0"/>
    <w:rPr>
      <w:rFonts w:ascii="宋体" w:cs="宋体"/>
      <w:sz w:val="18"/>
      <w:szCs w:val="18"/>
    </w:rPr>
  </w:style>
  <w:style w:type="paragraph" w:styleId="8">
    <w:name w:val="annotation text"/>
    <w:basedOn w:val="1"/>
    <w:link w:val="44"/>
    <w:qFormat/>
    <w:uiPriority w:val="0"/>
    <w:pPr>
      <w:jc w:val="left"/>
    </w:pPr>
    <w:rPr>
      <w:rFonts w:ascii="Times New Roman" w:hAnsi="Times New Roman"/>
      <w:szCs w:val="20"/>
    </w:rPr>
  </w:style>
  <w:style w:type="paragraph" w:styleId="9">
    <w:name w:val="Body Text 3"/>
    <w:basedOn w:val="1"/>
    <w:link w:val="45"/>
    <w:qFormat/>
    <w:uiPriority w:val="0"/>
    <w:rPr>
      <w:rFonts w:ascii="宋体"/>
      <w:sz w:val="24"/>
      <w:szCs w:val="20"/>
    </w:rPr>
  </w:style>
  <w:style w:type="paragraph" w:styleId="10">
    <w:name w:val="Body Text"/>
    <w:basedOn w:val="1"/>
    <w:qFormat/>
    <w:uiPriority w:val="0"/>
    <w:pPr>
      <w:spacing w:after="120"/>
    </w:pPr>
  </w:style>
  <w:style w:type="paragraph" w:styleId="11">
    <w:name w:val="toc 5"/>
    <w:basedOn w:val="1"/>
    <w:next w:val="1"/>
    <w:qFormat/>
    <w:uiPriority w:val="39"/>
    <w:pPr>
      <w:ind w:left="800" w:leftChars="800"/>
    </w:pPr>
  </w:style>
  <w:style w:type="paragraph" w:styleId="12">
    <w:name w:val="toc 3"/>
    <w:basedOn w:val="1"/>
    <w:next w:val="1"/>
    <w:qFormat/>
    <w:uiPriority w:val="39"/>
    <w:pPr>
      <w:ind w:left="400" w:leftChars="400"/>
    </w:pPr>
  </w:style>
  <w:style w:type="paragraph" w:styleId="13">
    <w:name w:val="Plain Text"/>
    <w:basedOn w:val="1"/>
    <w:qFormat/>
    <w:uiPriority w:val="0"/>
    <w:rPr>
      <w:rFonts w:ascii="宋体"/>
    </w:rPr>
  </w:style>
  <w:style w:type="paragraph" w:styleId="14">
    <w:name w:val="toc 8"/>
    <w:basedOn w:val="1"/>
    <w:next w:val="1"/>
    <w:qFormat/>
    <w:uiPriority w:val="39"/>
    <w:pPr>
      <w:ind w:left="1400" w:leftChars="1400"/>
    </w:pPr>
  </w:style>
  <w:style w:type="paragraph" w:styleId="15">
    <w:name w:val="Date"/>
    <w:basedOn w:val="1"/>
    <w:next w:val="1"/>
    <w:qFormat/>
    <w:uiPriority w:val="0"/>
    <w:pPr>
      <w:ind w:left="2500" w:leftChars="2500"/>
    </w:pPr>
    <w:rPr>
      <w:rFonts w:ascii="Times New Roman" w:hAnsi="Times New Roman"/>
      <w:szCs w:val="20"/>
    </w:rPr>
  </w:style>
  <w:style w:type="paragraph" w:styleId="16">
    <w:name w:val="Body Text Indent 2"/>
    <w:basedOn w:val="1"/>
    <w:qFormat/>
    <w:uiPriority w:val="0"/>
    <w:pPr>
      <w:spacing w:line="500" w:lineRule="exact"/>
      <w:ind w:firstLine="540" w:firstLineChars="200"/>
    </w:pPr>
    <w:rPr>
      <w:rFonts w:ascii="宋体" w:hAnsi="宋体"/>
      <w:sz w:val="27"/>
      <w:szCs w:val="27"/>
    </w:rPr>
  </w:style>
  <w:style w:type="paragraph" w:styleId="17">
    <w:name w:val="Balloon Text"/>
    <w:basedOn w:val="1"/>
    <w:qFormat/>
    <w:uiPriority w:val="0"/>
    <w:rPr>
      <w:rFonts w:ascii="Times New Roman" w:hAnsi="Times New Roman"/>
      <w:sz w:val="18"/>
      <w:szCs w:val="20"/>
    </w:rPr>
  </w:style>
  <w:style w:type="paragraph" w:styleId="18">
    <w:name w:val="footer"/>
    <w:basedOn w:val="1"/>
    <w:qFormat/>
    <w:uiPriority w:val="0"/>
    <w:pPr>
      <w:tabs>
        <w:tab w:val="center" w:pos="4153"/>
        <w:tab w:val="right" w:pos="8306"/>
      </w:tabs>
      <w:snapToGrid w:val="0"/>
      <w:jc w:val="left"/>
    </w:pPr>
    <w:rPr>
      <w:sz w:val="18"/>
    </w:rPr>
  </w:style>
  <w:style w:type="paragraph" w:styleId="19">
    <w:name w:val="header"/>
    <w:basedOn w:val="1"/>
    <w:qFormat/>
    <w:uiPriority w:val="0"/>
    <w:pPr>
      <w:tabs>
        <w:tab w:val="center" w:pos="4153"/>
        <w:tab w:val="right" w:pos="8306"/>
      </w:tabs>
      <w:snapToGrid w:val="0"/>
    </w:pPr>
    <w:rPr>
      <w:rFonts w:ascii="Times New Roman" w:hAnsi="Times New Roman"/>
      <w:sz w:val="18"/>
      <w:szCs w:val="20"/>
    </w:rPr>
  </w:style>
  <w:style w:type="paragraph" w:styleId="20">
    <w:name w:val="toc 1"/>
    <w:basedOn w:val="1"/>
    <w:next w:val="1"/>
    <w:qFormat/>
    <w:uiPriority w:val="39"/>
  </w:style>
  <w:style w:type="paragraph" w:styleId="21">
    <w:name w:val="toc 4"/>
    <w:basedOn w:val="1"/>
    <w:next w:val="1"/>
    <w:qFormat/>
    <w:uiPriority w:val="39"/>
    <w:pPr>
      <w:ind w:left="600" w:leftChars="600"/>
    </w:pPr>
  </w:style>
  <w:style w:type="paragraph" w:styleId="22">
    <w:name w:val="footnote text"/>
    <w:basedOn w:val="1"/>
    <w:qFormat/>
    <w:uiPriority w:val="0"/>
    <w:pPr>
      <w:adjustRightInd w:val="0"/>
      <w:snapToGrid w:val="0"/>
      <w:spacing w:line="420" w:lineRule="atLeast"/>
      <w:ind w:firstLine="454"/>
      <w:jc w:val="left"/>
      <w:textAlignment w:val="baseline"/>
    </w:pPr>
    <w:rPr>
      <w:kern w:val="0"/>
      <w:sz w:val="18"/>
      <w:szCs w:val="20"/>
    </w:rPr>
  </w:style>
  <w:style w:type="paragraph" w:styleId="23">
    <w:name w:val="toc 6"/>
    <w:basedOn w:val="1"/>
    <w:next w:val="1"/>
    <w:qFormat/>
    <w:uiPriority w:val="39"/>
    <w:pPr>
      <w:ind w:left="1000" w:leftChars="1000"/>
    </w:pPr>
  </w:style>
  <w:style w:type="paragraph" w:styleId="24">
    <w:name w:val="Body Text Indent 3"/>
    <w:basedOn w:val="1"/>
    <w:qFormat/>
    <w:uiPriority w:val="0"/>
    <w:pPr>
      <w:spacing w:after="120"/>
      <w:ind w:left="200" w:leftChars="200"/>
    </w:pPr>
    <w:rPr>
      <w:sz w:val="16"/>
      <w:szCs w:val="16"/>
    </w:rPr>
  </w:style>
  <w:style w:type="paragraph" w:styleId="25">
    <w:name w:val="toc 2"/>
    <w:basedOn w:val="1"/>
    <w:next w:val="1"/>
    <w:qFormat/>
    <w:uiPriority w:val="39"/>
    <w:pPr>
      <w:ind w:left="200" w:leftChars="200"/>
    </w:pPr>
  </w:style>
  <w:style w:type="paragraph" w:styleId="26">
    <w:name w:val="toc 9"/>
    <w:basedOn w:val="1"/>
    <w:next w:val="1"/>
    <w:qFormat/>
    <w:uiPriority w:val="39"/>
    <w:pPr>
      <w:ind w:left="1600" w:leftChars="1600"/>
    </w:pPr>
  </w:style>
  <w:style w:type="paragraph" w:styleId="27">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8">
    <w:name w:val="Title"/>
    <w:basedOn w:val="1"/>
    <w:link w:val="47"/>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29">
    <w:name w:val="annotation subject"/>
    <w:basedOn w:val="8"/>
    <w:next w:val="8"/>
    <w:qFormat/>
    <w:uiPriority w:val="0"/>
  </w:style>
  <w:style w:type="table" w:styleId="31">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b/>
      <w:bCs/>
    </w:rPr>
  </w:style>
  <w:style w:type="character" w:styleId="34">
    <w:name w:val="page number"/>
    <w:basedOn w:val="32"/>
    <w:qFormat/>
    <w:uiPriority w:val="0"/>
  </w:style>
  <w:style w:type="character" w:styleId="35">
    <w:name w:val="Hyperlink"/>
    <w:qFormat/>
    <w:uiPriority w:val="99"/>
    <w:rPr>
      <w:color w:val="0000FF"/>
      <w:u w:val="single"/>
    </w:rPr>
  </w:style>
  <w:style w:type="character" w:styleId="36">
    <w:name w:val="annotation reference"/>
    <w:qFormat/>
    <w:uiPriority w:val="0"/>
    <w:rPr>
      <w:sz w:val="21"/>
    </w:rPr>
  </w:style>
  <w:style w:type="character" w:styleId="37">
    <w:name w:val="footnote reference"/>
    <w:qFormat/>
    <w:uiPriority w:val="0"/>
    <w:rPr>
      <w:vertAlign w:val="superscript"/>
    </w:rPr>
  </w:style>
  <w:style w:type="character" w:customStyle="1" w:styleId="38">
    <w:name w:val="style_kwd"/>
    <w:basedOn w:val="32"/>
    <w:qFormat/>
    <w:uiPriority w:val="0"/>
  </w:style>
  <w:style w:type="character" w:customStyle="1" w:styleId="39">
    <w:name w:val="批注文字 Char1"/>
    <w:qFormat/>
    <w:uiPriority w:val="0"/>
    <w:rPr>
      <w:rFonts w:ascii="Times New Roman" w:hAnsi="Times New Roman" w:eastAsia="宋体" w:cs="Times New Roman"/>
      <w:sz w:val="20"/>
      <w:szCs w:val="20"/>
      <w:lang w:bidi="ar-SA"/>
    </w:rPr>
  </w:style>
  <w:style w:type="character" w:customStyle="1" w:styleId="40">
    <w:name w:val="Comment Text Char"/>
    <w:qFormat/>
    <w:uiPriority w:val="0"/>
  </w:style>
  <w:style w:type="paragraph" w:customStyle="1" w:styleId="41">
    <w:name w:val="Revision"/>
    <w:qFormat/>
    <w:uiPriority w:val="0"/>
    <w:rPr>
      <w:rFonts w:ascii="Times New Roman" w:hAnsi="Times New Roman" w:eastAsia="宋体" w:cs="Times New Roman"/>
      <w:kern w:val="2"/>
      <w:sz w:val="21"/>
      <w:lang w:val="en-US" w:eastAsia="zh-CN" w:bidi="ar-SA"/>
    </w:rPr>
  </w:style>
  <w:style w:type="paragraph" w:customStyle="1" w:styleId="42">
    <w:name w:val="_Style 23"/>
    <w:basedOn w:val="1"/>
    <w:qFormat/>
    <w:uiPriority w:val="0"/>
    <w:pPr>
      <w:widowControl/>
      <w:spacing w:after="160" w:line="240" w:lineRule="exact"/>
      <w:jc w:val="left"/>
    </w:pPr>
  </w:style>
  <w:style w:type="paragraph" w:customStyle="1" w:styleId="43">
    <w:name w:val="TOC Heading"/>
    <w:basedOn w:val="2"/>
    <w:next w:val="1"/>
    <w:qFormat/>
    <w:uiPriority w:val="39"/>
    <w:pPr>
      <w:widowControl/>
      <w:spacing w:before="480" w:after="0" w:line="276" w:lineRule="auto"/>
      <w:jc w:val="left"/>
      <w:outlineLvl w:val="9"/>
    </w:pPr>
    <w:rPr>
      <w:rFonts w:ascii="Cambria" w:hAnsi="Cambria"/>
      <w:color w:val="365F91"/>
      <w:kern w:val="0"/>
      <w:sz w:val="28"/>
    </w:rPr>
  </w:style>
  <w:style w:type="character" w:customStyle="1" w:styleId="44">
    <w:name w:val="批注文字 Char"/>
    <w:basedOn w:val="32"/>
    <w:link w:val="8"/>
    <w:qFormat/>
    <w:uiPriority w:val="0"/>
    <w:rPr>
      <w:rFonts w:eastAsia="宋体"/>
      <w:kern w:val="2"/>
      <w:sz w:val="21"/>
    </w:rPr>
  </w:style>
  <w:style w:type="character" w:customStyle="1" w:styleId="45">
    <w:name w:val="正文文本 3 Char"/>
    <w:basedOn w:val="32"/>
    <w:link w:val="9"/>
    <w:qFormat/>
    <w:uiPriority w:val="0"/>
    <w:rPr>
      <w:rFonts w:ascii="宋体" w:hAnsi="Calibri" w:eastAsia="宋体"/>
      <w:kern w:val="2"/>
      <w:sz w:val="24"/>
    </w:rPr>
  </w:style>
  <w:style w:type="character" w:customStyle="1" w:styleId="46">
    <w:name w:val="font161"/>
    <w:qFormat/>
    <w:uiPriority w:val="0"/>
    <w:rPr>
      <w:b/>
      <w:bCs/>
      <w:sz w:val="32"/>
      <w:szCs w:val="32"/>
    </w:rPr>
  </w:style>
  <w:style w:type="character" w:customStyle="1" w:styleId="47">
    <w:name w:val="标题 Char"/>
    <w:link w:val="28"/>
    <w:qFormat/>
    <w:uiPriority w:val="0"/>
    <w:rPr>
      <w:rFonts w:ascii="Arial" w:hAnsi="Arial"/>
      <w:b/>
      <w:kern w:val="0"/>
      <w:sz w:val="32"/>
      <w:szCs w:val="20"/>
    </w:rPr>
  </w:style>
  <w:style w:type="paragraph" w:customStyle="1" w:styleId="48">
    <w:name w:val="Table Text"/>
    <w:basedOn w:val="1"/>
    <w:semiHidden/>
    <w:qFormat/>
    <w:uiPriority w:val="0"/>
    <w:rPr>
      <w:rFonts w:ascii="宋体" w:hAnsi="宋体" w:eastAsia="宋体" w:cs="宋体"/>
      <w:sz w:val="21"/>
      <w:szCs w:val="21"/>
      <w:lang w:val="en-US" w:eastAsia="en-US" w:bidi="ar-SA"/>
    </w:rPr>
  </w:style>
  <w:style w:type="table" w:customStyle="1" w:styleId="4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144</Pages>
  <Words>6120</Words>
  <Characters>6881</Characters>
  <Lines>360</Lines>
  <Paragraphs>101</Paragraphs>
  <TotalTime>4</TotalTime>
  <ScaleCrop>false</ScaleCrop>
  <LinksUpToDate>false</LinksUpToDate>
  <CharactersWithSpaces>8313</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2017-02-20T09:14:00Z</dcterms:created>
  <dc:creator>袁静</dc:creator>
  <cp:lastModifiedBy>user</cp:lastModifiedBy>
  <cp:lastPrinted>2025-09-16T09:21:00Z</cp:lastPrinted>
  <dcterms:modified xsi:type="dcterms:W3CDTF">2025-09-26T10:46:13Z</dcterms:modified>
  <dc:title>中华人民共和国</dc:title>
  <cp:revision>254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593D466E18154A648EFEA730FD15DE72_13</vt:lpwstr>
  </property>
  <property fmtid="{D5CDD505-2E9C-101B-9397-08002B2CF9AE}" pid="4" name="KSOTemplateDocerSaveRecord">
    <vt:lpwstr>eyJoZGlkIjoiYmNkOGExYmZlNzhjZTIxZmIzNDQwZGI4MTdlZGJjZmYiLCJ1c2VySWQiOiIzNDI1MDgzOTUifQ==</vt:lpwstr>
  </property>
</Properties>
</file>