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rPr>
          <w:rFonts w:hint="eastAsia" w:ascii="Times New Roman" w:hAnsi="Times New Roman" w:eastAsia="华文彩云" w:cs="Times New Roman"/>
          <w:color w:val="auto"/>
          <w:sz w:val="20"/>
          <w:szCs w:val="20"/>
          <w:highlight w:val="none"/>
        </w:rPr>
      </w:pPr>
    </w:p>
    <w:p>
      <w:pPr>
        <w:tabs>
          <w:tab w:val="left" w:pos="1505"/>
        </w:tabs>
        <w:topLinePunct/>
        <w:spacing w:line="400" w:lineRule="atLeast"/>
        <w:rPr>
          <w:rStyle w:val="64"/>
          <w:rFonts w:ascii="Times New Roman" w:hAnsi="Times New Roman" w:eastAsia="宋体" w:cs="Times New Roman"/>
          <w:b w:val="0"/>
          <w:bCs w:val="0"/>
          <w:color w:val="auto"/>
          <w:sz w:val="27"/>
          <w:szCs w:val="27"/>
          <w:highlight w:val="none"/>
        </w:rPr>
      </w:pPr>
      <w:r>
        <w:rPr>
          <w:rStyle w:val="64"/>
          <w:rFonts w:ascii="Times New Roman" w:hAnsi="Times New Roman" w:eastAsia="宋体" w:cs="Times New Roman"/>
          <w:b w:val="0"/>
          <w:bCs w:val="0"/>
          <w:color w:val="auto"/>
          <w:sz w:val="27"/>
          <w:szCs w:val="27"/>
          <w:highlight w:val="none"/>
        </w:rPr>
        <w:tab/>
      </w:r>
    </w:p>
    <w:p>
      <w:pPr>
        <w:topLinePunct/>
        <w:spacing w:line="400" w:lineRule="atLeast"/>
        <w:rPr>
          <w:rStyle w:val="64"/>
          <w:rFonts w:ascii="Times New Roman" w:hAnsi="Times New Roman" w:eastAsia="宋体" w:cs="Times New Roman"/>
          <w:b w:val="0"/>
          <w:bCs w:val="0"/>
          <w:color w:val="auto"/>
          <w:sz w:val="27"/>
          <w:szCs w:val="27"/>
          <w:highlight w:val="none"/>
        </w:rPr>
      </w:pPr>
    </w:p>
    <w:p>
      <w:pPr>
        <w:topLinePunct/>
        <w:spacing w:line="400" w:lineRule="atLeast"/>
        <w:jc w:val="center"/>
        <w:rPr>
          <w:rStyle w:val="64"/>
          <w:rFonts w:hint="eastAsia" w:ascii="黑体" w:hAnsi="Times New Roman" w:eastAsia="黑体" w:cs="Times New Roman"/>
          <w:b w:val="0"/>
          <w:bCs w:val="0"/>
          <w:color w:val="auto"/>
          <w:spacing w:val="40"/>
          <w:sz w:val="40"/>
          <w:szCs w:val="40"/>
          <w:highlight w:val="none"/>
        </w:rPr>
      </w:pPr>
      <w:r>
        <w:rPr>
          <w:rStyle w:val="64"/>
          <w:rFonts w:hint="eastAsia" w:ascii="黑体" w:hAnsi="Times New Roman" w:eastAsia="黑体" w:cs="Times New Roman"/>
          <w:b w:val="0"/>
          <w:bCs w:val="0"/>
          <w:color w:val="auto"/>
          <w:spacing w:val="40"/>
          <w:sz w:val="40"/>
          <w:szCs w:val="40"/>
          <w:highlight w:val="none"/>
        </w:rPr>
        <w:t>辽宁省交通运输厅</w:t>
      </w:r>
    </w:p>
    <w:p>
      <w:pPr>
        <w:topLinePunct/>
        <w:spacing w:line="400" w:lineRule="atLeast"/>
        <w:jc w:val="center"/>
        <w:rPr>
          <w:rStyle w:val="64"/>
          <w:rFonts w:ascii="Times New Roman" w:hAnsi="Times New Roman" w:eastAsia="宋体" w:cs="Times New Roman"/>
          <w:b w:val="0"/>
          <w:bCs w:val="0"/>
          <w:color w:val="auto"/>
          <w:spacing w:val="40"/>
          <w:sz w:val="40"/>
          <w:szCs w:val="40"/>
          <w:highlight w:val="none"/>
        </w:rPr>
      </w:pPr>
    </w:p>
    <w:p>
      <w:pPr>
        <w:topLinePunct/>
        <w:spacing w:line="400" w:lineRule="atLeast"/>
        <w:jc w:val="center"/>
        <w:rPr>
          <w:rStyle w:val="64"/>
          <w:rFonts w:ascii="Times New Roman" w:hAnsi="Times New Roman" w:eastAsia="宋体" w:cs="Times New Roman"/>
          <w:b w:val="0"/>
          <w:bCs w:val="0"/>
          <w:color w:val="auto"/>
          <w:spacing w:val="40"/>
          <w:sz w:val="40"/>
          <w:szCs w:val="40"/>
          <w:highlight w:val="none"/>
        </w:rPr>
      </w:pPr>
    </w:p>
    <w:p>
      <w:pPr>
        <w:topLinePunct/>
        <w:spacing w:line="400" w:lineRule="atLeast"/>
        <w:jc w:val="center"/>
        <w:rPr>
          <w:rStyle w:val="64"/>
          <w:rFonts w:ascii="Times New Roman" w:hAnsi="Times New Roman" w:eastAsia="宋体" w:cs="Times New Roman"/>
          <w:b w:val="0"/>
          <w:bCs w:val="0"/>
          <w:color w:val="auto"/>
          <w:spacing w:val="40"/>
          <w:sz w:val="40"/>
          <w:szCs w:val="40"/>
          <w:highlight w:val="none"/>
        </w:rPr>
      </w:pPr>
    </w:p>
    <w:p>
      <w:pPr>
        <w:topLinePunct/>
        <w:spacing w:line="1200" w:lineRule="atLeast"/>
        <w:jc w:val="center"/>
        <w:rPr>
          <w:rStyle w:val="64"/>
          <w:rFonts w:hint="eastAsia" w:ascii="Times New Roman" w:hAnsi="Times New Roman" w:eastAsia="黑体" w:cs="Times New Roman"/>
          <w:b w:val="0"/>
          <w:bCs w:val="0"/>
          <w:color w:val="auto"/>
          <w:spacing w:val="38"/>
          <w:kern w:val="10"/>
          <w:sz w:val="46"/>
          <w:szCs w:val="46"/>
          <w:highlight w:val="none"/>
          <w:lang w:val="en-US" w:eastAsia="zh-CN"/>
        </w:rPr>
      </w:pPr>
      <w:r>
        <w:rPr>
          <w:rStyle w:val="64"/>
          <w:rFonts w:hint="eastAsia" w:eastAsia="黑体" w:cs="Times New Roman"/>
          <w:b w:val="0"/>
          <w:bCs w:val="0"/>
          <w:color w:val="auto"/>
          <w:spacing w:val="38"/>
          <w:kern w:val="10"/>
          <w:sz w:val="46"/>
          <w:szCs w:val="46"/>
          <w:highlight w:val="none"/>
          <w:lang w:val="en-US" w:eastAsia="zh-CN"/>
        </w:rPr>
        <w:t>辽宁省公路工程标准设计施工总承包</w:t>
      </w:r>
    </w:p>
    <w:p>
      <w:pPr>
        <w:topLinePunct/>
        <w:spacing w:line="1200" w:lineRule="atLeast"/>
        <w:jc w:val="center"/>
        <w:rPr>
          <w:rStyle w:val="64"/>
          <w:rFonts w:ascii="Times New Roman" w:hAnsi="Times New Roman" w:eastAsia="黑体" w:cs="Times New Roman"/>
          <w:bCs w:val="0"/>
          <w:color w:val="auto"/>
          <w:spacing w:val="38"/>
          <w:kern w:val="10"/>
          <w:sz w:val="84"/>
          <w:szCs w:val="84"/>
          <w:highlight w:val="none"/>
        </w:rPr>
      </w:pPr>
      <w:r>
        <w:rPr>
          <w:rStyle w:val="64"/>
          <w:rFonts w:hint="eastAsia" w:ascii="Times New Roman" w:hAnsi="Times New Roman" w:eastAsia="黑体" w:cs="Times New Roman"/>
          <w:bCs w:val="0"/>
          <w:color w:val="auto"/>
          <w:spacing w:val="38"/>
          <w:kern w:val="10"/>
          <w:sz w:val="72"/>
          <w:szCs w:val="72"/>
          <w:highlight w:val="none"/>
          <w:lang w:val="en-US" w:eastAsia="zh-CN"/>
        </w:rPr>
        <w:t>电子</w:t>
      </w:r>
      <w:r>
        <w:rPr>
          <w:rStyle w:val="64"/>
          <w:rFonts w:ascii="Times New Roman" w:hAnsi="Times New Roman" w:eastAsia="黑体" w:cs="Times New Roman"/>
          <w:bCs w:val="0"/>
          <w:color w:val="auto"/>
          <w:spacing w:val="38"/>
          <w:kern w:val="10"/>
          <w:sz w:val="72"/>
          <w:szCs w:val="72"/>
          <w:highlight w:val="none"/>
        </w:rPr>
        <w:t>招标文件</w:t>
      </w:r>
    </w:p>
    <w:p>
      <w:pPr>
        <w:topLinePunct/>
        <w:spacing w:line="1200" w:lineRule="atLeast"/>
        <w:jc w:val="center"/>
        <w:rPr>
          <w:rStyle w:val="64"/>
          <w:rFonts w:hint="eastAsia" w:ascii="方正姚体" w:hAnsi="Times New Roman" w:eastAsia="方正姚体" w:cs="Times New Roman"/>
          <w:b w:val="0"/>
          <w:bCs w:val="0"/>
          <w:color w:val="auto"/>
          <w:spacing w:val="-24"/>
          <w:kern w:val="10"/>
          <w:sz w:val="52"/>
          <w:szCs w:val="52"/>
          <w:highlight w:val="none"/>
        </w:rPr>
      </w:pPr>
      <w:r>
        <w:rPr>
          <w:rStyle w:val="64"/>
          <w:rFonts w:hint="eastAsia" w:ascii="方正姚体" w:hAnsi="Times New Roman" w:eastAsia="方正姚体" w:cs="Times New Roman"/>
          <w:b w:val="0"/>
          <w:bCs w:val="0"/>
          <w:color w:val="auto"/>
          <w:spacing w:val="-24"/>
          <w:kern w:val="10"/>
          <w:sz w:val="52"/>
          <w:szCs w:val="52"/>
          <w:highlight w:val="none"/>
        </w:rPr>
        <w:t>（20</w:t>
      </w:r>
      <w:r>
        <w:rPr>
          <w:rStyle w:val="64"/>
          <w:rFonts w:hint="eastAsia" w:ascii="方正姚体" w:hAnsi="Times New Roman" w:eastAsia="方正姚体" w:cs="Times New Roman"/>
          <w:b w:val="0"/>
          <w:bCs w:val="0"/>
          <w:color w:val="auto"/>
          <w:spacing w:val="-24"/>
          <w:kern w:val="10"/>
          <w:sz w:val="52"/>
          <w:szCs w:val="52"/>
          <w:highlight w:val="none"/>
          <w:lang w:val="en-US" w:eastAsia="zh-CN"/>
        </w:rPr>
        <w:t>25</w:t>
      </w:r>
      <w:r>
        <w:rPr>
          <w:rStyle w:val="64"/>
          <w:rFonts w:hint="eastAsia" w:ascii="方正姚体" w:hAnsi="Times New Roman" w:eastAsia="方正姚体" w:cs="Times New Roman"/>
          <w:b w:val="0"/>
          <w:bCs w:val="0"/>
          <w:color w:val="auto"/>
          <w:spacing w:val="-24"/>
          <w:kern w:val="10"/>
          <w:sz w:val="52"/>
          <w:szCs w:val="52"/>
          <w:highlight w:val="none"/>
        </w:rPr>
        <w:t>年版）</w:t>
      </w:r>
    </w:p>
    <w:p>
      <w:pPr>
        <w:topLinePunct/>
        <w:spacing w:line="400" w:lineRule="atLeast"/>
        <w:jc w:val="center"/>
        <w:rPr>
          <w:rStyle w:val="64"/>
          <w:rFonts w:ascii="Times New Roman" w:hAnsi="Times New Roman" w:eastAsia="宋体" w:cs="Times New Roman"/>
          <w:b w:val="0"/>
          <w:bCs w:val="0"/>
          <w:color w:val="auto"/>
          <w:spacing w:val="20"/>
          <w:kern w:val="0"/>
          <w:highlight w:val="none"/>
        </w:rPr>
      </w:pPr>
    </w:p>
    <w:p>
      <w:pPr>
        <w:topLinePunct/>
        <w:spacing w:line="400" w:lineRule="atLeast"/>
        <w:jc w:val="center"/>
        <w:rPr>
          <w:rStyle w:val="64"/>
          <w:rFonts w:hint="eastAsia" w:ascii="Times New Roman" w:hAnsi="Times New Roman" w:eastAsia="黑体" w:cs="Times New Roman"/>
          <w:b w:val="0"/>
          <w:bCs w:val="0"/>
          <w:color w:val="auto"/>
          <w:spacing w:val="-24"/>
          <w:kern w:val="10"/>
          <w:sz w:val="48"/>
          <w:szCs w:val="48"/>
          <w:highlight w:val="none"/>
        </w:rPr>
      </w:pPr>
    </w:p>
    <w:p>
      <w:pPr>
        <w:topLinePunct/>
        <w:spacing w:line="400" w:lineRule="atLeast"/>
        <w:jc w:val="center"/>
        <w:rPr>
          <w:rStyle w:val="64"/>
          <w:rFonts w:hint="eastAsia" w:ascii="Times New Roman" w:hAnsi="Times New Roman" w:eastAsia="黑体" w:cs="Times New Roman"/>
          <w:b w:val="0"/>
          <w:bCs w:val="0"/>
          <w:color w:val="auto"/>
          <w:spacing w:val="-24"/>
          <w:kern w:val="10"/>
          <w:sz w:val="48"/>
          <w:szCs w:val="48"/>
          <w:highlight w:val="none"/>
        </w:rPr>
      </w:pPr>
    </w:p>
    <w:p>
      <w:pPr>
        <w:topLinePunct/>
        <w:spacing w:line="400" w:lineRule="atLeast"/>
        <w:jc w:val="center"/>
        <w:rPr>
          <w:rStyle w:val="64"/>
          <w:rFonts w:ascii="Times New Roman" w:hAnsi="Times New Roman" w:eastAsia="黑体" w:cs="Times New Roman"/>
          <w:b w:val="0"/>
          <w:bCs w:val="0"/>
          <w:color w:val="auto"/>
          <w:spacing w:val="-24"/>
          <w:kern w:val="10"/>
          <w:sz w:val="48"/>
          <w:szCs w:val="48"/>
          <w:highlight w:val="none"/>
        </w:rPr>
      </w:pPr>
    </w:p>
    <w:p>
      <w:pPr>
        <w:topLinePunct/>
        <w:spacing w:before="120" w:beforeLines="50" w:line="400" w:lineRule="atLeast"/>
        <w:jc w:val="center"/>
        <w:rPr>
          <w:rStyle w:val="64"/>
          <w:rFonts w:hint="eastAsia" w:ascii="Times New Roman" w:hAnsi="Times New Roman" w:eastAsia="黑体" w:cs="Times New Roman"/>
          <w:b w:val="0"/>
          <w:bCs/>
          <w:color w:val="auto"/>
          <w:spacing w:val="0"/>
          <w:kern w:val="10"/>
          <w:sz w:val="36"/>
          <w:szCs w:val="36"/>
          <w:highlight w:val="none"/>
        </w:rPr>
      </w:pPr>
      <w:r>
        <w:rPr>
          <w:rStyle w:val="64"/>
          <w:rFonts w:hint="eastAsia" w:ascii="Times New Roman" w:hAnsi="Times New Roman" w:eastAsia="黑体" w:cs="Times New Roman"/>
          <w:b w:val="0"/>
          <w:bCs/>
          <w:color w:val="auto"/>
          <w:spacing w:val="0"/>
          <w:kern w:val="10"/>
          <w:sz w:val="36"/>
          <w:szCs w:val="36"/>
          <w:highlight w:val="none"/>
        </w:rPr>
        <w:t>辽宁省交通运输厅公告</w:t>
      </w:r>
    </w:p>
    <w:p>
      <w:pPr>
        <w:topLinePunct/>
        <w:spacing w:before="120" w:beforeLines="50" w:line="400" w:lineRule="atLeast"/>
        <w:jc w:val="center"/>
        <w:rPr>
          <w:rStyle w:val="64"/>
          <w:rFonts w:ascii="Times New Roman" w:hAnsi="Times New Roman" w:eastAsia="黑体" w:cs="Times New Roman"/>
          <w:b w:val="0"/>
          <w:bCs/>
          <w:color w:val="auto"/>
          <w:spacing w:val="0"/>
          <w:kern w:val="10"/>
          <w:sz w:val="36"/>
          <w:szCs w:val="36"/>
          <w:highlight w:val="none"/>
        </w:rPr>
      </w:pPr>
      <w:r>
        <w:rPr>
          <w:rStyle w:val="64"/>
          <w:rFonts w:hint="eastAsia" w:ascii="Times New Roman" w:hAnsi="Times New Roman" w:eastAsia="黑体" w:cs="Times New Roman"/>
          <w:b w:val="0"/>
          <w:bCs/>
          <w:color w:val="auto"/>
          <w:spacing w:val="0"/>
          <w:kern w:val="10"/>
          <w:sz w:val="36"/>
          <w:szCs w:val="36"/>
          <w:highlight w:val="none"/>
        </w:rPr>
        <w:t>自2025年10月1日起施行</w:t>
      </w:r>
    </w:p>
    <w:p>
      <w:pPr>
        <w:pageBreakBefore w:val="0"/>
        <w:kinsoku/>
        <w:wordWrap w:val="0"/>
        <w:overflowPunct/>
        <w:bidi w:val="0"/>
        <w:spacing w:line="400" w:lineRule="exact"/>
        <w:jc w:val="center"/>
        <w:rPr>
          <w:rFonts w:hint="default" w:ascii="Times New Roman" w:hAnsi="Times New Roman" w:cs="Times New Roman"/>
          <w:color w:val="auto"/>
          <w:highlight w:val="none"/>
        </w:rPr>
      </w:pPr>
    </w:p>
    <w:p>
      <w:pPr>
        <w:pageBreakBefore w:val="0"/>
        <w:kinsoku/>
        <w:wordWrap w:val="0"/>
        <w:overflowPunct/>
        <w:bidi w:val="0"/>
        <w:spacing w:line="400" w:lineRule="exact"/>
        <w:jc w:val="center"/>
        <w:rPr>
          <w:rFonts w:hint="default" w:ascii="Times New Roman" w:hAnsi="Times New Roman" w:cs="Times New Roman"/>
          <w:color w:val="auto"/>
          <w:highlight w:val="none"/>
        </w:rPr>
        <w:sectPr>
          <w:headerReference r:id="rId4" w:type="default"/>
          <w:footerReference r:id="rId5" w:type="default"/>
          <w:footerReference r:id="rId6" w:type="even"/>
          <w:footnotePr>
            <w:numFmt w:val="decimalEnclosedCircleChinese"/>
            <w:numRestart w:val="eachPage"/>
          </w:footnotePr>
          <w:pgSz w:w="11907" w:h="16840"/>
          <w:pgMar w:top="1588" w:right="1588" w:bottom="1474" w:left="1644" w:header="851" w:footer="851" w:gutter="0"/>
          <w:pgNumType w:start="0"/>
          <w:cols w:space="720" w:num="1"/>
          <w:titlePg/>
          <w:docGrid w:linePitch="312" w:charSpace="0"/>
        </w:sectPr>
      </w:pP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28"/>
          <w:szCs w:val="28"/>
          <w:highlight w:val="none"/>
        </w:rPr>
      </w:pPr>
      <w:r>
        <w:rPr>
          <w:rFonts w:hint="default" w:ascii="Times New Roman" w:hAnsi="Times New Roman" w:eastAsia="黑体" w:cs="Times New Roman"/>
          <w:color w:val="auto"/>
          <w:spacing w:val="20"/>
          <w:sz w:val="28"/>
          <w:szCs w:val="28"/>
          <w:highlight w:val="none"/>
        </w:rPr>
        <w:t>《</w:t>
      </w:r>
      <w:r>
        <w:rPr>
          <w:rFonts w:hint="eastAsia" w:eastAsia="黑体" w:cs="Times New Roman"/>
          <w:color w:val="auto"/>
          <w:spacing w:val="20"/>
          <w:sz w:val="28"/>
          <w:szCs w:val="28"/>
          <w:highlight w:val="none"/>
          <w:lang w:eastAsia="zh-CN"/>
        </w:rPr>
        <w:t>辽宁省公路工程标准设计施工总承包电子</w:t>
      </w:r>
      <w:r>
        <w:rPr>
          <w:rFonts w:hint="default" w:ascii="Times New Roman" w:hAnsi="Times New Roman" w:eastAsia="黑体" w:cs="Times New Roman"/>
          <w:color w:val="auto"/>
          <w:spacing w:val="20"/>
          <w:sz w:val="28"/>
          <w:szCs w:val="28"/>
          <w:highlight w:val="none"/>
        </w:rPr>
        <w:t>招标文件》</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r>
        <w:rPr>
          <w:rFonts w:hint="default" w:ascii="Times New Roman" w:hAnsi="Times New Roman" w:eastAsia="黑体" w:cs="Times New Roman"/>
          <w:color w:val="auto"/>
          <w:spacing w:val="20"/>
          <w:sz w:val="32"/>
          <w:szCs w:val="32"/>
          <w:highlight w:val="none"/>
        </w:rPr>
        <w:t>（</w:t>
      </w:r>
      <w:r>
        <w:rPr>
          <w:rFonts w:hint="eastAsia" w:eastAsia="黑体" w:cs="Times New Roman"/>
          <w:color w:val="auto"/>
          <w:spacing w:val="20"/>
          <w:sz w:val="32"/>
          <w:szCs w:val="32"/>
          <w:highlight w:val="none"/>
          <w:lang w:eastAsia="zh-CN"/>
        </w:rPr>
        <w:t>2025年版</w:t>
      </w:r>
      <w:r>
        <w:rPr>
          <w:rFonts w:hint="default" w:ascii="Times New Roman" w:hAnsi="Times New Roman" w:eastAsia="黑体" w:cs="Times New Roman"/>
          <w:color w:val="auto"/>
          <w:spacing w:val="20"/>
          <w:sz w:val="32"/>
          <w:szCs w:val="32"/>
          <w:highlight w:val="none"/>
        </w:rPr>
        <w:t>）</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tbl>
      <w:tblPr>
        <w:tblStyle w:val="37"/>
        <w:tblW w:w="0" w:type="auto"/>
        <w:jc w:val="center"/>
        <w:tblLayout w:type="fixed"/>
        <w:tblCellMar>
          <w:top w:w="0" w:type="dxa"/>
          <w:left w:w="108" w:type="dxa"/>
          <w:bottom w:w="0" w:type="dxa"/>
          <w:right w:w="108" w:type="dxa"/>
        </w:tblCellMar>
      </w:tblPr>
      <w:tblGrid>
        <w:gridCol w:w="1662"/>
        <w:gridCol w:w="7266"/>
      </w:tblGrid>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lang w:val="en-US" w:eastAsia="zh-CN"/>
              </w:rPr>
              <w:t>编制单位</w:t>
            </w:r>
            <w:r>
              <w:rPr>
                <w:rFonts w:hint="default" w:ascii="Times New Roman" w:hAnsi="Times New Roman" w:eastAsia="黑体" w:cs="Times New Roman"/>
                <w:color w:val="auto"/>
                <w:sz w:val="28"/>
                <w:szCs w:val="28"/>
                <w:highlight w:val="none"/>
              </w:rPr>
              <w:t>：</w:t>
            </w:r>
          </w:p>
        </w:tc>
        <w:tc>
          <w:tcPr>
            <w:tcW w:w="7266"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left"/>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辽宁省交通运输厅</w:t>
            </w: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lang w:val="en-US" w:eastAsia="zh-CN"/>
              </w:rPr>
            </w:pPr>
          </w:p>
        </w:tc>
        <w:tc>
          <w:tcPr>
            <w:tcW w:w="7266"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left"/>
              <w:textAlignment w:val="baseline"/>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华杰工程咨询有限公司</w:t>
            </w:r>
          </w:p>
        </w:tc>
      </w:tr>
    </w:tbl>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p>
      <w:pPr>
        <w:keepNext w:val="0"/>
        <w:keepLines w:val="0"/>
        <w:pageBreakBefore w:val="0"/>
        <w:widowControl w:val="0"/>
        <w:kinsoku/>
        <w:wordWrap w:val="0"/>
        <w:overflowPunct/>
        <w:topLinePunct w:val="0"/>
        <w:autoSpaceDE/>
        <w:autoSpaceDN/>
        <w:bidi w:val="0"/>
        <w:adjustRightInd/>
        <w:snapToGrid/>
        <w:spacing w:line="600" w:lineRule="atLeast"/>
        <w:jc w:val="center"/>
        <w:textAlignment w:val="auto"/>
        <w:outlineLvl w:val="9"/>
        <w:rPr>
          <w:rFonts w:hint="default" w:ascii="Times New Roman" w:hAnsi="Times New Roman" w:eastAsia="黑体" w:cs="Times New Roman"/>
          <w:color w:val="auto"/>
          <w:spacing w:val="20"/>
          <w:sz w:val="32"/>
          <w:szCs w:val="32"/>
          <w:highlight w:val="none"/>
        </w:rPr>
      </w:pPr>
      <w:bookmarkStart w:id="0" w:name="_Toc3513"/>
      <w:r>
        <w:rPr>
          <w:rFonts w:hint="default" w:ascii="Times New Roman" w:hAnsi="Times New Roman" w:eastAsia="黑体" w:cs="Times New Roman"/>
          <w:color w:val="auto"/>
          <w:spacing w:val="20"/>
          <w:sz w:val="32"/>
          <w:szCs w:val="32"/>
          <w:highlight w:val="none"/>
        </w:rPr>
        <w:t>审定委员会</w:t>
      </w:r>
      <w:bookmarkEnd w:id="0"/>
    </w:p>
    <w:p>
      <w:pPr>
        <w:pageBreakBefore w:val="0"/>
        <w:kinsoku/>
        <w:wordWrap w:val="0"/>
        <w:overflowPunct/>
        <w:bidi w:val="0"/>
        <w:spacing w:line="240" w:lineRule="atLeast"/>
        <w:jc w:val="center"/>
        <w:rPr>
          <w:rFonts w:hint="default" w:ascii="Times New Roman" w:hAnsi="Times New Roman" w:eastAsia="黑体" w:cs="Times New Roman"/>
          <w:color w:val="auto"/>
          <w:sz w:val="24"/>
          <w:highlight w:val="none"/>
        </w:rPr>
      </w:pPr>
    </w:p>
    <w:p>
      <w:pPr>
        <w:pageBreakBefore w:val="0"/>
        <w:kinsoku/>
        <w:wordWrap w:val="0"/>
        <w:overflowPunct/>
        <w:bidi w:val="0"/>
        <w:spacing w:line="240" w:lineRule="atLeast"/>
        <w:jc w:val="center"/>
        <w:rPr>
          <w:rFonts w:hint="default" w:ascii="Times New Roman" w:hAnsi="Times New Roman" w:eastAsia="黑体" w:cs="Times New Roman"/>
          <w:color w:val="auto"/>
          <w:sz w:val="24"/>
          <w:highlight w:val="none"/>
        </w:rPr>
      </w:pPr>
    </w:p>
    <w:tbl>
      <w:tblPr>
        <w:tblStyle w:val="37"/>
        <w:tblW w:w="0" w:type="auto"/>
        <w:jc w:val="center"/>
        <w:tblLayout w:type="fixed"/>
        <w:tblCellMar>
          <w:top w:w="0" w:type="dxa"/>
          <w:left w:w="108" w:type="dxa"/>
          <w:bottom w:w="0" w:type="dxa"/>
          <w:right w:w="108" w:type="dxa"/>
        </w:tblCellMar>
      </w:tblPr>
      <w:tblGrid>
        <w:gridCol w:w="1662"/>
        <w:gridCol w:w="1038"/>
        <w:gridCol w:w="1038"/>
        <w:gridCol w:w="1038"/>
        <w:gridCol w:w="1038"/>
        <w:gridCol w:w="1038"/>
        <w:gridCol w:w="1038"/>
        <w:gridCol w:w="1038"/>
      </w:tblGrid>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主任委员：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曲向进</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副主任委员：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祖熙宇</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委     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石</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健</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冯</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革</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王</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瑞</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王贵金</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田</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彦</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吴</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波</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高会晋</w:t>
            </w:r>
          </w:p>
        </w:tc>
      </w:tr>
      <w:tr>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textAlignment w:val="baseline"/>
              <w:rPr>
                <w:rFonts w:hint="default" w:ascii="Times New Roman" w:hAnsi="Times New Roman" w:eastAsia="楷体_GB2312" w:cs="Times New Roman"/>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程</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rPr>
              <w:t>磊</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bl>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r>
        <w:rPr>
          <w:rFonts w:hint="default" w:ascii="Times New Roman" w:hAnsi="Times New Roman" w:eastAsia="黑体" w:cs="Times New Roman"/>
          <w:color w:val="auto"/>
          <w:spacing w:val="20"/>
          <w:sz w:val="32"/>
          <w:szCs w:val="32"/>
          <w:highlight w:val="none"/>
        </w:rPr>
        <w:t>编 写 人 员</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tbl>
      <w:tblPr>
        <w:tblStyle w:val="37"/>
        <w:tblW w:w="0" w:type="auto"/>
        <w:jc w:val="center"/>
        <w:tblLayout w:type="fixed"/>
        <w:tblCellMar>
          <w:top w:w="0" w:type="dxa"/>
          <w:left w:w="108" w:type="dxa"/>
          <w:bottom w:w="0" w:type="dxa"/>
          <w:right w:w="108" w:type="dxa"/>
        </w:tblCellMar>
      </w:tblPr>
      <w:tblGrid>
        <w:gridCol w:w="1690"/>
        <w:gridCol w:w="1034"/>
        <w:gridCol w:w="1034"/>
        <w:gridCol w:w="1034"/>
        <w:gridCol w:w="1034"/>
        <w:gridCol w:w="1034"/>
        <w:gridCol w:w="1034"/>
        <w:gridCol w:w="1034"/>
      </w:tblGrid>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 xml:space="preserve">主 </w:t>
            </w:r>
            <w:r>
              <w:rPr>
                <w:rFonts w:hint="default" w:ascii="Times New Roman" w:hAnsi="Times New Roman" w:eastAsia="黑体" w:cs="Times New Roman"/>
                <w:color w:val="auto"/>
                <w:sz w:val="28"/>
                <w:szCs w:val="28"/>
                <w:highlight w:val="none"/>
                <w:lang w:val="en-US" w:eastAsia="zh-CN"/>
              </w:rPr>
              <w:t xml:space="preserve"> </w:t>
            </w:r>
            <w:r>
              <w:rPr>
                <w:rFonts w:hint="default" w:ascii="Times New Roman" w:hAnsi="Times New Roman" w:eastAsia="黑体" w:cs="Times New Roman"/>
                <w:color w:val="auto"/>
                <w:sz w:val="28"/>
                <w:szCs w:val="28"/>
                <w:highlight w:val="none"/>
              </w:rPr>
              <w:t xml:space="preserve">  编：</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石</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健</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编写人员：</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王泽江</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赵</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乐</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张</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君</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兰立松</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孙云浩</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周司省</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靳诗路</w:t>
            </w: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王圣林</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孙昕旸</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马  跃</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r>
      <w:tr>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r>
    </w:tbl>
    <w:p>
      <w:pPr>
        <w:rPr>
          <w:rFonts w:ascii="Calibri" w:hAnsi="Calibri"/>
          <w:color w:val="auto"/>
          <w:highlight w:val="none"/>
        </w:rPr>
      </w:pPr>
    </w:p>
    <w:p>
      <w:pPr>
        <w:pStyle w:val="16"/>
        <w:pageBreakBefore w:val="0"/>
        <w:kinsoku/>
        <w:wordWrap w:val="0"/>
        <w:overflowPunct/>
        <w:bidi w:val="0"/>
        <w:rPr>
          <w:rFonts w:hint="default" w:ascii="Times New Roman" w:hAnsi="Times New Roman" w:cs="Times New Roman"/>
          <w:color w:val="auto"/>
          <w:highlight w:val="none"/>
        </w:rPr>
      </w:pPr>
      <w:r>
        <w:rPr>
          <w:rFonts w:hint="default" w:ascii="Times New Roman" w:hAnsi="Times New Roman" w:eastAsia="黑体" w:cs="Times New Roman"/>
          <w:color w:val="auto"/>
          <w:spacing w:val="20"/>
          <w:sz w:val="32"/>
          <w:szCs w:val="32"/>
          <w:highlight w:val="none"/>
        </w:rPr>
        <w:br w:type="page"/>
      </w:r>
    </w:p>
    <w:p>
      <w:pPr>
        <w:pageBreakBefore w:val="0"/>
        <w:kinsoku/>
        <w:wordWrap w:val="0"/>
        <w:overflowPunct/>
        <w:bidi w:val="0"/>
        <w:spacing w:line="600" w:lineRule="atLeast"/>
        <w:jc w:val="center"/>
        <w:rPr>
          <w:rFonts w:hint="default" w:ascii="Times New Roman" w:hAnsi="Times New Roman" w:eastAsia="黑体" w:cs="Times New Roman"/>
          <w:bCs/>
          <w:color w:val="auto"/>
          <w:sz w:val="44"/>
          <w:szCs w:val="44"/>
          <w:highlight w:val="none"/>
        </w:rPr>
      </w:pPr>
      <w:r>
        <w:rPr>
          <w:rFonts w:hint="default" w:ascii="Times New Roman" w:hAnsi="Times New Roman" w:eastAsia="黑体" w:cs="Times New Roman"/>
          <w:bCs/>
          <w:color w:val="auto"/>
          <w:sz w:val="44"/>
          <w:szCs w:val="44"/>
          <w:highlight w:val="none"/>
        </w:rPr>
        <w:t>使 用 说 明</w:t>
      </w:r>
    </w:p>
    <w:p>
      <w:pPr>
        <w:pStyle w:val="21"/>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p>
    <w:p>
      <w:pPr>
        <w:pStyle w:val="21"/>
        <w:wordWrap w:val="0"/>
        <w:spacing w:beforeLines="0" w:afterLines="0" w:line="440" w:lineRule="atLeast"/>
        <w:ind w:firstLine="520"/>
        <w:rPr>
          <w:rFonts w:hint="default" w:ascii="Times New Roman" w:hAnsi="Times New Roman" w:eastAsia="Times New Roman" w:cs="Times New Roman"/>
          <w:color w:val="auto"/>
          <w:sz w:val="26"/>
          <w:szCs w:val="26"/>
          <w:highlight w:val="none"/>
        </w:rPr>
      </w:pPr>
      <w:r>
        <w:rPr>
          <w:rFonts w:hint="eastAsia" w:ascii="Times New Roman" w:hAnsi="Times New Roman" w:eastAsia="仿宋_GB2312" w:cs="Times New Roman"/>
          <w:color w:val="auto"/>
          <w:sz w:val="26"/>
          <w:szCs w:val="26"/>
          <w:highlight w:val="none"/>
          <w:lang w:val="en-US" w:eastAsia="zh-CN"/>
        </w:rPr>
        <w:t>一、</w:t>
      </w:r>
      <w:r>
        <w:rPr>
          <w:rFonts w:hint="default" w:ascii="Times New Roman" w:hAnsi="Times New Roman" w:eastAsia="仿宋_GB2312" w:cs="Times New Roman"/>
          <w:color w:val="auto"/>
          <w:sz w:val="26"/>
          <w:szCs w:val="26"/>
          <w:highlight w:val="none"/>
        </w:rPr>
        <w:t>为加强辽宁省公路建设养护工程设计施工总承包招标管理，规范招标文件编制工作，全面实施电子招标投标，结合我省公路工程设计施工总承包招标特点和管理需要，辽宁省交通运输厅组织华杰工程咨询有限公司和国内专家，结合最新招标投标政策和全流程电子招标投标需求，编制了《</w:t>
      </w:r>
      <w:r>
        <w:rPr>
          <w:rFonts w:hint="eastAsia" w:ascii="Times New Roman" w:hAnsi="Times New Roman" w:eastAsia="仿宋_GB2312" w:cs="Times New Roman"/>
          <w:color w:val="auto"/>
          <w:sz w:val="26"/>
          <w:szCs w:val="26"/>
          <w:highlight w:val="none"/>
          <w:lang w:eastAsia="zh-CN"/>
        </w:rPr>
        <w:t>辽宁省公路工程标准设计施工总承包电子</w:t>
      </w:r>
      <w:r>
        <w:rPr>
          <w:rFonts w:hint="default" w:ascii="Times New Roman" w:hAnsi="Times New Roman" w:eastAsia="仿宋_GB2312" w:cs="Times New Roman"/>
          <w:color w:val="auto"/>
          <w:sz w:val="26"/>
          <w:szCs w:val="26"/>
          <w:highlight w:val="none"/>
          <w:lang w:eastAsia="zh-CN"/>
        </w:rPr>
        <w:t>招标文件</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eastAsia="zh-CN"/>
        </w:rPr>
        <w:t>2025年版</w:t>
      </w:r>
      <w:r>
        <w:rPr>
          <w:rFonts w:hint="default" w:ascii="Times New Roman" w:hAnsi="Times New Roman" w:eastAsia="仿宋_GB2312" w:cs="Times New Roman"/>
          <w:color w:val="auto"/>
          <w:sz w:val="26"/>
          <w:szCs w:val="26"/>
          <w:highlight w:val="none"/>
        </w:rPr>
        <w:t>）（以下简称《</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w:t>
      </w:r>
    </w:p>
    <w:p>
      <w:pPr>
        <w:pStyle w:val="21"/>
        <w:wordWrap w:val="0"/>
        <w:spacing w:beforeLines="0" w:afterLines="0" w:line="440" w:lineRule="atLeast"/>
        <w:ind w:firstLine="520"/>
        <w:rPr>
          <w:rFonts w:hint="default" w:ascii="Times New Roman" w:hAnsi="Times New Roman" w:eastAsia="Times New Roman" w:cs="Times New Roman"/>
          <w:color w:val="auto"/>
          <w:sz w:val="26"/>
          <w:szCs w:val="26"/>
          <w:highlight w:val="none"/>
        </w:rPr>
      </w:pPr>
      <w:r>
        <w:rPr>
          <w:rFonts w:hint="default" w:ascii="Times New Roman" w:hAnsi="Times New Roman" w:eastAsia="仿宋_GB2312" w:cs="Times New Roman"/>
          <w:color w:val="auto"/>
          <w:sz w:val="26"/>
          <w:szCs w:val="26"/>
          <w:highlight w:val="none"/>
        </w:rPr>
        <w:t>二、《</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》以</w:t>
      </w:r>
      <w:r>
        <w:rPr>
          <w:rFonts w:hint="default" w:ascii="Times New Roman" w:hAnsi="Times New Roman" w:eastAsia="仿宋_GB2312" w:cs="Times New Roman"/>
          <w:color w:val="auto"/>
          <w:sz w:val="26"/>
          <w:szCs w:val="26"/>
          <w:highlight w:val="none"/>
          <w:lang w:val="en-US" w:eastAsia="zh-CN"/>
        </w:rPr>
        <w:t>国家九部委</w:t>
      </w:r>
      <w:r>
        <w:rPr>
          <w:rFonts w:hint="default" w:ascii="Times New Roman" w:hAnsi="Times New Roman" w:eastAsia="仿宋_GB2312" w:cs="Times New Roman"/>
          <w:color w:val="auto"/>
          <w:sz w:val="26"/>
          <w:szCs w:val="26"/>
          <w:highlight w:val="none"/>
        </w:rPr>
        <w:t>《标准设计施工总承包招标文件》（201</w:t>
      </w:r>
      <w:r>
        <w:rPr>
          <w:rFonts w:hint="default" w:ascii="Times New Roman" w:hAnsi="Times New Roman" w:eastAsia="仿宋_GB2312" w:cs="Times New Roman"/>
          <w:color w:val="auto"/>
          <w:sz w:val="26"/>
          <w:szCs w:val="26"/>
          <w:highlight w:val="none"/>
          <w:lang w:val="en-US" w:eastAsia="zh-CN"/>
        </w:rPr>
        <w:t>2</w:t>
      </w:r>
      <w:r>
        <w:rPr>
          <w:rFonts w:hint="default" w:ascii="Times New Roman" w:hAnsi="Times New Roman" w:eastAsia="仿宋_GB2312" w:cs="Times New Roman"/>
          <w:color w:val="auto"/>
          <w:sz w:val="26"/>
          <w:szCs w:val="26"/>
          <w:highlight w:val="none"/>
        </w:rPr>
        <w:t>年版）为基础，</w:t>
      </w:r>
      <w:r>
        <w:rPr>
          <w:rFonts w:hint="default" w:ascii="Times New Roman" w:hAnsi="Times New Roman" w:eastAsia="仿宋_GB2312" w:cs="Times New Roman"/>
          <w:color w:val="auto"/>
          <w:spacing w:val="10"/>
          <w:sz w:val="26"/>
          <w:szCs w:val="26"/>
          <w:highlight w:val="none"/>
        </w:rPr>
        <w:t>以《</w:t>
      </w:r>
      <w:r>
        <w:rPr>
          <w:rFonts w:hint="default" w:ascii="Times New Roman" w:hAnsi="Times New Roman" w:eastAsia="仿宋_GB2312" w:cs="Times New Roman"/>
          <w:color w:val="auto"/>
          <w:kern w:val="0"/>
          <w:sz w:val="26"/>
          <w:szCs w:val="26"/>
          <w:highlight w:val="none"/>
        </w:rPr>
        <w:t>中华人民共和国</w:t>
      </w:r>
      <w:r>
        <w:rPr>
          <w:rFonts w:hint="default" w:ascii="Times New Roman" w:hAnsi="Times New Roman" w:eastAsia="仿宋_GB2312" w:cs="Times New Roman"/>
          <w:color w:val="auto"/>
          <w:spacing w:val="10"/>
          <w:sz w:val="26"/>
          <w:szCs w:val="26"/>
          <w:highlight w:val="none"/>
        </w:rPr>
        <w:t>招标投标法》《</w:t>
      </w:r>
      <w:r>
        <w:rPr>
          <w:rFonts w:hint="default" w:ascii="Times New Roman" w:hAnsi="Times New Roman" w:eastAsia="仿宋_GB2312" w:cs="Times New Roman"/>
          <w:color w:val="auto"/>
          <w:kern w:val="0"/>
          <w:sz w:val="26"/>
          <w:szCs w:val="26"/>
          <w:highlight w:val="none"/>
        </w:rPr>
        <w:t>中华人民共和国</w:t>
      </w:r>
      <w:r>
        <w:rPr>
          <w:rFonts w:hint="default" w:ascii="Times New Roman" w:hAnsi="Times New Roman" w:eastAsia="仿宋_GB2312" w:cs="Times New Roman"/>
          <w:color w:val="auto"/>
          <w:spacing w:val="10"/>
          <w:sz w:val="26"/>
          <w:szCs w:val="26"/>
          <w:highlight w:val="none"/>
        </w:rPr>
        <w:t>招标投标法实施条例》《招标投标领域公平竞争审查规则》（国家发展和改革委员会等八部委2024年令第16号）《国务院办公厅关于创新完善体制机制推动招标投标市场规范健康发展的意见》（国办发〔2024〕21号）</w:t>
      </w:r>
      <w:r>
        <w:rPr>
          <w:rFonts w:hint="default" w:ascii="Times New Roman" w:hAnsi="Times New Roman" w:eastAsia="仿宋_GB2312" w:cs="Times New Roman"/>
          <w:color w:val="auto"/>
          <w:sz w:val="26"/>
          <w:szCs w:val="26"/>
          <w:highlight w:val="none"/>
        </w:rPr>
        <w:t>等法律法规</w:t>
      </w:r>
      <w:r>
        <w:rPr>
          <w:rFonts w:hint="default"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部门规章</w:t>
      </w:r>
      <w:r>
        <w:rPr>
          <w:rFonts w:hint="default"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规范性文件为依据，结合本省公路工程施工招标特点和管理需要编制而成。</w:t>
      </w:r>
    </w:p>
    <w:p>
      <w:pPr>
        <w:pStyle w:val="21"/>
        <w:wordWrap w:val="0"/>
        <w:spacing w:beforeLines="0" w:afterLines="0" w:line="440" w:lineRule="atLeast"/>
        <w:ind w:firstLine="520"/>
        <w:rPr>
          <w:rFonts w:hint="default" w:ascii="Times New Roman" w:hAnsi="Times New Roman" w:eastAsia="Times New Roman" w:cs="Times New Roman"/>
          <w:color w:val="auto"/>
          <w:sz w:val="26"/>
          <w:szCs w:val="26"/>
          <w:highlight w:val="none"/>
        </w:rPr>
      </w:pPr>
      <w:r>
        <w:rPr>
          <w:rFonts w:hint="default" w:ascii="Times New Roman" w:hAnsi="Times New Roman" w:eastAsia="仿宋_GB2312" w:cs="Times New Roman"/>
          <w:color w:val="auto"/>
          <w:sz w:val="26"/>
          <w:szCs w:val="26"/>
          <w:highlight w:val="none"/>
        </w:rPr>
        <w:t>三、本省行政区域内公路工程（包括高速公路、普通国省干线公路、农村公路）建设（包括新建、改建、扩建）养护（包括预防养护、修复养护、专项养护工程）项目的</w:t>
      </w:r>
      <w:r>
        <w:rPr>
          <w:rFonts w:hint="default" w:ascii="Times New Roman" w:hAnsi="Times New Roman" w:eastAsia="仿宋_GB2312" w:cs="Times New Roman"/>
          <w:color w:val="auto"/>
          <w:sz w:val="26"/>
          <w:szCs w:val="26"/>
          <w:highlight w:val="none"/>
          <w:lang w:val="en-US" w:eastAsia="zh-CN"/>
        </w:rPr>
        <w:t>设计或</w:t>
      </w:r>
      <w:r>
        <w:rPr>
          <w:rFonts w:hint="default" w:ascii="Times New Roman" w:hAnsi="Times New Roman" w:eastAsia="仿宋_GB2312" w:cs="Times New Roman"/>
          <w:color w:val="auto"/>
          <w:sz w:val="26"/>
          <w:szCs w:val="26"/>
          <w:highlight w:val="none"/>
        </w:rPr>
        <w:t>施工单项合同估算价达到依法必须招标规定标准的，应当实行全流程电子化交易。《</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适用于上述公路建设养护工程设计施工总承包全流程电子招标项目，其他项目设计施工总承包招标可参照执行。招标人在编制招标文件的过程中应按照国家有关规定、项目具体情况和交易平台操作特点，载明公路建设养护工程设计施工总承包招标的具体要求。</w:t>
      </w:r>
    </w:p>
    <w:p>
      <w:pPr>
        <w:pStyle w:val="21"/>
        <w:wordWrap w:val="0"/>
        <w:spacing w:beforeLines="0" w:afterLines="0" w:line="440" w:lineRule="atLeast"/>
        <w:ind w:firstLine="520"/>
        <w:rPr>
          <w:rFonts w:hint="default" w:ascii="Times New Roman" w:hAnsi="Times New Roman" w:eastAsia="Times New Roman" w:cs="Times New Roman"/>
          <w:color w:val="auto"/>
          <w:sz w:val="26"/>
          <w:szCs w:val="26"/>
          <w:highlight w:val="none"/>
        </w:rPr>
      </w:pPr>
      <w:r>
        <w:rPr>
          <w:rFonts w:hint="default" w:ascii="Times New Roman" w:hAnsi="Times New Roman" w:eastAsia="仿宋_GB2312" w:cs="Times New Roman"/>
          <w:color w:val="auto"/>
          <w:sz w:val="26"/>
          <w:szCs w:val="26"/>
          <w:highlight w:val="none"/>
        </w:rPr>
        <w:t>四、《</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》在</w:t>
      </w:r>
      <w:r>
        <w:rPr>
          <w:rFonts w:hint="default" w:ascii="Times New Roman" w:hAnsi="Times New Roman" w:eastAsia="仿宋_GB2312" w:cs="Times New Roman"/>
          <w:color w:val="auto"/>
          <w:sz w:val="26"/>
          <w:szCs w:val="26"/>
          <w:highlight w:val="none"/>
          <w:lang w:val="en-US" w:eastAsia="zh-CN"/>
        </w:rPr>
        <w:t>国家九部委</w:t>
      </w:r>
      <w:r>
        <w:rPr>
          <w:rFonts w:hint="default" w:ascii="Times New Roman" w:hAnsi="Times New Roman" w:eastAsia="仿宋_GB2312" w:cs="Times New Roman"/>
          <w:color w:val="auto"/>
          <w:sz w:val="26"/>
          <w:szCs w:val="26"/>
          <w:highlight w:val="none"/>
        </w:rPr>
        <w:t>《标准设计施工总承包招标文件》（201</w:t>
      </w:r>
      <w:r>
        <w:rPr>
          <w:rFonts w:hint="default" w:ascii="Times New Roman" w:hAnsi="Times New Roman" w:eastAsia="仿宋_GB2312" w:cs="Times New Roman"/>
          <w:color w:val="auto"/>
          <w:sz w:val="26"/>
          <w:szCs w:val="26"/>
          <w:highlight w:val="none"/>
          <w:lang w:val="en-US" w:eastAsia="zh-CN"/>
        </w:rPr>
        <w:t>2</w:t>
      </w:r>
      <w:r>
        <w:rPr>
          <w:rFonts w:hint="default" w:ascii="Times New Roman" w:hAnsi="Times New Roman" w:eastAsia="仿宋_GB2312" w:cs="Times New Roman"/>
          <w:color w:val="auto"/>
          <w:sz w:val="26"/>
          <w:szCs w:val="26"/>
          <w:highlight w:val="none"/>
        </w:rPr>
        <w:t>年版）基础上，对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前附表及部分正文内容相应条款结合辽宁省电子招标投标的流程、特点进行</w:t>
      </w:r>
      <w:r>
        <w:rPr>
          <w:rFonts w:hint="default" w:ascii="Times New Roman" w:hAnsi="Times New Roman" w:eastAsia="仿宋_GB2312" w:cs="Times New Roman"/>
          <w:color w:val="auto"/>
          <w:sz w:val="26"/>
          <w:szCs w:val="26"/>
          <w:highlight w:val="none"/>
          <w:lang w:val="en-US" w:eastAsia="zh-CN"/>
        </w:rPr>
        <w:t>了</w:t>
      </w:r>
      <w:r>
        <w:rPr>
          <w:rFonts w:hint="default" w:ascii="Times New Roman" w:hAnsi="Times New Roman" w:eastAsia="仿宋_GB2312" w:cs="Times New Roman"/>
          <w:color w:val="auto"/>
          <w:sz w:val="26"/>
          <w:szCs w:val="26"/>
          <w:highlight w:val="none"/>
        </w:rPr>
        <w:t>调整，删除了部分不适用的内容（如资格预审、纸质版投标文件的递交及开评标程序等相关内容）。招标人根据《</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》编制项目招标文件时，不得修改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正文，但可在前附表中对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进行补充、细化，补充和细化的内容不得与</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正文内容相抵触。如前附表与正文不一致时，以前附表的规定为准。</w:t>
      </w:r>
    </w:p>
    <w:p>
      <w:pPr>
        <w:pStyle w:val="21"/>
        <w:wordWrap w:val="0"/>
        <w:spacing w:beforeLines="0" w:afterLines="0" w:line="440" w:lineRule="atLeast"/>
        <w:ind w:firstLine="520"/>
        <w:rPr>
          <w:rFonts w:hint="default" w:ascii="Times New Roman" w:hAnsi="Times New Roman" w:eastAsia="Times New Roman" w:cs="Times New Roman"/>
          <w:color w:val="auto"/>
          <w:sz w:val="26"/>
          <w:szCs w:val="26"/>
          <w:highlight w:val="none"/>
        </w:rPr>
      </w:pPr>
      <w:r>
        <w:rPr>
          <w:rFonts w:hint="default" w:ascii="Times New Roman" w:hAnsi="Times New Roman" w:eastAsia="仿宋_GB2312" w:cs="Times New Roman"/>
          <w:color w:val="auto"/>
          <w:sz w:val="26"/>
          <w:szCs w:val="26"/>
          <w:highlight w:val="none"/>
        </w:rPr>
        <w:t>五、招标人在根据《</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》编制项目招标文件中的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项目专用合同条款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时，可根据招标项目的具体特点和实际需要，对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进行补充、细化，除</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明确</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可作出不同约定以及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，补充和细化的内容不得与</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强制性规定相抵触。同时，补充、细化或约定的内容，不得违反法律、行政法规的强制性规定和平等、自愿、公平和诚实信用原则。</w:t>
      </w:r>
    </w:p>
    <w:p>
      <w:pPr>
        <w:pStyle w:val="21"/>
        <w:wordWrap w:val="0"/>
        <w:spacing w:beforeLines="0" w:afterLines="0"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六、《</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》用相同序号标示的章、节、条、款、项、目，供招标人选择使用；以空格标示的</w:t>
      </w:r>
      <w:bookmarkStart w:id="2604" w:name="_GoBack"/>
      <w:bookmarkEnd w:id="2604"/>
      <w:r>
        <w:rPr>
          <w:rFonts w:hint="default" w:ascii="Times New Roman" w:hAnsi="Times New Roman" w:eastAsia="仿宋_GB2312" w:cs="Times New Roman"/>
          <w:color w:val="auto"/>
          <w:sz w:val="26"/>
          <w:szCs w:val="26"/>
          <w:highlight w:val="none"/>
        </w:rPr>
        <w:t>部分，招标人应根据招标项目具体特点和实际需要进行填写，确实没有需要填写的，在空格中用</w:t>
      </w:r>
      <w:r>
        <w:rPr>
          <w:rFonts w:hint="eastAsia" w:ascii="宋体" w:hAnsi="宋体" w:eastAsia="宋体" w:cs="宋体"/>
          <w:color w:val="auto"/>
          <w:sz w:val="26"/>
          <w:szCs w:val="26"/>
          <w:highlight w:val="none"/>
        </w:rPr>
        <w:t>“</w:t>
      </w:r>
      <w:r>
        <w:rPr>
          <w:rFonts w:hint="default" w:ascii="Times New Roman" w:hAnsi="Times New Roman" w:eastAsia="Times New Roman"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标示。</w:t>
      </w:r>
    </w:p>
    <w:p>
      <w:pPr>
        <w:pStyle w:val="21"/>
        <w:wordWrap w:val="0"/>
        <w:spacing w:beforeLines="0" w:afterLines="0"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七、招标人编入招标文件的招标公告应当与发布的公告内容完全一致。招标公告应当按照《</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第一章中的格式编写，内容简洁明了、突出重点。招标公告通过电子招标投标交易平台录入后交互至发布媒介核验发布。招标人应当按照招标公告规定的招标文件发布时间，将数据电文形式的招标文件加载至公共资源交易电子服务平台，供潜在投标人免费下载或查阅，并将招标文件关键内容上传至具有招标监督职责的交通运输主管部门政府网站或者其指定的其他网站上进行公开，公开内容包括项目概况、对投标人的资格条件要求、评标办法、招标人联系方式等。</w:t>
      </w:r>
    </w:p>
    <w:p>
      <w:pPr>
        <w:pStyle w:val="21"/>
        <w:wordWrap w:val="0"/>
        <w:spacing w:beforeLines="0" w:afterLines="0" w:line="440" w:lineRule="atLeast"/>
        <w:ind w:firstLine="520"/>
        <w:rPr>
          <w:rFonts w:hint="default" w:ascii="Times New Roman" w:hAnsi="Times New Roman" w:eastAsia="仿宋_GB2312" w:cs="Times New Roman"/>
          <w:color w:val="auto"/>
          <w:kern w:val="2"/>
          <w:sz w:val="26"/>
          <w:szCs w:val="26"/>
          <w:highlight w:val="none"/>
          <w:lang w:val="en-US" w:eastAsia="zh-CN" w:bidi="ar-SA"/>
        </w:rPr>
      </w:pPr>
      <w:r>
        <w:rPr>
          <w:rFonts w:hint="default" w:ascii="Times New Roman" w:hAnsi="Times New Roman" w:eastAsia="仿宋_GB2312" w:cs="Times New Roman"/>
          <w:color w:val="auto"/>
          <w:sz w:val="26"/>
          <w:szCs w:val="26"/>
          <w:highlight w:val="none"/>
          <w:lang w:val="en-US" w:eastAsia="zh-CN"/>
        </w:rPr>
        <w:t>八、《</w:t>
      </w:r>
      <w:r>
        <w:rPr>
          <w:rFonts w:hint="eastAsia" w:ascii="Times New Roman" w:hAnsi="Times New Roman" w:eastAsia="仿宋_GB2312" w:cs="Times New Roman"/>
          <w:color w:val="auto"/>
          <w:sz w:val="26"/>
          <w:szCs w:val="26"/>
          <w:highlight w:val="none"/>
          <w:lang w:val="en-US" w:eastAsia="zh-CN"/>
        </w:rPr>
        <w:t>标准设计施工总承包招标文件</w:t>
      </w:r>
      <w:r>
        <w:rPr>
          <w:rFonts w:hint="default" w:ascii="Times New Roman" w:hAnsi="Times New Roman" w:eastAsia="仿宋_GB2312" w:cs="Times New Roman"/>
          <w:color w:val="auto"/>
          <w:sz w:val="26"/>
          <w:szCs w:val="26"/>
          <w:highlight w:val="none"/>
          <w:lang w:val="en-US" w:eastAsia="zh-CN"/>
        </w:rPr>
        <w:t>》第三章</w:t>
      </w:r>
      <w:r>
        <w:rPr>
          <w:rFonts w:hint="eastAsia" w:ascii="宋体" w:hAnsi="宋体" w:eastAsia="宋体" w:cs="宋体"/>
          <w:color w:val="auto"/>
          <w:sz w:val="26"/>
          <w:szCs w:val="26"/>
          <w:highlight w:val="none"/>
          <w:lang w:val="en-US" w:eastAsia="zh-CN"/>
        </w:rPr>
        <w:t>“</w:t>
      </w:r>
      <w:r>
        <w:rPr>
          <w:rFonts w:hint="default" w:ascii="Times New Roman" w:hAnsi="Times New Roman" w:eastAsia="仿宋_GB2312" w:cs="Times New Roman"/>
          <w:color w:val="auto"/>
          <w:sz w:val="26"/>
          <w:szCs w:val="26"/>
          <w:highlight w:val="none"/>
          <w:lang w:val="en-US" w:eastAsia="zh-CN"/>
        </w:rPr>
        <w:t>评标办法</w:t>
      </w:r>
      <w:r>
        <w:rPr>
          <w:rFonts w:hint="eastAsia" w:ascii="宋体" w:hAnsi="宋体" w:eastAsia="宋体" w:cs="宋体"/>
          <w:color w:val="auto"/>
          <w:sz w:val="26"/>
          <w:szCs w:val="26"/>
          <w:highlight w:val="none"/>
          <w:lang w:val="en-US" w:eastAsia="zh-CN"/>
        </w:rPr>
        <w:t>”</w:t>
      </w:r>
      <w:r>
        <w:rPr>
          <w:rFonts w:hint="default" w:ascii="Times New Roman" w:hAnsi="Times New Roman" w:eastAsia="仿宋_GB2312" w:cs="Times New Roman"/>
          <w:color w:val="auto"/>
          <w:sz w:val="26"/>
          <w:szCs w:val="26"/>
          <w:highlight w:val="none"/>
          <w:lang w:val="en-US" w:eastAsia="zh-CN"/>
        </w:rPr>
        <w:t>分别推荐了综合评分法、经评审的最低投标价法、合理低价法、技术评分最低标价法</w:t>
      </w:r>
      <w:r>
        <w:rPr>
          <w:rFonts w:hint="eastAsia" w:ascii="Times New Roman" w:hAnsi="Times New Roman" w:eastAsia="仿宋_GB2312" w:cs="Times New Roman"/>
          <w:color w:val="auto"/>
          <w:sz w:val="26"/>
          <w:szCs w:val="26"/>
          <w:highlight w:val="none"/>
          <w:lang w:val="en-US" w:eastAsia="zh-CN"/>
        </w:rPr>
        <w:t>和</w:t>
      </w:r>
      <w:r>
        <w:rPr>
          <w:rFonts w:hint="eastAsia" w:ascii="Times New Roman" w:hAnsi="Times New Roman" w:eastAsia="仿宋_GB2312" w:cs="Times New Roman"/>
          <w:color w:val="auto"/>
          <w:sz w:val="26"/>
          <w:szCs w:val="26"/>
          <w:highlight w:val="none"/>
          <w:lang w:eastAsia="zh-CN"/>
        </w:rPr>
        <w:t>技术评分合理低价法</w:t>
      </w:r>
      <w:r>
        <w:rPr>
          <w:rFonts w:hint="eastAsia" w:ascii="Times New Roman" w:hAnsi="Times New Roman" w:eastAsia="仿宋_GB2312" w:cs="Times New Roman"/>
          <w:color w:val="auto"/>
          <w:sz w:val="26"/>
          <w:szCs w:val="26"/>
          <w:highlight w:val="none"/>
          <w:lang w:val="en-US" w:eastAsia="zh-CN"/>
        </w:rPr>
        <w:t>五</w:t>
      </w:r>
      <w:r>
        <w:rPr>
          <w:rFonts w:hint="default" w:ascii="Times New Roman" w:hAnsi="Times New Roman" w:eastAsia="仿宋_GB2312" w:cs="Times New Roman"/>
          <w:color w:val="auto"/>
          <w:sz w:val="26"/>
          <w:szCs w:val="26"/>
          <w:highlight w:val="none"/>
          <w:lang w:val="en-US" w:eastAsia="zh-CN"/>
        </w:rPr>
        <w:t>种评标方法，供招标人根据招标项目具体特点和实际需要选择适用，招标人也可以选择法律法规允许的其他评标办法。</w:t>
      </w:r>
    </w:p>
    <w:p>
      <w:pPr>
        <w:pStyle w:val="21"/>
        <w:wordWrap w:val="0"/>
        <w:spacing w:beforeLines="0" w:afterLines="0" w:line="440" w:lineRule="atLeast"/>
        <w:ind w:firstLine="520"/>
        <w:rPr>
          <w:rFonts w:hint="default" w:ascii="Times New Roman" w:hAnsi="Times New Roman" w:eastAsia="Times New Roman" w:cs="Times New Roman"/>
          <w:color w:val="auto"/>
          <w:sz w:val="26"/>
          <w:szCs w:val="26"/>
          <w:highlight w:val="none"/>
        </w:rPr>
      </w:pPr>
      <w:r>
        <w:rPr>
          <w:rFonts w:hint="default" w:ascii="Times New Roman" w:hAnsi="Times New Roman" w:eastAsia="仿宋_GB2312" w:cs="Times New Roman"/>
          <w:color w:val="auto"/>
          <w:sz w:val="26"/>
          <w:szCs w:val="26"/>
          <w:highlight w:val="none"/>
        </w:rPr>
        <w:t>第三章</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前附表应列明全部评审因素和评审标准，并在本章（前附表及正文）标明投标人不满足要求即导致否决投标的全部条款。</w:t>
      </w:r>
    </w:p>
    <w:p>
      <w:pPr>
        <w:pStyle w:val="21"/>
        <w:wordWrap w:val="0"/>
        <w:spacing w:beforeLines="0" w:afterLines="0" w:line="440" w:lineRule="atLeast"/>
        <w:ind w:firstLine="520"/>
        <w:rPr>
          <w:rFonts w:hint="default" w:ascii="Times New Roman" w:hAnsi="Times New Roman" w:eastAsia="Times New Roman" w:cs="Times New Roman"/>
          <w:color w:val="auto"/>
          <w:sz w:val="26"/>
          <w:szCs w:val="26"/>
          <w:highlight w:val="none"/>
        </w:rPr>
      </w:pPr>
      <w:r>
        <w:rPr>
          <w:rFonts w:hint="default" w:ascii="Times New Roman" w:hAnsi="Times New Roman" w:eastAsia="仿宋_GB2312" w:cs="Times New Roman"/>
          <w:color w:val="auto"/>
          <w:sz w:val="26"/>
          <w:szCs w:val="26"/>
          <w:highlight w:val="none"/>
          <w:lang w:val="en-US" w:eastAsia="zh-CN"/>
        </w:rPr>
        <w:t>九</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》与辽宁省公共资源交易网</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辽宁省公共资源交易一张网电子化平台</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配套使用，招标人在线选择相应招标类别《</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》编制招标文件。</w:t>
      </w:r>
    </w:p>
    <w:p>
      <w:pPr>
        <w:pStyle w:val="21"/>
        <w:wordWrap w:val="0"/>
        <w:spacing w:beforeLines="0" w:afterLines="0" w:line="440" w:lineRule="atLeast"/>
        <w:ind w:firstLine="520"/>
        <w:rPr>
          <w:rFonts w:hint="default" w:ascii="Times New Roman" w:hAnsi="Times New Roman" w:eastAsia="Times New Roman" w:cs="Times New Roman"/>
          <w:color w:val="auto"/>
          <w:sz w:val="26"/>
          <w:szCs w:val="26"/>
          <w:highlight w:val="none"/>
        </w:rPr>
      </w:pPr>
      <w:r>
        <w:rPr>
          <w:rFonts w:hint="default" w:ascii="Times New Roman" w:hAnsi="Times New Roman" w:eastAsia="仿宋_GB2312" w:cs="Times New Roman"/>
          <w:color w:val="auto"/>
          <w:sz w:val="26"/>
          <w:szCs w:val="26"/>
          <w:highlight w:val="none"/>
          <w:lang w:val="en-US" w:eastAsia="zh-CN"/>
        </w:rPr>
        <w:t>十</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投标文件格式</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中要求投标人盖单位章及法定代表人或其委托代理人签名处，除有特别规定外，均只要求投标人加盖CA数字证书中的单位章及法定代表人或其委托代理人的个人电子印章或电子签名。</w:t>
      </w:r>
    </w:p>
    <w:p>
      <w:pPr>
        <w:pStyle w:val="21"/>
        <w:wordWrap w:val="0"/>
        <w:spacing w:beforeLines="0" w:afterLines="0" w:line="440" w:lineRule="atLeast"/>
        <w:ind w:firstLine="520"/>
        <w:rPr>
          <w:rFonts w:hint="default" w:ascii="Times New Roman" w:hAnsi="Times New Roman" w:eastAsia="Times New Roman" w:cs="Times New Roman"/>
          <w:color w:val="auto"/>
          <w:sz w:val="26"/>
          <w:szCs w:val="26"/>
          <w:highlight w:val="none"/>
        </w:rPr>
      </w:pPr>
      <w:r>
        <w:rPr>
          <w:rFonts w:hint="default" w:ascii="Times New Roman" w:hAnsi="Times New Roman" w:eastAsia="仿宋_GB2312" w:cs="Times New Roman"/>
          <w:color w:val="auto"/>
          <w:sz w:val="26"/>
          <w:szCs w:val="26"/>
          <w:highlight w:val="none"/>
          <w:lang w:val="en-US" w:eastAsia="zh-CN"/>
        </w:rPr>
        <w:t>十一</w:t>
      </w:r>
      <w:r>
        <w:rPr>
          <w:rFonts w:hint="default" w:ascii="Times New Roman" w:hAnsi="Times New Roman" w:eastAsia="仿宋_GB2312" w:cs="Times New Roman"/>
          <w:color w:val="auto"/>
          <w:sz w:val="26"/>
          <w:szCs w:val="26"/>
          <w:highlight w:val="none"/>
        </w:rPr>
        <w:t>、本文件中所称的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以下</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以内</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届满</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，包括本数，所称的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不满</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不足</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以外</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，不包括本数。</w:t>
      </w:r>
    </w:p>
    <w:p>
      <w:pPr>
        <w:pStyle w:val="21"/>
        <w:wordWrap w:val="0"/>
        <w:spacing w:beforeLines="0" w:afterLines="0"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十</w:t>
      </w:r>
      <w:r>
        <w:rPr>
          <w:rFonts w:hint="default" w:ascii="Times New Roman" w:hAnsi="Times New Roman" w:eastAsia="仿宋_GB2312" w:cs="Times New Roman"/>
          <w:color w:val="auto"/>
          <w:sz w:val="26"/>
          <w:szCs w:val="26"/>
          <w:highlight w:val="none"/>
          <w:lang w:val="en-US" w:eastAsia="zh-CN"/>
        </w:rPr>
        <w:t>二</w:t>
      </w:r>
      <w:r>
        <w:rPr>
          <w:rFonts w:hint="default" w:ascii="Times New Roman" w:hAnsi="Times New Roman" w:eastAsia="仿宋_GB2312" w:cs="Times New Roman"/>
          <w:color w:val="auto"/>
          <w:sz w:val="26"/>
          <w:szCs w:val="26"/>
          <w:highlight w:val="none"/>
        </w:rPr>
        <w:t>、各市交通运输主管部门应组织好《</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》的贯彻落实，督促各市场主体严格执行《</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》，规范我省公路建设招投标市场秩序。</w:t>
      </w:r>
    </w:p>
    <w:p>
      <w:pPr>
        <w:pStyle w:val="21"/>
        <w:wordWrap w:val="0"/>
        <w:spacing w:beforeLines="0" w:afterLines="0"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十</w:t>
      </w:r>
      <w:r>
        <w:rPr>
          <w:rFonts w:hint="default" w:ascii="Times New Roman" w:hAnsi="Times New Roman" w:eastAsia="仿宋_GB2312" w:cs="Times New Roman"/>
          <w:color w:val="auto"/>
          <w:sz w:val="26"/>
          <w:szCs w:val="26"/>
          <w:highlight w:val="none"/>
          <w:lang w:val="en-US" w:eastAsia="zh-CN"/>
        </w:rPr>
        <w:t>三</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》自202</w:t>
      </w:r>
      <w:r>
        <w:rPr>
          <w:rFonts w:hint="default" w:ascii="Times New Roman" w:hAnsi="Times New Roman" w:eastAsia="仿宋_GB2312" w:cs="Times New Roman"/>
          <w:color w:val="auto"/>
          <w:sz w:val="26"/>
          <w:szCs w:val="26"/>
          <w:highlight w:val="none"/>
          <w:lang w:val="en-US" w:eastAsia="zh-CN"/>
        </w:rPr>
        <w:t>5</w:t>
      </w:r>
      <w:r>
        <w:rPr>
          <w:rFonts w:hint="default" w:ascii="Times New Roman" w:hAnsi="Times New Roman" w:eastAsia="仿宋_GB2312" w:cs="Times New Roman"/>
          <w:color w:val="auto"/>
          <w:sz w:val="26"/>
          <w:szCs w:val="26"/>
          <w:highlight w:val="none"/>
        </w:rPr>
        <w:t>年10月1日起施行，电子文本可在我厅门户网站（jtt.ln.gov.cn）</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下载服务</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下载。我厅会根据政策变化情况对《</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》进行动态调整，调整后将及时在我厅门户网站公开。</w:t>
      </w:r>
    </w:p>
    <w:p>
      <w:pPr>
        <w:pStyle w:val="21"/>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十</w:t>
      </w:r>
      <w:r>
        <w:rPr>
          <w:rFonts w:hint="default" w:ascii="Times New Roman" w:hAnsi="Times New Roman" w:eastAsia="仿宋_GB2312" w:cs="Times New Roman"/>
          <w:color w:val="auto"/>
          <w:sz w:val="26"/>
          <w:szCs w:val="26"/>
          <w:highlight w:val="none"/>
          <w:lang w:val="en-US" w:eastAsia="zh-CN"/>
        </w:rPr>
        <w:t>四</w:t>
      </w:r>
      <w:r>
        <w:rPr>
          <w:rFonts w:hint="default" w:ascii="Times New Roman" w:hAnsi="Times New Roman" w:eastAsia="仿宋_GB2312" w:cs="Times New Roman"/>
          <w:color w:val="auto"/>
          <w:sz w:val="26"/>
          <w:szCs w:val="26"/>
          <w:highlight w:val="none"/>
        </w:rPr>
        <w:t>、各使用单位或个人对《</w:t>
      </w:r>
      <w:r>
        <w:rPr>
          <w:rFonts w:hint="eastAsia" w:ascii="Times New Roman" w:hAnsi="Times New Roman" w:eastAsia="仿宋_GB2312" w:cs="Times New Roman"/>
          <w:color w:val="auto"/>
          <w:sz w:val="26"/>
          <w:szCs w:val="26"/>
          <w:highlight w:val="none"/>
          <w:lang w:eastAsia="zh-CN"/>
        </w:rPr>
        <w:t>标准设计施工总承包招标文件</w:t>
      </w:r>
      <w:r>
        <w:rPr>
          <w:rFonts w:hint="default" w:ascii="Times New Roman" w:hAnsi="Times New Roman" w:eastAsia="仿宋_GB2312" w:cs="Times New Roman"/>
          <w:color w:val="auto"/>
          <w:sz w:val="26"/>
          <w:szCs w:val="26"/>
          <w:highlight w:val="none"/>
        </w:rPr>
        <w:t>》的修改意见和建议，请及时反馈省交通运输厅（地址：辽宁省沈阳市和平区十三纬路十九号，电话：024-31230880）。</w:t>
      </w:r>
    </w:p>
    <w:p>
      <w:pPr>
        <w:pStyle w:val="21"/>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sectPr>
          <w:headerReference r:id="rId7" w:type="first"/>
          <w:footerReference r:id="rId9" w:type="first"/>
          <w:footerReference r:id="rId8" w:type="default"/>
          <w:footnotePr>
            <w:numFmt w:val="decimalEnclosedCircleChinese"/>
            <w:numRestart w:val="eachPage"/>
          </w:footnotePr>
          <w:pgSz w:w="11907" w:h="16840"/>
          <w:pgMar w:top="1588" w:right="1588" w:bottom="1474" w:left="1644" w:header="851" w:footer="851" w:gutter="0"/>
          <w:pgNumType w:start="0"/>
          <w:cols w:space="720" w:num="1"/>
          <w:titlePg/>
          <w:docGrid w:linePitch="312" w:charSpace="0"/>
        </w:sectPr>
      </w:pPr>
    </w:p>
    <w:p>
      <w:pPr>
        <w:pStyle w:val="15"/>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黑体" w:cs="Times New Roman"/>
          <w:color w:val="auto"/>
          <w:sz w:val="31"/>
          <w:szCs w:val="31"/>
          <w:highlight w:val="none"/>
        </w:rPr>
      </w:pPr>
      <w:r>
        <w:rPr>
          <w:rFonts w:hint="default" w:ascii="Times New Roman" w:hAnsi="Times New Roman" w:eastAsia="黑体" w:cs="Times New Roman"/>
          <w:color w:val="auto"/>
          <w:sz w:val="31"/>
          <w:szCs w:val="31"/>
          <w:highlight w:val="none"/>
          <w:u w:val="single"/>
          <w:lang w:eastAsia="zh-CN"/>
        </w:rPr>
        <w:t>辽宁省</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lang w:val="en-US" w:eastAsia="zh-CN"/>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val="en-US" w:eastAsia="zh-CN"/>
        </w:rPr>
        <w:t>设计施工总承包招标</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rPr>
      </w:pP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rPr>
      </w:pPr>
      <w:r>
        <w:rPr>
          <w:rFonts w:hint="default" w:ascii="Times New Roman" w:hAnsi="Times New Roman" w:eastAsia="黑体" w:cs="Times New Roman"/>
          <w:b w:val="0"/>
          <w:bCs w:val="0"/>
          <w:color w:val="auto"/>
          <w:sz w:val="31"/>
          <w:szCs w:val="31"/>
          <w:highlight w:val="none"/>
        </w:rPr>
        <w:t>（</w:t>
      </w:r>
      <w:r>
        <w:rPr>
          <w:rFonts w:hint="eastAsia" w:eastAsia="黑体" w:cs="Times New Roman"/>
          <w:b w:val="0"/>
          <w:bCs w:val="0"/>
          <w:color w:val="auto"/>
          <w:sz w:val="31"/>
          <w:szCs w:val="31"/>
          <w:highlight w:val="none"/>
          <w:lang w:eastAsia="zh-CN"/>
        </w:rPr>
        <w:t>项目编号</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jc w:val="right"/>
        <w:rPr>
          <w:rFonts w:hint="default" w:ascii="Times New Roman" w:hAnsi="Times New Roman" w:cs="Times New Roman"/>
          <w:color w:val="auto"/>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szCs w:val="28"/>
          <w:highlight w:val="none"/>
        </w:rPr>
      </w:pPr>
    </w:p>
    <w:p>
      <w:pPr>
        <w:pageBreakBefore w:val="0"/>
        <w:kinsoku/>
        <w:wordWrap w:val="0"/>
        <w:overflowPunct/>
        <w:bidi w:val="0"/>
        <w:rPr>
          <w:rFonts w:hint="default" w:ascii="Times New Roman" w:hAnsi="Times New Roman" w:cs="Times New Roman"/>
          <w:color w:val="auto"/>
          <w:sz w:val="28"/>
          <w:highlight w:val="none"/>
        </w:rPr>
      </w:pPr>
    </w:p>
    <w:p>
      <w:pPr>
        <w:pageBreakBefore w:val="0"/>
        <w:kinsoku/>
        <w:wordWrap w:val="0"/>
        <w:overflowPunct/>
        <w:bidi w:val="0"/>
        <w:spacing w:line="860" w:lineRule="exact"/>
        <w:jc w:val="center"/>
        <w:rPr>
          <w:rFonts w:hint="default" w:ascii="Times New Roman" w:hAnsi="Times New Roman" w:eastAsia="黑体" w:cs="Times New Roman"/>
          <w:color w:val="auto"/>
          <w:sz w:val="50"/>
          <w:szCs w:val="50"/>
          <w:highlight w:val="none"/>
        </w:rPr>
      </w:pPr>
      <w:r>
        <w:rPr>
          <w:rFonts w:hint="default" w:ascii="Times New Roman" w:hAnsi="Times New Roman" w:eastAsia="黑体" w:cs="Times New Roman"/>
          <w:color w:val="auto"/>
          <w:sz w:val="50"/>
          <w:szCs w:val="50"/>
          <w:highlight w:val="none"/>
        </w:rPr>
        <w:t>招</w:t>
      </w:r>
      <w:r>
        <w:rPr>
          <w:rFonts w:hint="default" w:ascii="Times New Roman" w:hAnsi="Times New Roman" w:eastAsia="黑体" w:cs="Times New Roman"/>
          <w:color w:val="auto"/>
          <w:sz w:val="50"/>
          <w:szCs w:val="50"/>
          <w:highlight w:val="none"/>
          <w:lang w:val="en-US" w:eastAsia="zh-CN"/>
        </w:rPr>
        <w:t xml:space="preserve"> </w:t>
      </w:r>
      <w:r>
        <w:rPr>
          <w:rFonts w:hint="default" w:ascii="Times New Roman" w:hAnsi="Times New Roman" w:eastAsia="黑体" w:cs="Times New Roman"/>
          <w:color w:val="auto"/>
          <w:sz w:val="50"/>
          <w:szCs w:val="50"/>
          <w:highlight w:val="none"/>
        </w:rPr>
        <w:t>标</w:t>
      </w:r>
      <w:r>
        <w:rPr>
          <w:rFonts w:hint="default" w:ascii="Times New Roman" w:hAnsi="Times New Roman" w:eastAsia="黑体" w:cs="Times New Roman"/>
          <w:color w:val="auto"/>
          <w:sz w:val="50"/>
          <w:szCs w:val="50"/>
          <w:highlight w:val="none"/>
          <w:lang w:val="en-US" w:eastAsia="zh-CN"/>
        </w:rPr>
        <w:t xml:space="preserve"> </w:t>
      </w:r>
      <w:r>
        <w:rPr>
          <w:rFonts w:hint="default" w:ascii="Times New Roman" w:hAnsi="Times New Roman" w:eastAsia="黑体" w:cs="Times New Roman"/>
          <w:color w:val="auto"/>
          <w:sz w:val="50"/>
          <w:szCs w:val="50"/>
          <w:highlight w:val="none"/>
        </w:rPr>
        <w:t>文</w:t>
      </w:r>
      <w:r>
        <w:rPr>
          <w:rFonts w:hint="default" w:ascii="Times New Roman" w:hAnsi="Times New Roman" w:eastAsia="黑体" w:cs="Times New Roman"/>
          <w:color w:val="auto"/>
          <w:sz w:val="50"/>
          <w:szCs w:val="50"/>
          <w:highlight w:val="none"/>
          <w:lang w:val="en-US" w:eastAsia="zh-CN"/>
        </w:rPr>
        <w:t xml:space="preserve"> </w:t>
      </w:r>
      <w:r>
        <w:rPr>
          <w:rFonts w:hint="default" w:ascii="Times New Roman" w:hAnsi="Times New Roman" w:eastAsia="黑体" w:cs="Times New Roman"/>
          <w:color w:val="auto"/>
          <w:sz w:val="50"/>
          <w:szCs w:val="50"/>
          <w:highlight w:val="none"/>
        </w:rPr>
        <w:t>件</w:t>
      </w: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pP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招标人：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8"/>
          <w:szCs w:val="28"/>
          <w:highlight w:val="none"/>
        </w:rPr>
      </w:pPr>
      <w:r>
        <w:rPr>
          <w:rFonts w:hint="default" w:ascii="Times New Roman" w:hAnsi="Times New Roman" w:eastAsia="黑体" w:cs="Times New Roman"/>
          <w:color w:val="auto"/>
          <w:sz w:val="28"/>
          <w:szCs w:val="28"/>
          <w:highlight w:val="none"/>
        </w:rPr>
        <w:t>招标代理机构：</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overflowPunct/>
        <w:bidi w:val="0"/>
        <w:spacing w:line="400" w:lineRule="atLeast"/>
        <w:jc w:val="center"/>
        <w:rPr>
          <w:rFonts w:hint="default" w:ascii="Times New Roman" w:hAnsi="Times New Roman" w:eastAsia="黑体" w:cs="Times New Roman"/>
          <w:color w:val="auto"/>
          <w:sz w:val="28"/>
          <w:szCs w:val="28"/>
          <w:highlight w:val="none"/>
        </w:rPr>
        <w:sectPr>
          <w:headerReference r:id="rId10" w:type="default"/>
          <w:footerReference r:id="rId12" w:type="default"/>
          <w:headerReference r:id="rId11" w:type="even"/>
          <w:footnotePr>
            <w:numFmt w:val="decimalEnclosedCircleChinese"/>
            <w:numRestart w:val="eachPage"/>
          </w:footnotePr>
          <w:pgSz w:w="11907" w:h="16840"/>
          <w:pgMar w:top="1588" w:right="1588" w:bottom="1474" w:left="1644" w:header="851" w:footer="851" w:gutter="0"/>
          <w:pgNumType w:start="0"/>
          <w:cols w:space="425" w:num="1"/>
          <w:titlePg/>
          <w:docGrid w:linePitch="312" w:charSpace="0"/>
        </w:sect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p>
    <w:sdt>
      <w:sdtPr>
        <w:rPr>
          <w:rFonts w:hint="eastAsia" w:ascii="黑体" w:hAnsi="黑体" w:eastAsia="黑体" w:cs="黑体"/>
          <w:color w:val="auto"/>
          <w:kern w:val="2"/>
          <w:sz w:val="36"/>
          <w:szCs w:val="36"/>
          <w:highlight w:val="none"/>
          <w:lang w:val="en-US" w:eastAsia="zh-CN" w:bidi="ar-SA"/>
        </w:rPr>
        <w:id w:val="147458746"/>
        <w15:color w:val="DBDBDB"/>
        <w:docPartObj>
          <w:docPartGallery w:val="Table of Contents"/>
          <w:docPartUnique/>
        </w:docPartObj>
      </w:sdtPr>
      <w:sdtEndPr>
        <w:rPr>
          <w:rFonts w:hint="default" w:ascii="Times New Roman" w:hAnsi="Times New Roman" w:eastAsia="宋体" w:cs="Times New Roman"/>
          <w:b/>
          <w:color w:val="auto"/>
          <w:kern w:val="2"/>
          <w:sz w:val="20"/>
          <w:szCs w:val="20"/>
          <w:highlight w:val="none"/>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eastAsia" w:ascii="黑体" w:hAnsi="黑体" w:eastAsia="黑体" w:cs="黑体"/>
              <w:color w:val="auto"/>
              <w:kern w:val="2"/>
              <w:sz w:val="36"/>
              <w:szCs w:val="36"/>
              <w:highlight w:val="none"/>
              <w:lang w:val="en-US" w:eastAsia="zh-CN" w:bidi="ar-SA"/>
            </w:rPr>
          </w:pPr>
          <w:r>
            <w:rPr>
              <w:rFonts w:hint="eastAsia" w:ascii="黑体" w:hAnsi="黑体" w:eastAsia="黑体" w:cs="黑体"/>
              <w:color w:val="auto"/>
              <w:kern w:val="2"/>
              <w:sz w:val="36"/>
              <w:szCs w:val="36"/>
              <w:highlight w:val="none"/>
              <w:lang w:val="en-US" w:eastAsia="zh-CN" w:bidi="ar-SA"/>
            </w:rPr>
            <w:t>目  录</w:t>
          </w:r>
        </w:p>
        <w:p>
          <w:pPr>
            <w:pStyle w:val="26"/>
            <w:keepNext w:val="0"/>
            <w:keepLines w:val="0"/>
            <w:pageBreakBefore w:val="0"/>
            <w:widowControl w:val="0"/>
            <w:tabs>
              <w:tab w:val="right" w:leader="dot" w:pos="8675"/>
            </w:tabs>
            <w:kinsoku/>
            <w:overflowPunct/>
            <w:topLinePunct w:val="0"/>
            <w:autoSpaceDE/>
            <w:autoSpaceDN/>
            <w:bidi w:val="0"/>
            <w:adjustRightInd/>
            <w:snapToGrid/>
            <w:spacing w:line="440" w:lineRule="exact"/>
            <w:jc w:val="center"/>
            <w:textAlignment w:val="auto"/>
            <w:rPr>
              <w:color w:val="auto"/>
              <w:highlight w:val="none"/>
            </w:rPr>
          </w:pPr>
          <w:r>
            <w:rPr>
              <w:rFonts w:hint="default" w:ascii="Times New Roman" w:hAnsi="Times New Roman" w:eastAsia="宋体" w:cs="Times New Roman"/>
              <w:b/>
              <w:color w:val="auto"/>
              <w:kern w:val="2"/>
              <w:sz w:val="20"/>
              <w:szCs w:val="20"/>
              <w:highlight w:val="none"/>
              <w:lang w:val="en-US" w:eastAsia="zh-CN" w:bidi="ar-SA"/>
            </w:rPr>
            <w:fldChar w:fldCharType="begin"/>
          </w:r>
          <w:r>
            <w:rPr>
              <w:rFonts w:hint="default" w:ascii="Times New Roman" w:hAnsi="Times New Roman" w:eastAsia="宋体" w:cs="Times New Roman"/>
              <w:b/>
              <w:color w:val="auto"/>
              <w:kern w:val="2"/>
              <w:sz w:val="20"/>
              <w:szCs w:val="20"/>
              <w:highlight w:val="none"/>
              <w:lang w:val="en-US" w:eastAsia="zh-CN" w:bidi="ar-SA"/>
            </w:rPr>
            <w:instrText xml:space="preserve">TOC \o "1-2" \h \u </w:instrText>
          </w:r>
          <w:r>
            <w:rPr>
              <w:rFonts w:hint="default" w:ascii="Times New Roman" w:hAnsi="Times New Roman" w:eastAsia="宋体" w:cs="Times New Roman"/>
              <w:b/>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32"/>
              <w:szCs w:val="32"/>
              <w:highlight w:val="none"/>
              <w:lang w:val="en-US" w:eastAsia="zh-CN" w:bidi="ar-SA"/>
            </w:rPr>
            <w:fldChar w:fldCharType="begin"/>
          </w:r>
          <w:r>
            <w:rPr>
              <w:rFonts w:hint="default" w:ascii="Times New Roman" w:hAnsi="Times New Roman" w:eastAsia="宋体" w:cs="Times New Roman"/>
              <w:color w:val="auto"/>
              <w:kern w:val="2"/>
              <w:sz w:val="32"/>
              <w:szCs w:val="32"/>
              <w:highlight w:val="none"/>
              <w:lang w:val="en-US" w:eastAsia="zh-CN" w:bidi="ar-SA"/>
            </w:rPr>
            <w:instrText xml:space="preserve"> HYPERLINK \l _Toc12090 </w:instrText>
          </w:r>
          <w:r>
            <w:rPr>
              <w:rFonts w:hint="default" w:ascii="Times New Roman" w:hAnsi="Times New Roman" w:eastAsia="宋体" w:cs="Times New Roman"/>
              <w:color w:val="auto"/>
              <w:kern w:val="2"/>
              <w:sz w:val="32"/>
              <w:szCs w:val="32"/>
              <w:highlight w:val="none"/>
              <w:lang w:val="en-US" w:eastAsia="zh-CN" w:bidi="ar-SA"/>
            </w:rPr>
            <w:fldChar w:fldCharType="separate"/>
          </w:r>
          <w:r>
            <w:rPr>
              <w:rFonts w:hint="default" w:ascii="Times New Roman" w:hAnsi="Times New Roman" w:eastAsia="黑体" w:cs="Times New Roman"/>
              <w:color w:val="auto"/>
              <w:sz w:val="32"/>
              <w:szCs w:val="32"/>
              <w:highlight w:val="none"/>
            </w:rPr>
            <w:t>第  一  卷</w:t>
          </w:r>
          <w:r>
            <w:rPr>
              <w:rFonts w:hint="default" w:ascii="Times New Roman" w:hAnsi="Times New Roman" w:eastAsia="宋体" w:cs="Times New Roman"/>
              <w:color w:val="auto"/>
              <w:kern w:val="2"/>
              <w:sz w:val="32"/>
              <w:szCs w:val="32"/>
              <w:highlight w:val="none"/>
              <w:lang w:val="en-US" w:eastAsia="zh-CN" w:bidi="ar-SA"/>
            </w:rPr>
            <w:fldChar w:fldCharType="end"/>
          </w:r>
        </w:p>
        <w:p>
          <w:pPr>
            <w:pStyle w:val="26"/>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HYPERLINK \l _Toc23147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sz w:val="20"/>
              <w:szCs w:val="20"/>
              <w:highlight w:val="none"/>
            </w:rPr>
            <w:t>第一章  招标公告</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_Toc23147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2</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_Toc762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sz w:val="20"/>
              <w:szCs w:val="20"/>
              <w:highlight w:val="none"/>
            </w:rPr>
            <w:t>1. 招标条件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_Toc762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_Toc25980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sz w:val="20"/>
              <w:szCs w:val="20"/>
              <w:highlight w:val="none"/>
            </w:rPr>
            <w:t>2. 项目概况与招标范围</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_Toc25980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_Toc26562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sz w:val="20"/>
              <w:szCs w:val="20"/>
              <w:highlight w:val="none"/>
            </w:rPr>
            <w:t>3. 投标人资格要求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_Toc26562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_Toc31743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sz w:val="20"/>
              <w:szCs w:val="20"/>
              <w:highlight w:val="none"/>
            </w:rPr>
            <w:t>4. 招标文件的获取</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_Toc31743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_Toc25806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sz w:val="20"/>
              <w:szCs w:val="20"/>
              <w:highlight w:val="none"/>
            </w:rPr>
            <w:t>5. 投标文件的递交及相关事宜</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_Toc25806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_Toc5564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sz w:val="20"/>
              <w:szCs w:val="20"/>
              <w:highlight w:val="none"/>
              <w:lang w:val="en-US" w:eastAsia="zh-CN"/>
            </w:rPr>
            <w:t>6. 评标办法</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_Toc5564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_Toc27914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sz w:val="20"/>
              <w:szCs w:val="20"/>
              <w:highlight w:val="none"/>
              <w:lang w:val="en-US" w:eastAsia="zh-CN"/>
            </w:rPr>
            <w:t>7</w:t>
          </w:r>
          <w:r>
            <w:rPr>
              <w:rFonts w:hint="default" w:ascii="Times New Roman" w:hAnsi="Times New Roman" w:eastAsia="宋体" w:cs="Times New Roman"/>
              <w:color w:val="auto"/>
              <w:sz w:val="20"/>
              <w:szCs w:val="20"/>
              <w:highlight w:val="none"/>
            </w:rPr>
            <w:t>. 发布公告的媒介</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_Toc27914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_Toc25672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bCs/>
              <w:color w:val="auto"/>
              <w:kern w:val="44"/>
              <w:sz w:val="20"/>
              <w:szCs w:val="20"/>
              <w:highlight w:val="none"/>
              <w:lang w:val="en-US" w:eastAsia="zh-CN" w:bidi="ar-SA"/>
            </w:rPr>
            <w:t>8</w:t>
          </w:r>
          <w:r>
            <w:rPr>
              <w:rFonts w:hint="default" w:ascii="Times New Roman" w:hAnsi="Times New Roman" w:eastAsia="宋体" w:cs="Times New Roman"/>
              <w:color w:val="auto"/>
              <w:sz w:val="20"/>
              <w:szCs w:val="20"/>
              <w:highlight w:val="none"/>
            </w:rPr>
            <w:t>. 联系方式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_Toc25672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6"/>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HYPERLINK \l _Toc5320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第二章  投标人须知</w:t>
          </w:r>
          <w:r>
            <w:rPr>
              <w:rFonts w:hint="default" w:ascii="Times New Roman" w:hAnsi="Times New Roman" w:eastAsia="黑体" w:cs="Times New Roman"/>
              <w:color w:val="auto"/>
              <w:kern w:val="2"/>
              <w:sz w:val="20"/>
              <w:szCs w:val="20"/>
              <w:highlight w:val="none"/>
              <w:lang w:val="en-US" w:eastAsia="zh-CN" w:bidi="ar-SA"/>
            </w:rPr>
            <w:tab/>
          </w: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PAGEREF _Toc5320 \h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8</w:t>
          </w:r>
          <w:r>
            <w:rPr>
              <w:rFonts w:hint="default" w:ascii="Times New Roman" w:hAnsi="Times New Roman" w:eastAsia="黑体" w:cs="Times New Roman"/>
              <w:color w:val="auto"/>
              <w:kern w:val="2"/>
              <w:sz w:val="20"/>
              <w:szCs w:val="20"/>
              <w:highlight w:val="none"/>
              <w:lang w:val="en-US" w:eastAsia="zh-CN" w:bidi="ar-SA"/>
            </w:rPr>
            <w:fldChar w:fldCharType="end"/>
          </w:r>
          <w:r>
            <w:rPr>
              <w:rFonts w:hint="default" w:ascii="Times New Roman" w:hAnsi="Times New Roman" w:eastAsia="黑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_Toc3482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投标人须知前附表</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_Toc3482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9</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_Toc16069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附录1  资格审查条件（资质最低要求）</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_Toc16069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17</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_Toc1550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附录2  资格审查条件（财务最低要求）</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_Toc1550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18</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_Toc25035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附录3  资格审查条件（业绩最低要求）</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_Toc25035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19</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_Toc13304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附录4  资格审查条件（信誉最低要求）</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_Toc13304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20</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_Toc24240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附录5  资格审查条件（项目负责人、设计负责人、施工负责人最低要求）</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_Toc24240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21</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_Toc18043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附录6  资格审查条件（其他管理和技术人员最低要求）</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_Toc18043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22</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_Toc13364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附录7  资格审查条件（主要机械设备和试验检测设备最低要求）</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_Toc13364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23</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_Toc9455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1. 总则</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_Toc9455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24</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_Toc27003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 招标文件</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_Toc27003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28</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_Toc19023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3. 投标文件</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_Toc19023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29</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_Toc1112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4. 投标</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_Toc1112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34</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_Toc18657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5. 开标</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_Toc18657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35</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_Toc19149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6. 评标</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_Toc19149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37</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_Toc8229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7. 合同授予</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_Toc8229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38</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_Toc29111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8. 纪律和监督</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_Toc29111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40</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_Toc8030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9. 需要补充的其他内容</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_Toc8030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41</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6"/>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HYPERLINK \l _Toc10695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第三章  评标办法（综合评分法）</w:t>
          </w:r>
          <w:r>
            <w:rPr>
              <w:rFonts w:hint="default" w:ascii="Times New Roman" w:hAnsi="Times New Roman" w:eastAsia="黑体" w:cs="Times New Roman"/>
              <w:color w:val="auto"/>
              <w:kern w:val="2"/>
              <w:sz w:val="20"/>
              <w:szCs w:val="20"/>
              <w:highlight w:val="none"/>
              <w:lang w:val="en-US" w:eastAsia="zh-CN" w:bidi="ar-SA"/>
            </w:rPr>
            <w:tab/>
          </w: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PAGEREF _Toc10695 \h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47</w:t>
          </w:r>
          <w:r>
            <w:rPr>
              <w:rFonts w:hint="default" w:ascii="Times New Roman" w:hAnsi="Times New Roman" w:eastAsia="黑体" w:cs="Times New Roman"/>
              <w:color w:val="auto"/>
              <w:kern w:val="2"/>
              <w:sz w:val="20"/>
              <w:szCs w:val="20"/>
              <w:highlight w:val="none"/>
              <w:lang w:val="en-US" w:eastAsia="zh-CN" w:bidi="ar-SA"/>
            </w:rPr>
            <w:fldChar w:fldCharType="end"/>
          </w:r>
          <w:r>
            <w:rPr>
              <w:rFonts w:hint="default" w:ascii="Times New Roman" w:hAnsi="Times New Roman" w:eastAsia="黑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_Toc29053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1. 评标方法</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_Toc29053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55</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_Toc16247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 评审标准</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_Toc16247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55</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_Toc4937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3. 评标程序</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_Toc4937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55</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6"/>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HYPERLINK \l _Toc20223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第三章  评标办法（经评审的最低投标价法）</w:t>
          </w:r>
          <w:r>
            <w:rPr>
              <w:rFonts w:hint="default" w:ascii="Times New Roman" w:hAnsi="Times New Roman" w:eastAsia="黑体" w:cs="Times New Roman"/>
              <w:color w:val="auto"/>
              <w:kern w:val="2"/>
              <w:sz w:val="20"/>
              <w:szCs w:val="20"/>
              <w:highlight w:val="none"/>
              <w:lang w:val="en-US" w:eastAsia="zh-CN" w:bidi="ar-SA"/>
            </w:rPr>
            <w:tab/>
          </w: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PAGEREF _Toc20223 \h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59</w:t>
          </w:r>
          <w:r>
            <w:rPr>
              <w:rFonts w:hint="default" w:ascii="Times New Roman" w:hAnsi="Times New Roman" w:eastAsia="黑体" w:cs="Times New Roman"/>
              <w:color w:val="auto"/>
              <w:kern w:val="2"/>
              <w:sz w:val="20"/>
              <w:szCs w:val="20"/>
              <w:highlight w:val="none"/>
              <w:lang w:val="en-US" w:eastAsia="zh-CN" w:bidi="ar-SA"/>
            </w:rPr>
            <w:fldChar w:fldCharType="end"/>
          </w:r>
          <w:r>
            <w:rPr>
              <w:rFonts w:hint="default" w:ascii="Times New Roman" w:hAnsi="Times New Roman" w:eastAsia="黑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_Toc25866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1. 评标方法</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_Toc25866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62</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_Toc15187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 评审标准</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_Toc15187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62</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_Toc21352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3. 评标程序</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_Toc21352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62</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6"/>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HYPERLINK \l _Toc19918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第三章  评标办法（合理低价法）</w:t>
          </w:r>
          <w:r>
            <w:rPr>
              <w:rFonts w:hint="default" w:ascii="Times New Roman" w:hAnsi="Times New Roman" w:eastAsia="黑体" w:cs="Times New Roman"/>
              <w:color w:val="auto"/>
              <w:kern w:val="2"/>
              <w:sz w:val="20"/>
              <w:szCs w:val="20"/>
              <w:highlight w:val="none"/>
              <w:lang w:val="en-US" w:eastAsia="zh-CN" w:bidi="ar-SA"/>
            </w:rPr>
            <w:tab/>
          </w: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PAGEREF _Toc19918 \h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66</w:t>
          </w:r>
          <w:r>
            <w:rPr>
              <w:rFonts w:hint="default" w:ascii="Times New Roman" w:hAnsi="Times New Roman" w:eastAsia="黑体" w:cs="Times New Roman"/>
              <w:color w:val="auto"/>
              <w:kern w:val="2"/>
              <w:sz w:val="20"/>
              <w:szCs w:val="20"/>
              <w:highlight w:val="none"/>
              <w:lang w:val="en-US" w:eastAsia="zh-CN" w:bidi="ar-SA"/>
            </w:rPr>
            <w:fldChar w:fldCharType="end"/>
          </w:r>
          <w:r>
            <w:rPr>
              <w:rFonts w:hint="default" w:ascii="Times New Roman" w:hAnsi="Times New Roman" w:eastAsia="黑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_Toc5576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1. 评标方法</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_Toc5576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73</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_Toc24564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 评审标准</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_Toc24564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73</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_Toc25836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3. 评标程序</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_Toc25836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73</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6"/>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HYPERLINK \l _Toc28477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第三章  评标办法（技术评分最低标价法）</w:t>
          </w:r>
          <w:r>
            <w:rPr>
              <w:rFonts w:hint="default" w:ascii="Times New Roman" w:hAnsi="Times New Roman" w:eastAsia="黑体" w:cs="Times New Roman"/>
              <w:color w:val="auto"/>
              <w:kern w:val="2"/>
              <w:sz w:val="20"/>
              <w:szCs w:val="20"/>
              <w:highlight w:val="none"/>
              <w:lang w:val="en-US" w:eastAsia="zh-CN" w:bidi="ar-SA"/>
            </w:rPr>
            <w:tab/>
          </w: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PAGEREF _Toc28477 \h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77</w:t>
          </w:r>
          <w:r>
            <w:rPr>
              <w:rFonts w:hint="default" w:ascii="Times New Roman" w:hAnsi="Times New Roman" w:eastAsia="黑体" w:cs="Times New Roman"/>
              <w:color w:val="auto"/>
              <w:kern w:val="2"/>
              <w:sz w:val="20"/>
              <w:szCs w:val="20"/>
              <w:highlight w:val="none"/>
              <w:lang w:val="en-US" w:eastAsia="zh-CN" w:bidi="ar-SA"/>
            </w:rPr>
            <w:fldChar w:fldCharType="end"/>
          </w:r>
          <w:r>
            <w:rPr>
              <w:rFonts w:hint="default" w:ascii="Times New Roman" w:hAnsi="Times New Roman" w:eastAsia="黑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_Toc31119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1. 评标方法</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_Toc31119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82</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_Toc16374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 评审标准</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_Toc16374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82</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_Toc22811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3. 评标程序</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_Toc22811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82</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6"/>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HYPERLINK \l _Toc13134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第三章  评标办法（技术评分合理低标价法）</w:t>
          </w:r>
          <w:r>
            <w:rPr>
              <w:rFonts w:hint="default" w:ascii="Times New Roman" w:hAnsi="Times New Roman" w:eastAsia="黑体" w:cs="Times New Roman"/>
              <w:color w:val="auto"/>
              <w:kern w:val="2"/>
              <w:sz w:val="20"/>
              <w:szCs w:val="20"/>
              <w:highlight w:val="none"/>
              <w:lang w:val="en-US" w:eastAsia="zh-CN" w:bidi="ar-SA"/>
            </w:rPr>
            <w:tab/>
          </w: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PAGEREF _Toc13134 \h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86</w:t>
          </w:r>
          <w:r>
            <w:rPr>
              <w:rFonts w:hint="default" w:ascii="Times New Roman" w:hAnsi="Times New Roman" w:eastAsia="黑体" w:cs="Times New Roman"/>
              <w:color w:val="auto"/>
              <w:kern w:val="2"/>
              <w:sz w:val="20"/>
              <w:szCs w:val="20"/>
              <w:highlight w:val="none"/>
              <w:lang w:val="en-US" w:eastAsia="zh-CN" w:bidi="ar-SA"/>
            </w:rPr>
            <w:fldChar w:fldCharType="end"/>
          </w:r>
          <w:r>
            <w:rPr>
              <w:rFonts w:hint="default" w:ascii="Times New Roman" w:hAnsi="Times New Roman" w:eastAsia="黑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_Toc13255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1. 评标方法</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_Toc13255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94</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_Toc17749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 评审标准</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_Toc17749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94</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_Toc22318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3. 评标程序</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_Toc22318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94</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6"/>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HYPERLINK \l _Toc4038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第四章  合同条款及格式</w:t>
          </w:r>
          <w:r>
            <w:rPr>
              <w:rFonts w:hint="default" w:ascii="Times New Roman" w:hAnsi="Times New Roman" w:eastAsia="黑体" w:cs="Times New Roman"/>
              <w:color w:val="auto"/>
              <w:kern w:val="2"/>
              <w:sz w:val="20"/>
              <w:szCs w:val="20"/>
              <w:highlight w:val="none"/>
              <w:lang w:val="en-US" w:eastAsia="zh-CN" w:bidi="ar-SA"/>
            </w:rPr>
            <w:tab/>
          </w: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PAGEREF _Toc4038 \h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99</w:t>
          </w:r>
          <w:r>
            <w:rPr>
              <w:rFonts w:hint="default" w:ascii="Times New Roman" w:hAnsi="Times New Roman" w:eastAsia="黑体" w:cs="Times New Roman"/>
              <w:color w:val="auto"/>
              <w:kern w:val="2"/>
              <w:sz w:val="20"/>
              <w:szCs w:val="20"/>
              <w:highlight w:val="none"/>
              <w:lang w:val="en-US" w:eastAsia="zh-CN" w:bidi="ar-SA"/>
            </w:rPr>
            <w:fldChar w:fldCharType="end"/>
          </w:r>
          <w:r>
            <w:rPr>
              <w:rFonts w:hint="default" w:ascii="Times New Roman" w:hAnsi="Times New Roman" w:eastAsia="黑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_Toc5769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第一节  通用合同条款</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_Toc5769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100</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_Toc16337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第二节  专用合同条款</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_Toc16337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144</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_Toc23986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第三节  合同附件格式</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_Toc23986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189</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6"/>
            <w:keepNext w:val="0"/>
            <w:keepLines w:val="0"/>
            <w:pageBreakBefore w:val="0"/>
            <w:widowControl w:val="0"/>
            <w:tabs>
              <w:tab w:val="right" w:leader="dot" w:pos="8675"/>
            </w:tabs>
            <w:kinsoku/>
            <w:overflowPunct/>
            <w:topLinePunct w:val="0"/>
            <w:autoSpaceDE/>
            <w:autoSpaceDN/>
            <w:bidi w:val="0"/>
            <w:adjustRightInd/>
            <w:snapToGrid/>
            <w:spacing w:line="440" w:lineRule="exact"/>
            <w:jc w:val="center"/>
            <w:textAlignment w:val="auto"/>
            <w:rPr>
              <w:rFonts w:hint="default" w:ascii="Times New Roman" w:hAnsi="Times New Roman" w:cs="Times New Roman"/>
              <w:color w:val="auto"/>
              <w:sz w:val="32"/>
              <w:szCs w:val="32"/>
              <w:highlight w:val="none"/>
            </w:rPr>
          </w:pPr>
          <w:r>
            <w:rPr>
              <w:rFonts w:hint="default" w:ascii="Times New Roman" w:hAnsi="Times New Roman" w:eastAsia="宋体" w:cs="Times New Roman"/>
              <w:color w:val="auto"/>
              <w:kern w:val="2"/>
              <w:sz w:val="32"/>
              <w:szCs w:val="32"/>
              <w:highlight w:val="none"/>
              <w:lang w:val="en-US" w:eastAsia="zh-CN" w:bidi="ar-SA"/>
            </w:rPr>
            <w:fldChar w:fldCharType="begin"/>
          </w:r>
          <w:r>
            <w:rPr>
              <w:rFonts w:hint="default" w:ascii="Times New Roman" w:hAnsi="Times New Roman" w:eastAsia="宋体" w:cs="Times New Roman"/>
              <w:color w:val="auto"/>
              <w:kern w:val="2"/>
              <w:sz w:val="32"/>
              <w:szCs w:val="32"/>
              <w:highlight w:val="none"/>
              <w:lang w:val="en-US" w:eastAsia="zh-CN" w:bidi="ar-SA"/>
            </w:rPr>
            <w:instrText xml:space="preserve"> HYPERLINK \l _Toc32656 </w:instrText>
          </w:r>
          <w:r>
            <w:rPr>
              <w:rFonts w:hint="default" w:ascii="Times New Roman" w:hAnsi="Times New Roman" w:eastAsia="宋体" w:cs="Times New Roman"/>
              <w:color w:val="auto"/>
              <w:kern w:val="2"/>
              <w:sz w:val="32"/>
              <w:szCs w:val="32"/>
              <w:highlight w:val="none"/>
              <w:lang w:val="en-US" w:eastAsia="zh-CN" w:bidi="ar-SA"/>
            </w:rPr>
            <w:fldChar w:fldCharType="separate"/>
          </w:r>
          <w:r>
            <w:rPr>
              <w:rFonts w:hint="default" w:ascii="Times New Roman" w:hAnsi="Times New Roman" w:eastAsia="黑体" w:cs="Times New Roman"/>
              <w:color w:val="auto"/>
              <w:sz w:val="32"/>
              <w:szCs w:val="32"/>
              <w:highlight w:val="none"/>
            </w:rPr>
            <w:t>第  二  卷</w:t>
          </w:r>
          <w:r>
            <w:rPr>
              <w:rFonts w:hint="default" w:ascii="Times New Roman" w:hAnsi="Times New Roman" w:eastAsia="宋体" w:cs="Times New Roman"/>
              <w:color w:val="auto"/>
              <w:kern w:val="2"/>
              <w:sz w:val="32"/>
              <w:szCs w:val="32"/>
              <w:highlight w:val="none"/>
              <w:lang w:val="en-US" w:eastAsia="zh-CN" w:bidi="ar-SA"/>
            </w:rPr>
            <w:fldChar w:fldCharType="end"/>
          </w:r>
        </w:p>
        <w:p>
          <w:pPr>
            <w:pStyle w:val="26"/>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HYPERLINK \l _Toc3429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第五章 发包人要求</w:t>
          </w:r>
          <w:r>
            <w:rPr>
              <w:rFonts w:hint="default" w:ascii="Times New Roman" w:hAnsi="Times New Roman" w:eastAsia="黑体" w:cs="Times New Roman"/>
              <w:color w:val="auto"/>
              <w:kern w:val="2"/>
              <w:sz w:val="20"/>
              <w:szCs w:val="20"/>
              <w:highlight w:val="none"/>
              <w:lang w:val="en-US" w:eastAsia="zh-CN" w:bidi="ar-SA"/>
            </w:rPr>
            <w:tab/>
          </w: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PAGEREF _Toc3429 \h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204</w:t>
          </w:r>
          <w:r>
            <w:rPr>
              <w:rFonts w:hint="default" w:ascii="Times New Roman" w:hAnsi="Times New Roman" w:eastAsia="黑体" w:cs="Times New Roman"/>
              <w:color w:val="auto"/>
              <w:kern w:val="2"/>
              <w:sz w:val="20"/>
              <w:szCs w:val="20"/>
              <w:highlight w:val="none"/>
              <w:lang w:val="en-US" w:eastAsia="zh-CN" w:bidi="ar-SA"/>
            </w:rPr>
            <w:fldChar w:fldCharType="end"/>
          </w:r>
          <w:r>
            <w:rPr>
              <w:rFonts w:hint="default" w:ascii="Times New Roman" w:hAnsi="Times New Roman" w:eastAsia="黑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_Toc6092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一、工程说明</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_Toc6092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205</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_Toc29267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二、主要工作内容</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_Toc29267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205</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_Toc30009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三、时间要求</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_Toc30009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206</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_Toc30212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四、发包人管理要求</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_Toc30212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206</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_Toc21595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五、技术标准和规范</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_Toc21595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207</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6"/>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HYPERLINK \l _Toc24479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第六章 发包人提供的资料和条件</w:t>
          </w:r>
          <w:r>
            <w:rPr>
              <w:rFonts w:hint="default" w:ascii="Times New Roman" w:hAnsi="Times New Roman" w:eastAsia="黑体" w:cs="Times New Roman"/>
              <w:color w:val="auto"/>
              <w:kern w:val="2"/>
              <w:sz w:val="20"/>
              <w:szCs w:val="20"/>
              <w:highlight w:val="none"/>
              <w:lang w:val="en-US" w:eastAsia="zh-CN" w:bidi="ar-SA"/>
            </w:rPr>
            <w:tab/>
          </w: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PAGEREF _Toc24479 \h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212</w:t>
          </w:r>
          <w:r>
            <w:rPr>
              <w:rFonts w:hint="default" w:ascii="Times New Roman" w:hAnsi="Times New Roman" w:eastAsia="黑体" w:cs="Times New Roman"/>
              <w:color w:val="auto"/>
              <w:kern w:val="2"/>
              <w:sz w:val="20"/>
              <w:szCs w:val="20"/>
              <w:highlight w:val="none"/>
              <w:lang w:val="en-US" w:eastAsia="zh-CN" w:bidi="ar-SA"/>
            </w:rPr>
            <w:fldChar w:fldCharType="end"/>
          </w:r>
          <w:r>
            <w:rPr>
              <w:rFonts w:hint="default" w:ascii="Times New Roman" w:hAnsi="Times New Roman" w:eastAsia="黑体" w:cs="Times New Roman"/>
              <w:color w:val="auto"/>
              <w:kern w:val="2"/>
              <w:sz w:val="20"/>
              <w:szCs w:val="20"/>
              <w:highlight w:val="none"/>
              <w:lang w:val="en-US" w:eastAsia="zh-CN" w:bidi="ar-SA"/>
            </w:rPr>
            <w:fldChar w:fldCharType="end"/>
          </w:r>
        </w:p>
        <w:p>
          <w:pPr>
            <w:pStyle w:val="26"/>
            <w:keepNext w:val="0"/>
            <w:keepLines w:val="0"/>
            <w:pageBreakBefore w:val="0"/>
            <w:widowControl w:val="0"/>
            <w:tabs>
              <w:tab w:val="right" w:leader="dot" w:pos="8675"/>
            </w:tabs>
            <w:kinsoku/>
            <w:overflowPunct/>
            <w:topLinePunct w:val="0"/>
            <w:autoSpaceDE/>
            <w:autoSpaceDN/>
            <w:bidi w:val="0"/>
            <w:adjustRightInd/>
            <w:snapToGrid/>
            <w:spacing w:line="440" w:lineRule="exact"/>
            <w:jc w:val="center"/>
            <w:textAlignment w:val="auto"/>
            <w:rPr>
              <w:rFonts w:hint="default" w:ascii="Times New Roman" w:hAnsi="Times New Roman" w:cs="Times New Roman"/>
              <w:color w:val="auto"/>
              <w:sz w:val="32"/>
              <w:szCs w:val="32"/>
              <w:highlight w:val="none"/>
            </w:rPr>
          </w:pPr>
          <w:r>
            <w:rPr>
              <w:rFonts w:hint="default" w:ascii="Times New Roman" w:hAnsi="Times New Roman" w:eastAsia="宋体" w:cs="Times New Roman"/>
              <w:color w:val="auto"/>
              <w:kern w:val="2"/>
              <w:sz w:val="32"/>
              <w:szCs w:val="32"/>
              <w:highlight w:val="none"/>
              <w:lang w:val="en-US" w:eastAsia="zh-CN" w:bidi="ar-SA"/>
            </w:rPr>
            <w:fldChar w:fldCharType="begin"/>
          </w:r>
          <w:r>
            <w:rPr>
              <w:rFonts w:hint="default" w:ascii="Times New Roman" w:hAnsi="Times New Roman" w:eastAsia="宋体" w:cs="Times New Roman"/>
              <w:color w:val="auto"/>
              <w:kern w:val="2"/>
              <w:sz w:val="32"/>
              <w:szCs w:val="32"/>
              <w:highlight w:val="none"/>
              <w:lang w:val="en-US" w:eastAsia="zh-CN" w:bidi="ar-SA"/>
            </w:rPr>
            <w:instrText xml:space="preserve"> HYPERLINK \l _Toc12710 </w:instrText>
          </w:r>
          <w:r>
            <w:rPr>
              <w:rFonts w:hint="default" w:ascii="Times New Roman" w:hAnsi="Times New Roman" w:eastAsia="宋体" w:cs="Times New Roman"/>
              <w:color w:val="auto"/>
              <w:kern w:val="2"/>
              <w:sz w:val="32"/>
              <w:szCs w:val="32"/>
              <w:highlight w:val="none"/>
              <w:lang w:val="en-US" w:eastAsia="zh-CN" w:bidi="ar-SA"/>
            </w:rPr>
            <w:fldChar w:fldCharType="separate"/>
          </w:r>
          <w:r>
            <w:rPr>
              <w:rFonts w:hint="default" w:ascii="Times New Roman" w:hAnsi="Times New Roman" w:eastAsia="黑体" w:cs="Times New Roman"/>
              <w:color w:val="auto"/>
              <w:sz w:val="32"/>
              <w:szCs w:val="32"/>
              <w:highlight w:val="none"/>
            </w:rPr>
            <w:t>第  三  卷</w:t>
          </w:r>
          <w:r>
            <w:rPr>
              <w:rFonts w:hint="default" w:ascii="Times New Roman" w:hAnsi="Times New Roman" w:eastAsia="宋体" w:cs="Times New Roman"/>
              <w:color w:val="auto"/>
              <w:kern w:val="2"/>
              <w:sz w:val="32"/>
              <w:szCs w:val="32"/>
              <w:highlight w:val="none"/>
              <w:lang w:val="en-US" w:eastAsia="zh-CN" w:bidi="ar-SA"/>
            </w:rPr>
            <w:fldChar w:fldCharType="end"/>
          </w:r>
        </w:p>
        <w:p>
          <w:pPr>
            <w:pStyle w:val="26"/>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cs="Times New Roman"/>
              <w:color w:val="auto"/>
              <w:highlight w:val="none"/>
            </w:rPr>
          </w:pP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HYPERLINK \l _Toc27660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第七章  投标文件格式</w:t>
          </w:r>
          <w:r>
            <w:rPr>
              <w:rFonts w:hint="default" w:ascii="Times New Roman" w:hAnsi="Times New Roman" w:eastAsia="黑体" w:cs="Times New Roman"/>
              <w:color w:val="auto"/>
              <w:kern w:val="2"/>
              <w:sz w:val="20"/>
              <w:szCs w:val="20"/>
              <w:highlight w:val="none"/>
              <w:lang w:val="en-US" w:eastAsia="zh-CN" w:bidi="ar-SA"/>
            </w:rPr>
            <w:tab/>
          </w:r>
          <w:r>
            <w:rPr>
              <w:rFonts w:hint="default" w:ascii="Times New Roman" w:hAnsi="Times New Roman" w:eastAsia="黑体" w:cs="Times New Roman"/>
              <w:color w:val="auto"/>
              <w:kern w:val="2"/>
              <w:sz w:val="20"/>
              <w:szCs w:val="20"/>
              <w:highlight w:val="none"/>
              <w:lang w:val="en-US" w:eastAsia="zh-CN" w:bidi="ar-SA"/>
            </w:rPr>
            <w:fldChar w:fldCharType="begin"/>
          </w:r>
          <w:r>
            <w:rPr>
              <w:rFonts w:hint="default" w:ascii="Times New Roman" w:hAnsi="Times New Roman" w:eastAsia="黑体" w:cs="Times New Roman"/>
              <w:color w:val="auto"/>
              <w:kern w:val="2"/>
              <w:sz w:val="20"/>
              <w:szCs w:val="20"/>
              <w:highlight w:val="none"/>
              <w:lang w:val="en-US" w:eastAsia="zh-CN" w:bidi="ar-SA"/>
            </w:rPr>
            <w:instrText xml:space="preserve"> PAGEREF _Toc27660 \h </w:instrText>
          </w:r>
          <w:r>
            <w:rPr>
              <w:rFonts w:hint="default" w:ascii="Times New Roman" w:hAnsi="Times New Roman" w:eastAsia="黑体" w:cs="Times New Roman"/>
              <w:color w:val="auto"/>
              <w:kern w:val="2"/>
              <w:sz w:val="20"/>
              <w:szCs w:val="20"/>
              <w:highlight w:val="none"/>
              <w:lang w:val="en-US" w:eastAsia="zh-CN" w:bidi="ar-SA"/>
            </w:rPr>
            <w:fldChar w:fldCharType="separate"/>
          </w:r>
          <w:r>
            <w:rPr>
              <w:rFonts w:hint="default" w:ascii="Times New Roman" w:hAnsi="Times New Roman" w:eastAsia="黑体" w:cs="Times New Roman"/>
              <w:color w:val="auto"/>
              <w:kern w:val="2"/>
              <w:sz w:val="20"/>
              <w:szCs w:val="20"/>
              <w:highlight w:val="none"/>
              <w:lang w:val="en-US" w:eastAsia="zh-CN" w:bidi="ar-SA"/>
            </w:rPr>
            <w:t>215</w:t>
          </w:r>
          <w:r>
            <w:rPr>
              <w:rFonts w:hint="default" w:ascii="Times New Roman" w:hAnsi="Times New Roman" w:eastAsia="黑体" w:cs="Times New Roman"/>
              <w:color w:val="auto"/>
              <w:kern w:val="2"/>
              <w:sz w:val="20"/>
              <w:szCs w:val="20"/>
              <w:highlight w:val="none"/>
              <w:lang w:val="en-US" w:eastAsia="zh-CN" w:bidi="ar-SA"/>
            </w:rPr>
            <w:fldChar w:fldCharType="end"/>
          </w:r>
          <w:r>
            <w:rPr>
              <w:rFonts w:hint="default" w:ascii="Times New Roman" w:hAnsi="Times New Roman" w:eastAsia="黑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_Toc18333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一、投标函及投标函附录</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_Toc18333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218</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_Toc13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二、授权委托书或法定代表人身份证明</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_Toc13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222</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_Toc29442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三、联合体协议书</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_Toc29442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225</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_Toc3140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四、投标保证金</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_Toc3140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226</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_Toc21836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五、承包人建议书</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_Toc21836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227</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_Toc14910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六、承包人实施计划</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_Toc14910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237</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_Toc4091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七、拟分包项目情况表</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_Toc4091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239</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_Toc29433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八、资格审查资料</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_Toc29433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240</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_Toc1937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九</w:t>
          </w:r>
          <w:r>
            <w:rPr>
              <w:rFonts w:hint="default" w:ascii="Times New Roman" w:hAnsi="Times New Roman" w:eastAsia="宋体" w:cs="Times New Roman"/>
              <w:color w:val="auto"/>
              <w:kern w:val="2"/>
              <w:sz w:val="20"/>
              <w:szCs w:val="20"/>
              <w:highlight w:val="none"/>
              <w:lang w:val="zh-CN" w:eastAsia="zh-CN" w:bidi="ar-SA"/>
            </w:rPr>
            <w:t>、投标人告知承诺函</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_Toc1937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255</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_Toc4738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十、其他资料</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_Toc4738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256</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_Toc21294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一、投标函</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_Toc21294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259</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_Toc31136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二、价格清单</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_Toc31136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260</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pStyle w:val="29"/>
            <w:keepNext w:val="0"/>
            <w:keepLines w:val="0"/>
            <w:pageBreakBefore w:val="0"/>
            <w:widowControl w:val="0"/>
            <w:tabs>
              <w:tab w:val="right" w:leader="dot" w:pos="8675"/>
            </w:tabs>
            <w:kinsoku/>
            <w:overflowPunct/>
            <w:topLinePunct w:val="0"/>
            <w:autoSpaceDE/>
            <w:autoSpaceDN/>
            <w:bidi w:val="0"/>
            <w:adjustRightInd/>
            <w:snapToGrid/>
            <w:spacing w:line="440" w:lineRule="exact"/>
            <w:textAlignment w:val="auto"/>
            <w:rPr>
              <w:color w:val="auto"/>
              <w:highlight w:val="none"/>
            </w:rPr>
          </w:pP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HYPERLINK \l _Toc26141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三、合同用款估算表</w:t>
          </w:r>
          <w:r>
            <w:rPr>
              <w:rFonts w:hint="default" w:ascii="Times New Roman" w:hAnsi="Times New Roman" w:eastAsia="宋体" w:cs="Times New Roman"/>
              <w:color w:val="auto"/>
              <w:kern w:val="2"/>
              <w:sz w:val="20"/>
              <w:szCs w:val="20"/>
              <w:highlight w:val="none"/>
              <w:lang w:val="en-US" w:eastAsia="zh-CN" w:bidi="ar-SA"/>
            </w:rPr>
            <w:tab/>
          </w:r>
          <w:r>
            <w:rPr>
              <w:rFonts w:hint="default" w:ascii="Times New Roman" w:hAnsi="Times New Roman" w:eastAsia="宋体" w:cs="Times New Roman"/>
              <w:color w:val="auto"/>
              <w:kern w:val="2"/>
              <w:sz w:val="20"/>
              <w:szCs w:val="20"/>
              <w:highlight w:val="none"/>
              <w:lang w:val="en-US" w:eastAsia="zh-CN" w:bidi="ar-SA"/>
            </w:rPr>
            <w:fldChar w:fldCharType="begin"/>
          </w:r>
          <w:r>
            <w:rPr>
              <w:rFonts w:hint="default" w:ascii="Times New Roman" w:hAnsi="Times New Roman" w:eastAsia="宋体" w:cs="Times New Roman"/>
              <w:color w:val="auto"/>
              <w:kern w:val="2"/>
              <w:sz w:val="20"/>
              <w:szCs w:val="20"/>
              <w:highlight w:val="none"/>
              <w:lang w:val="en-US" w:eastAsia="zh-CN" w:bidi="ar-SA"/>
            </w:rPr>
            <w:instrText xml:space="preserve"> PAGEREF _Toc26141 \h </w:instrText>
          </w:r>
          <w:r>
            <w:rPr>
              <w:rFonts w:hint="default" w:ascii="Times New Roman" w:hAnsi="Times New Roman" w:eastAsia="宋体" w:cs="Times New Roman"/>
              <w:color w:val="auto"/>
              <w:kern w:val="2"/>
              <w:sz w:val="20"/>
              <w:szCs w:val="20"/>
              <w:highlight w:val="none"/>
              <w:lang w:val="en-US" w:eastAsia="zh-CN" w:bidi="ar-SA"/>
            </w:rPr>
            <w:fldChar w:fldCharType="separate"/>
          </w:r>
          <w:r>
            <w:rPr>
              <w:rFonts w:hint="default" w:ascii="Times New Roman" w:hAnsi="Times New Roman" w:eastAsia="宋体" w:cs="Times New Roman"/>
              <w:color w:val="auto"/>
              <w:kern w:val="2"/>
              <w:sz w:val="20"/>
              <w:szCs w:val="20"/>
              <w:highlight w:val="none"/>
              <w:lang w:val="en-US" w:eastAsia="zh-CN" w:bidi="ar-SA"/>
            </w:rPr>
            <w:t>274</w:t>
          </w:r>
          <w:r>
            <w:rPr>
              <w:rFonts w:hint="default" w:ascii="Times New Roman" w:hAnsi="Times New Roman" w:eastAsia="宋体" w:cs="Times New Roman"/>
              <w:color w:val="auto"/>
              <w:kern w:val="2"/>
              <w:sz w:val="20"/>
              <w:szCs w:val="20"/>
              <w:highlight w:val="none"/>
              <w:lang w:val="en-US" w:eastAsia="zh-CN" w:bidi="ar-SA"/>
            </w:rPr>
            <w:fldChar w:fldCharType="end"/>
          </w:r>
          <w:r>
            <w:rPr>
              <w:rFonts w:hint="default" w:ascii="Times New Roman" w:hAnsi="Times New Roman" w:eastAsia="宋体" w:cs="Times New Roman"/>
              <w:color w:val="auto"/>
              <w:kern w:val="2"/>
              <w:sz w:val="20"/>
              <w:szCs w:val="20"/>
              <w:highlight w:val="none"/>
              <w:lang w:val="en-US" w:eastAsia="zh-CN" w:bidi="ar-SA"/>
            </w:rPr>
            <w:fldChar w:fldCharType="end"/>
          </w: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296" w:firstLineChars="141"/>
            <w:textAlignment w:val="auto"/>
            <w:rPr>
              <w:rFonts w:hint="default" w:ascii="Times New Roman" w:hAnsi="Times New Roman" w:eastAsia="宋体" w:cs="Times New Roman"/>
              <w:b/>
              <w:color w:val="auto"/>
              <w:kern w:val="2"/>
              <w:sz w:val="20"/>
              <w:szCs w:val="20"/>
              <w:highlight w:val="none"/>
              <w:lang w:val="en-US" w:eastAsia="zh-CN" w:bidi="ar-SA"/>
            </w:rPr>
          </w:pPr>
          <w:r>
            <w:rPr>
              <w:rFonts w:hint="default" w:ascii="Times New Roman" w:hAnsi="Times New Roman" w:eastAsia="宋体" w:cs="Times New Roman"/>
              <w:color w:val="auto"/>
              <w:kern w:val="2"/>
              <w:szCs w:val="20"/>
              <w:highlight w:val="none"/>
              <w:lang w:val="en-US" w:eastAsia="zh-CN" w:bidi="ar-SA"/>
            </w:rPr>
            <w:fldChar w:fldCharType="end"/>
          </w:r>
        </w:p>
      </w:sdtContent>
    </w:sdt>
    <w:p>
      <w:pPr>
        <w:pageBreakBefore w:val="0"/>
        <w:kinsoku/>
        <w:wordWrap w:val="0"/>
        <w:overflowPunct/>
        <w:bidi w:val="0"/>
        <w:spacing w:line="352" w:lineRule="atLeast"/>
        <w:rPr>
          <w:rFonts w:hint="default" w:ascii="Times New Roman" w:hAnsi="Times New Roman" w:eastAsia="楷体_GB2312" w:cs="Times New Roman"/>
          <w:b/>
          <w:color w:val="auto"/>
          <w:kern w:val="2"/>
          <w:sz w:val="21"/>
          <w:szCs w:val="21"/>
          <w:highlight w:val="none"/>
          <w:lang w:val="en-US" w:eastAsia="zh-CN" w:bidi="ar-SA"/>
        </w:rPr>
      </w:pPr>
    </w:p>
    <w:p>
      <w:pPr>
        <w:pageBreakBefore w:val="0"/>
        <w:kinsoku/>
        <w:wordWrap w:val="0"/>
        <w:overflowPunct/>
        <w:bidi w:val="0"/>
        <w:spacing w:line="352" w:lineRule="atLeast"/>
        <w:rPr>
          <w:rFonts w:hint="default" w:ascii="Times New Roman" w:hAnsi="Times New Roman" w:eastAsia="楷体_GB2312" w:cs="Times New Roman"/>
          <w:color w:val="auto"/>
          <w:szCs w:val="21"/>
          <w:highlight w:val="none"/>
        </w:rPr>
        <w:sectPr>
          <w:headerReference r:id="rId13" w:type="default"/>
          <w:footerReference r:id="rId14" w:type="default"/>
          <w:footerReference r:id="rId15" w:type="even"/>
          <w:footnotePr>
            <w:numFmt w:val="decimalEnclosedCircleChinese"/>
            <w:numRestart w:val="eachPage"/>
          </w:footnotePr>
          <w:pgSz w:w="11907" w:h="16840"/>
          <w:pgMar w:top="1588" w:right="1588" w:bottom="1474" w:left="1644" w:header="851" w:footer="851" w:gutter="0"/>
          <w:pgNumType w:fmt="upperRoman" w:start="1"/>
          <w:cols w:space="425" w:num="1"/>
          <w:docGrid w:linePitch="312" w:charSpace="0"/>
        </w:sectPr>
      </w:pPr>
    </w:p>
    <w:p>
      <w:pPr>
        <w:pageBreakBefore w:val="0"/>
        <w:kinsoku/>
        <w:wordWrap w:val="0"/>
        <w:overflowPunct/>
        <w:bidi w:val="0"/>
        <w:spacing w:line="352" w:lineRule="atLeast"/>
        <w:rPr>
          <w:rFonts w:hint="default" w:ascii="Times New Roman" w:hAnsi="Times New Roman" w:eastAsia="楷体_GB2312" w:cs="Times New Roman"/>
          <w:color w:val="auto"/>
          <w:szCs w:val="21"/>
          <w:highlight w:val="none"/>
        </w:rPr>
      </w:pPr>
    </w:p>
    <w:p>
      <w:pPr>
        <w:pageBreakBefore w:val="0"/>
        <w:kinsoku/>
        <w:wordWrap w:val="0"/>
        <w:overflowPunct/>
        <w:bidi w:val="0"/>
        <w:spacing w:line="352" w:lineRule="atLeast"/>
        <w:rPr>
          <w:rFonts w:hint="default" w:ascii="Times New Roman" w:hAnsi="Times New Roman" w:eastAsia="楷体_GB2312" w:cs="Times New Roman"/>
          <w:color w:val="auto"/>
          <w:szCs w:val="21"/>
          <w:highlight w:val="none"/>
        </w:rPr>
      </w:pPr>
    </w:p>
    <w:p>
      <w:pPr>
        <w:pageBreakBefore w:val="0"/>
        <w:kinsoku/>
        <w:wordWrap w:val="0"/>
        <w:overflowPunct/>
        <w:bidi w:val="0"/>
        <w:spacing w:line="352" w:lineRule="atLeast"/>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240" w:lineRule="atLeast"/>
        <w:ind w:right="31" w:rightChars="15"/>
        <w:jc w:val="center"/>
        <w:outlineLvl w:val="0"/>
        <w:rPr>
          <w:rFonts w:hint="default" w:ascii="Times New Roman" w:hAnsi="Times New Roman" w:eastAsia="黑体" w:cs="Times New Roman"/>
          <w:color w:val="auto"/>
          <w:sz w:val="76"/>
          <w:szCs w:val="76"/>
          <w:highlight w:val="none"/>
        </w:rPr>
      </w:pPr>
      <w:bookmarkStart w:id="1" w:name="_Toc17191"/>
      <w:bookmarkStart w:id="2" w:name="_Toc10852"/>
      <w:bookmarkStart w:id="3" w:name="_Toc12090"/>
      <w:r>
        <w:rPr>
          <w:rFonts w:hint="default" w:ascii="Times New Roman" w:hAnsi="Times New Roman" w:eastAsia="黑体" w:cs="Times New Roman"/>
          <w:color w:val="auto"/>
          <w:sz w:val="76"/>
          <w:szCs w:val="76"/>
          <w:highlight w:val="none"/>
        </w:rPr>
        <w:t>第  一  卷</w:t>
      </w:r>
      <w:bookmarkEnd w:id="1"/>
      <w:bookmarkEnd w:id="2"/>
      <w:bookmarkEnd w:id="3"/>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6"/>
          <w:szCs w:val="36"/>
          <w:highlight w:val="none"/>
        </w:rPr>
        <w:sectPr>
          <w:headerReference r:id="rId16" w:type="default"/>
          <w:footerReference r:id="rId18" w:type="default"/>
          <w:headerReference r:id="rId17" w:type="even"/>
          <w:footerReference r:id="rId19" w:type="even"/>
          <w:footnotePr>
            <w:numFmt w:val="decimalEnclosedCircleChinese"/>
            <w:numRestart w:val="eachPage"/>
          </w:footnotePr>
          <w:pgSz w:w="11907" w:h="16840"/>
          <w:pgMar w:top="1588" w:right="1531" w:bottom="1644" w:left="1588" w:header="851" w:footer="851" w:gutter="0"/>
          <w:pgNumType w:fmt="decimal" w:start="1"/>
          <w:cols w:space="425" w:num="1"/>
          <w:docGrid w:linePitch="312" w:charSpace="0"/>
        </w:sect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6"/>
          <w:szCs w:val="36"/>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6"/>
          <w:szCs w:val="36"/>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240" w:lineRule="atLeast"/>
        <w:ind w:right="31" w:rightChars="15"/>
        <w:jc w:val="center"/>
        <w:outlineLvl w:val="0"/>
        <w:rPr>
          <w:rFonts w:hint="default" w:ascii="Times New Roman" w:hAnsi="Times New Roman" w:eastAsia="黑体" w:cs="Times New Roman"/>
          <w:color w:val="auto"/>
          <w:sz w:val="56"/>
          <w:szCs w:val="56"/>
          <w:highlight w:val="none"/>
        </w:rPr>
      </w:pPr>
      <w:bookmarkStart w:id="4" w:name="_Toc28343"/>
      <w:bookmarkStart w:id="5" w:name="_Toc23147"/>
      <w:bookmarkStart w:id="6" w:name="_Toc16896"/>
      <w:r>
        <w:rPr>
          <w:rFonts w:hint="default" w:ascii="Times New Roman" w:hAnsi="Times New Roman" w:eastAsia="黑体" w:cs="Times New Roman"/>
          <w:color w:val="auto"/>
          <w:sz w:val="56"/>
          <w:szCs w:val="56"/>
          <w:highlight w:val="none"/>
        </w:rPr>
        <w:t>第一章  招标公告</w:t>
      </w:r>
      <w:bookmarkEnd w:id="4"/>
      <w:bookmarkEnd w:id="5"/>
      <w:bookmarkEnd w:id="6"/>
    </w:p>
    <w:p>
      <w:pPr>
        <w:pageBreakBefore w:val="0"/>
        <w:kinsoku/>
        <w:wordWrap w:val="0"/>
        <w:overflowPunct/>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p>
    <w:p>
      <w:pPr>
        <w:pageBreakBefore w:val="0"/>
        <w:kinsoku/>
        <w:wordWrap w:val="0"/>
        <w:overflowPunct/>
        <w:topLinePunct/>
        <w:bidi w:val="0"/>
        <w:spacing w:line="240" w:lineRule="atLeast"/>
        <w:ind w:right="31" w:rightChars="15"/>
        <w:jc w:val="center"/>
        <w:rPr>
          <w:rFonts w:hint="default" w:ascii="Times New Roman" w:hAnsi="Times New Roman" w:eastAsia="黑体" w:cs="Times New Roman"/>
          <w:color w:val="auto"/>
          <w:sz w:val="56"/>
          <w:szCs w:val="56"/>
          <w:highlight w:val="none"/>
        </w:rPr>
        <w:sectPr>
          <w:headerReference r:id="rId20" w:type="default"/>
          <w:footerReference r:id="rId22" w:type="default"/>
          <w:headerReference r:id="rId21" w:type="even"/>
          <w:footerReference r:id="rId23" w:type="even"/>
          <w:footnotePr>
            <w:numFmt w:val="decimalEnclosedCircleChinese"/>
            <w:numRestart w:val="eachPage"/>
          </w:footnotePr>
          <w:pgSz w:w="11907" w:h="16840"/>
          <w:pgMar w:top="1588" w:right="1531" w:bottom="1644" w:left="1588" w:header="851" w:footer="851" w:gutter="0"/>
          <w:pgNumType w:fmt="decimal"/>
          <w:cols w:space="425" w:num="1"/>
          <w:docGrid w:linePitch="312" w:charSpace="0"/>
        </w:sectPr>
      </w:pP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color w:val="auto"/>
          <w:sz w:val="42"/>
          <w:szCs w:val="42"/>
          <w:highlight w:val="none"/>
        </w:rPr>
      </w:pPr>
      <w:bookmarkStart w:id="7" w:name="_Toc12678"/>
      <w:bookmarkStart w:id="8" w:name="_Toc501257032"/>
      <w:bookmarkStart w:id="9" w:name="_Toc18485"/>
      <w:bookmarkStart w:id="10" w:name="_Toc6319"/>
      <w:bookmarkStart w:id="11" w:name="_Toc23747478"/>
      <w:bookmarkStart w:id="12" w:name="_Toc13033"/>
      <w:bookmarkStart w:id="13" w:name="_Toc7022"/>
      <w:bookmarkStart w:id="14" w:name="_Toc234832844"/>
      <w:bookmarkStart w:id="15" w:name="_Toc28186"/>
      <w:bookmarkStart w:id="16" w:name="_Toc27818"/>
      <w:r>
        <w:rPr>
          <w:rStyle w:val="66"/>
          <w:rFonts w:hint="default" w:ascii="Times New Roman" w:hAnsi="Times New Roman" w:eastAsia="黑体" w:cs="Times New Roman"/>
          <w:color w:val="auto"/>
          <w:sz w:val="42"/>
          <w:szCs w:val="42"/>
          <w:highlight w:val="none"/>
        </w:rPr>
        <w:t>第一章  招标公告</w:t>
      </w:r>
      <w:bookmarkEnd w:id="7"/>
      <w:bookmarkEnd w:id="8"/>
      <w:bookmarkEnd w:id="9"/>
      <w:bookmarkEnd w:id="10"/>
      <w:bookmarkEnd w:id="11"/>
      <w:bookmarkEnd w:id="12"/>
      <w:bookmarkEnd w:id="13"/>
      <w:bookmarkEnd w:id="14"/>
      <w:bookmarkEnd w:id="15"/>
      <w:r>
        <w:rPr>
          <w:rStyle w:val="45"/>
          <w:rFonts w:hint="default" w:ascii="Times New Roman" w:hAnsi="Times New Roman" w:eastAsia="黑体" w:cs="Times New Roman"/>
          <w:color w:val="auto"/>
          <w:sz w:val="42"/>
          <w:szCs w:val="42"/>
          <w:highlight w:val="none"/>
        </w:rPr>
        <w:footnoteReference w:id="0"/>
      </w:r>
      <w:bookmarkEnd w:id="16"/>
    </w:p>
    <w:p>
      <w:pPr>
        <w:pageBreakBefore w:val="0"/>
        <w:tabs>
          <w:tab w:val="center" w:pos="4153"/>
        </w:tabs>
        <w:kinsoku/>
        <w:wordWrap w:val="0"/>
        <w:overflowPunct/>
        <w:bidi w:val="0"/>
        <w:spacing w:line="440" w:lineRule="exact"/>
        <w:jc w:val="center"/>
        <w:rPr>
          <w:rFonts w:hint="default" w:ascii="Times New Roman" w:hAnsi="Times New Roman" w:eastAsia="黑体" w:cs="Times New Roman"/>
          <w:color w:val="auto"/>
          <w:sz w:val="17"/>
          <w:szCs w:val="17"/>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（项目名称）</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b w:val="0"/>
          <w:bCs w:val="0"/>
          <w:color w:val="auto"/>
          <w:sz w:val="28"/>
          <w:szCs w:val="28"/>
          <w:highlight w:val="none"/>
        </w:rPr>
        <w:t>（</w:t>
      </w:r>
      <w:r>
        <w:rPr>
          <w:rFonts w:hint="default" w:ascii="Times New Roman" w:hAnsi="Times New Roman" w:eastAsia="黑体" w:cs="Times New Roman"/>
          <w:b w:val="0"/>
          <w:bCs w:val="0"/>
          <w:color w:val="auto"/>
          <w:sz w:val="28"/>
          <w:szCs w:val="28"/>
          <w:highlight w:val="none"/>
          <w:lang w:val="en-US" w:eastAsia="zh-CN"/>
        </w:rPr>
        <w:t>标段</w:t>
      </w:r>
      <w:r>
        <w:rPr>
          <w:rFonts w:hint="default" w:ascii="Times New Roman" w:hAnsi="Times New Roman" w:eastAsia="黑体" w:cs="Times New Roman"/>
          <w:b w:val="0"/>
          <w:bCs w:val="0"/>
          <w:color w:val="auto"/>
          <w:sz w:val="28"/>
          <w:szCs w:val="28"/>
          <w:highlight w:val="none"/>
        </w:rPr>
        <w:t>名称）</w:t>
      </w:r>
      <w:r>
        <w:rPr>
          <w:rFonts w:hint="default" w:ascii="Times New Roman" w:hAnsi="Times New Roman" w:eastAsia="黑体" w:cs="Times New Roman"/>
          <w:color w:val="auto"/>
          <w:sz w:val="28"/>
          <w:szCs w:val="28"/>
          <w:highlight w:val="none"/>
        </w:rPr>
        <w:t>设计施工总承包招标公告</w:t>
      </w:r>
      <w:r>
        <w:rPr>
          <w:rStyle w:val="45"/>
          <w:rFonts w:hint="default" w:ascii="Times New Roman" w:hAnsi="Times New Roman" w:eastAsia="黑体" w:cs="Times New Roman"/>
          <w:color w:val="auto"/>
          <w:sz w:val="28"/>
          <w:szCs w:val="28"/>
          <w:highlight w:val="none"/>
        </w:rPr>
        <w:footnoteReference w:id="1"/>
      </w: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pStyle w:val="2"/>
        <w:pageBreakBefore w:val="0"/>
        <w:kinsoku/>
        <w:wordWrap w:val="0"/>
        <w:overflowPunct/>
        <w:bidi w:val="0"/>
        <w:spacing w:before="240" w:after="240" w:line="240" w:lineRule="atLeast"/>
        <w:outlineLvl w:val="1"/>
        <w:rPr>
          <w:rFonts w:hint="default" w:ascii="Times New Roman" w:hAnsi="Times New Roman" w:cs="Times New Roman"/>
          <w:color w:val="auto"/>
          <w:sz w:val="28"/>
          <w:szCs w:val="28"/>
          <w:highlight w:val="none"/>
        </w:rPr>
      </w:pPr>
      <w:bookmarkStart w:id="17" w:name="_Toc16591"/>
      <w:bookmarkStart w:id="18" w:name="_Toc1471"/>
      <w:bookmarkStart w:id="19" w:name="_Toc762"/>
      <w:bookmarkStart w:id="20" w:name="_Toc501257033"/>
      <w:bookmarkStart w:id="21" w:name="_Toc23747479"/>
      <w:bookmarkStart w:id="22" w:name="_Toc470760973"/>
      <w:r>
        <w:rPr>
          <w:rFonts w:hint="default" w:ascii="Times New Roman" w:hAnsi="Times New Roman" w:cs="Times New Roman"/>
          <w:color w:val="auto"/>
          <w:sz w:val="28"/>
          <w:szCs w:val="28"/>
          <w:highlight w:val="none"/>
        </w:rPr>
        <w:t xml:space="preserve">1. </w:t>
      </w:r>
      <w:r>
        <w:rPr>
          <w:rFonts w:hint="default" w:ascii="Times New Roman" w:hAnsi="Times New Roman" w:eastAsia="黑体" w:cs="Times New Roman"/>
          <w:color w:val="auto"/>
          <w:sz w:val="28"/>
          <w:szCs w:val="28"/>
          <w:highlight w:val="none"/>
        </w:rPr>
        <w:t>招标条件</w:t>
      </w:r>
      <w:bookmarkEnd w:id="17"/>
      <w:bookmarkEnd w:id="18"/>
      <w:bookmarkEnd w:id="19"/>
      <w:bookmarkEnd w:id="20"/>
      <w:bookmarkEnd w:id="21"/>
      <w:bookmarkEnd w:id="22"/>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本招标项目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（项目名称）已由</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（项目审批、核准或备案机关名称）以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（批文名称及编号）批准建设，初步设计已由</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（批准机关名称）以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（批文名称及编号）批准，项目发包人为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，建设资金来自</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（资金来源），出资比例为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本项目设计施工总承包的</w:t>
      </w:r>
      <w:r>
        <w:rPr>
          <w:rFonts w:hint="default" w:ascii="Times New Roman" w:hAnsi="Times New Roman" w:cs="Times New Roman"/>
          <w:color w:val="auto"/>
          <w:sz w:val="24"/>
          <w:highlight w:val="none"/>
        </w:rPr>
        <w:t>招标人为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。项目已具备招标条件，现对该项目的设计施工总承包进行公开招标。 </w:t>
      </w:r>
    </w:p>
    <w:p>
      <w:pPr>
        <w:pStyle w:val="2"/>
        <w:pageBreakBefore w:val="0"/>
        <w:kinsoku/>
        <w:wordWrap w:val="0"/>
        <w:overflowPunct/>
        <w:bidi w:val="0"/>
        <w:spacing w:before="240" w:after="240" w:line="240" w:lineRule="atLeast"/>
        <w:outlineLvl w:val="1"/>
        <w:rPr>
          <w:rFonts w:hint="default" w:ascii="Times New Roman" w:hAnsi="Times New Roman" w:eastAsia="黑体" w:cs="Times New Roman"/>
          <w:color w:val="auto"/>
          <w:sz w:val="28"/>
          <w:szCs w:val="28"/>
          <w:highlight w:val="none"/>
        </w:rPr>
      </w:pPr>
      <w:bookmarkStart w:id="23" w:name="_Toc25980"/>
      <w:bookmarkStart w:id="24" w:name="_Toc23747480"/>
      <w:bookmarkStart w:id="25" w:name="_Toc470760974"/>
      <w:bookmarkStart w:id="26" w:name="_Toc27346"/>
      <w:bookmarkStart w:id="27" w:name="_Toc17500"/>
      <w:bookmarkStart w:id="28" w:name="_Toc501257034"/>
      <w:r>
        <w:rPr>
          <w:rFonts w:hint="default" w:ascii="Times New Roman" w:hAnsi="Times New Roman" w:eastAsia="黑体" w:cs="Times New Roman"/>
          <w:color w:val="auto"/>
          <w:sz w:val="28"/>
          <w:szCs w:val="28"/>
          <w:highlight w:val="none"/>
        </w:rPr>
        <w:t>2. 项目概况与招标范围</w:t>
      </w:r>
      <w:bookmarkEnd w:id="23"/>
      <w:bookmarkEnd w:id="24"/>
      <w:bookmarkEnd w:id="25"/>
      <w:bookmarkEnd w:id="26"/>
      <w:bookmarkEnd w:id="27"/>
      <w:bookmarkEnd w:id="28"/>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u w:val="none"/>
        </w:rPr>
      </w:pPr>
      <w:r>
        <w:rPr>
          <w:rFonts w:hint="default" w:ascii="Times New Roman" w:hAnsi="Times New Roman" w:cs="Times New Roman"/>
          <w:color w:val="auto"/>
          <w:sz w:val="24"/>
          <w:highlight w:val="none"/>
          <w:u w:val="none"/>
        </w:rPr>
        <w:t>2.1项目概况</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u w:val="none"/>
        </w:rPr>
      </w:pPr>
      <w:r>
        <w:rPr>
          <w:rFonts w:hint="default" w:ascii="Times New Roman" w:hAnsi="Times New Roman" w:cs="Times New Roman"/>
          <w:color w:val="auto"/>
          <w:sz w:val="24"/>
          <w:highlight w:val="none"/>
          <w:u w:val="none"/>
        </w:rPr>
        <w:t>说明本次招标项目详细的建设地点、规模、技术标准等信息。</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u w:val="none"/>
        </w:rPr>
      </w:pPr>
      <w:r>
        <w:rPr>
          <w:rFonts w:hint="default" w:ascii="Times New Roman" w:hAnsi="Times New Roman" w:cs="Times New Roman"/>
          <w:color w:val="auto"/>
          <w:sz w:val="24"/>
          <w:highlight w:val="none"/>
          <w:u w:val="none"/>
        </w:rPr>
        <w:t>2.2标段划分</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u w:val="none"/>
        </w:rPr>
      </w:pPr>
      <w:r>
        <w:rPr>
          <w:rFonts w:hint="default" w:ascii="Times New Roman" w:hAnsi="Times New Roman" w:cs="Times New Roman"/>
          <w:color w:val="auto"/>
          <w:sz w:val="24"/>
          <w:highlight w:val="none"/>
          <w:u w:val="none"/>
        </w:rPr>
        <w:t>说明本次招标项目的标段划分等信息。</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u w:val="none"/>
        </w:rPr>
      </w:pPr>
      <w:r>
        <w:rPr>
          <w:rFonts w:hint="default" w:ascii="Times New Roman" w:hAnsi="Times New Roman" w:cs="Times New Roman"/>
          <w:color w:val="auto"/>
          <w:sz w:val="24"/>
          <w:highlight w:val="none"/>
          <w:u w:val="none"/>
        </w:rPr>
        <w:t>2.3招标范围</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u w:val="none"/>
        </w:rPr>
      </w:pPr>
      <w:r>
        <w:rPr>
          <w:rFonts w:hint="default" w:ascii="Times New Roman" w:hAnsi="Times New Roman" w:cs="Times New Roman"/>
          <w:color w:val="auto"/>
          <w:sz w:val="24"/>
          <w:highlight w:val="none"/>
          <w:u w:val="none"/>
        </w:rPr>
        <w:t>说明本次招标项目的招标范围等信息。</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u w:val="none"/>
        </w:rPr>
      </w:pPr>
      <w:r>
        <w:rPr>
          <w:rFonts w:hint="default" w:ascii="Times New Roman" w:hAnsi="Times New Roman" w:cs="Times New Roman"/>
          <w:color w:val="auto"/>
          <w:sz w:val="24"/>
          <w:highlight w:val="none"/>
          <w:u w:val="none"/>
        </w:rPr>
        <w:t>2.4计划工期</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none"/>
        </w:rPr>
        <w:t>说明本次招标项目的计划工期等信息。</w:t>
      </w:r>
    </w:p>
    <w:p>
      <w:pPr>
        <w:pStyle w:val="2"/>
        <w:pageBreakBefore w:val="0"/>
        <w:kinsoku/>
        <w:wordWrap w:val="0"/>
        <w:overflowPunct/>
        <w:bidi w:val="0"/>
        <w:spacing w:before="240" w:after="240" w:line="240" w:lineRule="atLeast"/>
        <w:outlineLvl w:val="1"/>
        <w:rPr>
          <w:rFonts w:hint="default" w:ascii="Times New Roman" w:hAnsi="Times New Roman" w:eastAsia="黑体" w:cs="Times New Roman"/>
          <w:color w:val="auto"/>
          <w:sz w:val="28"/>
          <w:szCs w:val="28"/>
          <w:highlight w:val="none"/>
        </w:rPr>
      </w:pPr>
      <w:bookmarkStart w:id="29" w:name="_Toc501257035"/>
      <w:bookmarkStart w:id="30" w:name="_Toc23747481"/>
      <w:bookmarkStart w:id="31" w:name="_Toc470760975"/>
      <w:bookmarkStart w:id="32" w:name="_Toc12095"/>
      <w:bookmarkStart w:id="33" w:name="_Toc1172"/>
      <w:bookmarkStart w:id="34" w:name="_Toc26562"/>
      <w:r>
        <w:rPr>
          <w:rFonts w:hint="default" w:ascii="Times New Roman" w:hAnsi="Times New Roman" w:eastAsia="黑体" w:cs="Times New Roman"/>
          <w:color w:val="auto"/>
          <w:sz w:val="28"/>
          <w:szCs w:val="28"/>
          <w:highlight w:val="none"/>
        </w:rPr>
        <w:t>3. 投标人资格要求</w:t>
      </w:r>
      <w:bookmarkEnd w:id="29"/>
      <w:bookmarkEnd w:id="30"/>
      <w:bookmarkEnd w:id="31"/>
      <w:r>
        <w:rPr>
          <w:rFonts w:hint="default" w:ascii="Times New Roman" w:hAnsi="Times New Roman" w:eastAsia="黑体" w:cs="Times New Roman"/>
          <w:color w:val="auto"/>
          <w:sz w:val="28"/>
          <w:szCs w:val="28"/>
          <w:highlight w:val="none"/>
          <w:vertAlign w:val="superscript"/>
        </w:rPr>
        <w:footnoteReference w:id="2"/>
      </w:r>
      <w:bookmarkEnd w:id="32"/>
      <w:bookmarkEnd w:id="33"/>
      <w:bookmarkEnd w:id="34"/>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highlight w:val="none"/>
        </w:rPr>
        <w:t>3.1 本次招标要求投标人在人员、设备、资金等方面具有相应的勘察设计和施工能力</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须具备</w:t>
      </w:r>
      <w:r>
        <w:rPr>
          <w:rFonts w:hint="default" w:ascii="Times New Roman" w:hAnsi="Times New Roman" w:cs="Times New Roman"/>
          <w:color w:val="auto"/>
          <w:sz w:val="24"/>
          <w:szCs w:val="24"/>
          <w:highlight w:val="none"/>
          <w:lang w:val="en-US" w:eastAsia="zh-CN"/>
        </w:rPr>
        <w:t>的资格条件</w:t>
      </w:r>
      <w:r>
        <w:rPr>
          <w:rStyle w:val="45"/>
          <w:rFonts w:hint="default" w:ascii="Times New Roman" w:hAnsi="Times New Roman" w:eastAsia="黑体" w:cs="Times New Roman"/>
          <w:color w:val="auto"/>
          <w:szCs w:val="21"/>
          <w:highlight w:val="none"/>
        </w:rPr>
        <w:footnoteReference w:id="3"/>
      </w:r>
      <w:r>
        <w:rPr>
          <w:rFonts w:hint="default" w:ascii="Times New Roman" w:hAnsi="Times New Roman" w:cs="Times New Roman"/>
          <w:color w:val="auto"/>
          <w:sz w:val="24"/>
          <w:szCs w:val="24"/>
          <w:highlight w:val="none"/>
          <w:lang w:val="en-US" w:eastAsia="zh-CN"/>
        </w:rPr>
        <w:t>如下：</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3.1.1资质要求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3.1.2财务要求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3.1.3业绩要求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3.1.4信誉要求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3.1.5</w:t>
      </w:r>
      <w:r>
        <w:rPr>
          <w:rFonts w:hint="default" w:ascii="Times New Roman" w:hAnsi="Times New Roman" w:cs="Times New Roman"/>
          <w:color w:val="auto"/>
          <w:sz w:val="24"/>
          <w:highlight w:val="none"/>
          <w:lang w:val="en-US" w:eastAsia="zh-CN"/>
        </w:rPr>
        <w:t>项目负责人</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设计负责人、施工负责人等</w:t>
      </w:r>
      <w:r>
        <w:rPr>
          <w:rFonts w:hint="default" w:ascii="Times New Roman" w:hAnsi="Times New Roman" w:cs="Times New Roman"/>
          <w:color w:val="auto"/>
          <w:sz w:val="24"/>
          <w:highlight w:val="none"/>
        </w:rPr>
        <w:t>要求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3.1.6其他要求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根据《关于发布公路工程从业企业资质名录的通知》（厅公路字〔2011〕114号）要求，投标人（包括联合体各成员）如为名录范围的施工</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设计</w:t>
      </w:r>
      <w:r>
        <w:rPr>
          <w:rFonts w:hint="default" w:ascii="Times New Roman" w:hAnsi="Times New Roman" w:cs="Times New Roman"/>
          <w:color w:val="auto"/>
          <w:sz w:val="24"/>
          <w:highlight w:val="none"/>
        </w:rPr>
        <w:t>企业，则应进入交通运输部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全国公路建设市场监督管理系统（https://hwdms.mot.gov.cn/BMWebSite/）</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中的公路工程</w:t>
      </w:r>
      <w:r>
        <w:rPr>
          <w:rFonts w:hint="default" w:ascii="Times New Roman" w:hAnsi="Times New Roman" w:cs="Times New Roman"/>
          <w:color w:val="auto"/>
          <w:sz w:val="24"/>
          <w:highlight w:val="none"/>
          <w:lang w:val="en-US" w:eastAsia="zh-CN"/>
        </w:rPr>
        <w:t>设计</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施工资质企业名录，且投标人名称和资质与该名录中的相应企业名称和资质完全一致。</w:t>
      </w:r>
      <w:r>
        <w:rPr>
          <w:rStyle w:val="45"/>
          <w:rFonts w:hint="default" w:ascii="Times New Roman" w:hAnsi="Times New Roman" w:cs="Times New Roman"/>
          <w:color w:val="auto"/>
          <w:sz w:val="24"/>
          <w:highlight w:val="none"/>
        </w:rPr>
        <w:footnoteReference w:id="4"/>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lang w:eastAsia="zh-CN"/>
        </w:rPr>
        <w:t>）</w:t>
      </w:r>
      <w:r>
        <w:rPr>
          <w:rFonts w:hint="default"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lang w:val="en-US" w:eastAsia="zh-CN"/>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3.2 本次招标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（接受或不接受）联合体投标。联合体投标的，应满足下列要求：</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 每个投标人最多可对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（具体数量）个标段投标；被</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sz w:val="24"/>
          <w:highlight w:val="none"/>
        </w:rPr>
        <w:t>交通运输主管部门评为</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sz w:val="24"/>
          <w:highlight w:val="none"/>
        </w:rPr>
        <w:t>信用等级的投标人，最多可对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（具体数量）个标段投标。</w:t>
      </w:r>
      <w:r>
        <w:rPr>
          <w:rStyle w:val="45"/>
          <w:rFonts w:hint="default" w:ascii="Times New Roman" w:hAnsi="Times New Roman" w:cs="Times New Roman"/>
          <w:color w:val="auto"/>
          <w:highlight w:val="none"/>
        </w:rPr>
        <w:footnoteReference w:id="5"/>
      </w:r>
      <w:r>
        <w:rPr>
          <w:rFonts w:hint="default" w:ascii="Times New Roman" w:hAnsi="Times New Roman" w:cs="Times New Roman"/>
          <w:color w:val="auto"/>
          <w:sz w:val="24"/>
          <w:highlight w:val="none"/>
        </w:rPr>
        <w:t>每个投标人允许中</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个标。</w:t>
      </w:r>
      <w:bookmarkStart w:id="35" w:name="_Hlk493498856"/>
      <w:r>
        <w:rPr>
          <w:rFonts w:hint="default" w:ascii="Times New Roman" w:hAnsi="Times New Roman" w:cs="Times New Roman"/>
          <w:color w:val="auto"/>
          <w:sz w:val="24"/>
          <w:highlight w:val="none"/>
        </w:rPr>
        <w:t>对投标人信用等级的认定条件为：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bookmarkEnd w:id="35"/>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r>
        <w:rPr>
          <w:rFonts w:hint="default"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rPr>
        <w:t xml:space="preserve"> 与招标人存在利害关系可能影响招标公正性的单位，不得参加投标。单位负责人为同一人或存在控股、管理关系的不同单位，不得参加同一标段投标，否则，相关投标均无效。</w:t>
      </w:r>
    </w:p>
    <w:p>
      <w:pPr>
        <w:pageBreakBefore w:val="0"/>
        <w:kinsoku/>
        <w:wordWrap w:val="0"/>
        <w:overflowPunct/>
        <w:autoSpaceDE/>
        <w:autoSpaceDN/>
        <w:bidi w:val="0"/>
        <w:spacing w:line="440" w:lineRule="exact"/>
        <w:ind w:firstLine="480" w:firstLineChars="200"/>
        <w:textAlignment w:val="auto"/>
        <w:outlineLvl w:val="9"/>
        <w:rPr>
          <w:rFonts w:hint="default" w:ascii="Times New Roman" w:hAnsi="Times New Roman" w:cs="Times New Roman"/>
          <w:color w:val="auto"/>
          <w:kern w:val="28"/>
          <w:sz w:val="24"/>
          <w:highlight w:val="none"/>
        </w:rPr>
      </w:pPr>
      <w:r>
        <w:rPr>
          <w:rFonts w:hint="default" w:ascii="Times New Roman" w:hAnsi="Times New Roman" w:cs="Times New Roman"/>
          <w:color w:val="auto"/>
          <w:sz w:val="24"/>
          <w:highlight w:val="none"/>
        </w:rPr>
        <w:t>3.</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kern w:val="28"/>
          <w:sz w:val="24"/>
          <w:highlight w:val="none"/>
        </w:rPr>
        <w:t>存在下列不良状况或不良信用记录的单位，不得以任何形式参加投标：</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（1）被省级及以上交通运输主管部门取消招标项目所在地的投标资格且处于有效期内；</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（2）被责令停业，暂扣或吊销执照，或吊销资质证书；</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（3）进入清算程序，或被宣告破产，或其他丧失履约能力的情形；</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（4）在国家企业信用信息公示系统（http://www.gsxt.gov.cn）中被列入严重违法失信企业名单；</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（5）在</w:t>
      </w:r>
      <w:r>
        <w:rPr>
          <w:rFonts w:hint="eastAsia" w:ascii="宋体" w:hAnsi="宋体" w:eastAsia="宋体" w:cs="宋体"/>
          <w:color w:val="auto"/>
          <w:kern w:val="28"/>
          <w:sz w:val="24"/>
          <w:highlight w:val="none"/>
        </w:rPr>
        <w:t>“</w:t>
      </w:r>
      <w:r>
        <w:rPr>
          <w:rFonts w:hint="default" w:ascii="Times New Roman" w:hAnsi="Times New Roman" w:cs="Times New Roman"/>
          <w:color w:val="auto"/>
          <w:kern w:val="28"/>
          <w:sz w:val="24"/>
          <w:highlight w:val="none"/>
        </w:rPr>
        <w:t>信用中国</w:t>
      </w:r>
      <w:r>
        <w:rPr>
          <w:rFonts w:hint="eastAsia" w:ascii="宋体" w:hAnsi="宋体" w:eastAsia="宋体" w:cs="宋体"/>
          <w:color w:val="auto"/>
          <w:kern w:val="28"/>
          <w:sz w:val="24"/>
          <w:highlight w:val="none"/>
        </w:rPr>
        <w:t>”</w:t>
      </w:r>
      <w:r>
        <w:rPr>
          <w:rFonts w:hint="default" w:ascii="Times New Roman" w:hAnsi="Times New Roman" w:cs="Times New Roman"/>
          <w:color w:val="auto"/>
          <w:kern w:val="28"/>
          <w:sz w:val="24"/>
          <w:highlight w:val="none"/>
        </w:rPr>
        <w:t>网站（http://www.creditchina.gov.cn）（或中国执行信息公开网 http://zxgk.court.gov.cn/shixin/）中被列入失信被执行人名单；</w:t>
      </w:r>
    </w:p>
    <w:p>
      <w:pPr>
        <w:pageBreakBefore w:val="0"/>
        <w:kinsoku/>
        <w:wordWrap w:val="0"/>
        <w:overflowPunct/>
        <w:bidi w:val="0"/>
        <w:spacing w:line="440" w:lineRule="exact"/>
        <w:ind w:firstLine="480" w:firstLineChars="200"/>
        <w:rPr>
          <w:rFonts w:hint="default" w:ascii="Times New Roman" w:hAnsi="Times New Roman" w:eastAsia="宋体" w:cs="Times New Roman"/>
          <w:color w:val="auto"/>
          <w:kern w:val="28"/>
          <w:sz w:val="24"/>
          <w:highlight w:val="none"/>
        </w:rPr>
      </w:pPr>
      <w:r>
        <w:rPr>
          <w:rFonts w:hint="default" w:ascii="Times New Roman" w:hAnsi="Times New Roman" w:cs="Times New Roman"/>
          <w:color w:val="auto"/>
          <w:kern w:val="28"/>
          <w:sz w:val="24"/>
          <w:highlight w:val="none"/>
        </w:rPr>
        <w:t>（6）投标人或其法定代表人、拟委任的</w:t>
      </w:r>
      <w:r>
        <w:rPr>
          <w:rFonts w:hint="default" w:ascii="Times New Roman" w:hAnsi="Times New Roman" w:cs="Times New Roman"/>
          <w:color w:val="auto"/>
          <w:kern w:val="28"/>
          <w:sz w:val="24"/>
          <w:highlight w:val="none"/>
          <w:lang w:val="en-US" w:eastAsia="zh-CN"/>
        </w:rPr>
        <w:t>主要人员（项目负责人、设计负责人和施工负责人）</w:t>
      </w:r>
      <w:r>
        <w:rPr>
          <w:rFonts w:hint="default" w:ascii="Times New Roman" w:hAnsi="Times New Roman" w:cs="Times New Roman"/>
          <w:color w:val="auto"/>
          <w:kern w:val="28"/>
          <w:sz w:val="24"/>
          <w:highlight w:val="none"/>
        </w:rPr>
        <w:t>在近三年内有行贿犯罪行为的；</w:t>
      </w:r>
    </w:p>
    <w:p>
      <w:pPr>
        <w:pageBreakBefore w:val="0"/>
        <w:kinsoku/>
        <w:wordWrap w:val="0"/>
        <w:overflowPunct/>
        <w:bidi w:val="0"/>
        <w:spacing w:line="440" w:lineRule="exact"/>
        <w:ind w:firstLine="480" w:firstLineChars="200"/>
        <w:rPr>
          <w:rFonts w:hint="default" w:ascii="Times New Roman" w:hAnsi="Times New Roman" w:eastAsia="宋体" w:cs="Times New Roman"/>
          <w:color w:val="auto"/>
          <w:kern w:val="28"/>
          <w:sz w:val="24"/>
          <w:highlight w:val="none"/>
        </w:rPr>
      </w:pPr>
      <w:r>
        <w:rPr>
          <w:rFonts w:hint="default" w:ascii="Times New Roman" w:hAnsi="Times New Roman" w:eastAsia="宋体" w:cs="Times New Roman"/>
          <w:color w:val="auto"/>
          <w:kern w:val="28"/>
          <w:sz w:val="24"/>
          <w:highlight w:val="none"/>
        </w:rPr>
        <w:t>（7）法律法规规定的其他情形。</w:t>
      </w:r>
    </w:p>
    <w:p>
      <w:pPr>
        <w:pageBreakBefore w:val="0"/>
        <w:kinsoku/>
        <w:wordWrap w:val="0"/>
        <w:overflowPunct/>
        <w:bidi w:val="0"/>
        <w:spacing w:line="440" w:lineRule="exact"/>
        <w:ind w:firstLine="480" w:firstLineChars="200"/>
        <w:rPr>
          <w:rFonts w:hint="default" w:ascii="Times New Roman" w:hAnsi="Times New Roman" w:eastAsia="宋体" w:cs="Times New Roman"/>
          <w:color w:val="auto"/>
          <w:kern w:val="28"/>
          <w:sz w:val="24"/>
          <w:highlight w:val="none"/>
        </w:rPr>
      </w:pPr>
      <w:r>
        <w:rPr>
          <w:rFonts w:hint="default" w:ascii="Times New Roman" w:hAnsi="Times New Roman" w:eastAsia="宋体" w:cs="Times New Roman"/>
          <w:color w:val="auto"/>
          <w:kern w:val="28"/>
          <w:sz w:val="24"/>
          <w:highlight w:val="none"/>
        </w:rPr>
        <w:t>3.</w:t>
      </w:r>
      <w:r>
        <w:rPr>
          <w:rFonts w:hint="default" w:ascii="Times New Roman" w:hAnsi="Times New Roman" w:cs="Times New Roman"/>
          <w:color w:val="auto"/>
          <w:kern w:val="28"/>
          <w:sz w:val="24"/>
          <w:highlight w:val="none"/>
          <w:lang w:val="en-US" w:eastAsia="zh-CN"/>
        </w:rPr>
        <w:t>6</w:t>
      </w:r>
      <w:r>
        <w:rPr>
          <w:rFonts w:hint="default" w:ascii="Times New Roman" w:hAnsi="Times New Roman" w:eastAsia="宋体" w:cs="Times New Roman"/>
          <w:color w:val="auto"/>
          <w:kern w:val="28"/>
          <w:sz w:val="24"/>
          <w:highlight w:val="none"/>
        </w:rPr>
        <w:t xml:space="preserve"> 本项目相应标段的初步设计单位、代建单位、监理单位或以上单位的附属单位不得参加该标段投标。 </w:t>
      </w:r>
    </w:p>
    <w:p>
      <w:pPr>
        <w:pStyle w:val="2"/>
        <w:pageBreakBefore w:val="0"/>
        <w:kinsoku/>
        <w:wordWrap w:val="0"/>
        <w:overflowPunct/>
        <w:bidi w:val="0"/>
        <w:spacing w:before="240" w:after="240" w:line="240" w:lineRule="atLeast"/>
        <w:outlineLvl w:val="1"/>
        <w:rPr>
          <w:rFonts w:hint="default" w:ascii="Times New Roman" w:hAnsi="Times New Roman" w:eastAsia="黑体" w:cs="Times New Roman"/>
          <w:color w:val="auto"/>
          <w:sz w:val="28"/>
          <w:szCs w:val="28"/>
          <w:highlight w:val="none"/>
        </w:rPr>
      </w:pPr>
      <w:bookmarkStart w:id="36" w:name="_Toc23991"/>
      <w:bookmarkStart w:id="37" w:name="_Toc23747482"/>
      <w:bookmarkStart w:id="38" w:name="_Toc31743"/>
      <w:bookmarkStart w:id="39" w:name="_Toc12675"/>
      <w:bookmarkStart w:id="40" w:name="_Toc470760976"/>
      <w:bookmarkStart w:id="41" w:name="_Toc501257036"/>
      <w:r>
        <w:rPr>
          <w:rFonts w:hint="default" w:ascii="Times New Roman" w:hAnsi="Times New Roman" w:eastAsia="黑体" w:cs="Times New Roman"/>
          <w:color w:val="auto"/>
          <w:sz w:val="28"/>
          <w:szCs w:val="28"/>
          <w:highlight w:val="none"/>
        </w:rPr>
        <w:t>4. 招标文件的获取</w:t>
      </w:r>
      <w:bookmarkEnd w:id="36"/>
      <w:bookmarkEnd w:id="37"/>
      <w:bookmarkEnd w:id="38"/>
      <w:bookmarkEnd w:id="39"/>
      <w:bookmarkEnd w:id="40"/>
      <w:bookmarkEnd w:id="41"/>
      <w:r>
        <w:rPr>
          <w:rFonts w:hint="default" w:ascii="Times New Roman" w:hAnsi="Times New Roman" w:eastAsia="黑体" w:cs="Times New Roman"/>
          <w:color w:val="auto"/>
          <w:sz w:val="28"/>
          <w:szCs w:val="28"/>
          <w:highlight w:val="none"/>
        </w:rPr>
        <w:tab/>
      </w:r>
    </w:p>
    <w:p>
      <w:pPr>
        <w:pageBreakBefore w:val="0"/>
        <w:tabs>
          <w:tab w:val="left" w:pos="360"/>
        </w:tabs>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 凡有意参加投标者，请在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szCs w:val="24"/>
          <w:highlight w:val="none"/>
          <w:u w:val="single"/>
        </w:rPr>
        <w:t>辽宁省公共资源交易</w:t>
      </w:r>
      <w:r>
        <w:rPr>
          <w:rFonts w:hint="eastAsia" w:ascii="宋体" w:hAnsi="宋体" w:eastAsia="宋体" w:cs="宋体"/>
          <w:color w:val="auto"/>
          <w:sz w:val="24"/>
          <w:szCs w:val="24"/>
          <w:highlight w:val="none"/>
          <w:u w:val="single"/>
        </w:rPr>
        <w:t>“</w:t>
      </w:r>
      <w:r>
        <w:rPr>
          <w:rFonts w:hint="default" w:ascii="Times New Roman" w:hAnsi="Times New Roman" w:cs="Times New Roman"/>
          <w:color w:val="auto"/>
          <w:sz w:val="24"/>
          <w:szCs w:val="24"/>
          <w:highlight w:val="none"/>
          <w:u w:val="single"/>
        </w:rPr>
        <w:t>一张网</w:t>
      </w:r>
      <w:r>
        <w:rPr>
          <w:rFonts w:hint="eastAsia" w:ascii="宋体" w:hAnsi="宋体" w:eastAsia="宋体" w:cs="宋体"/>
          <w:color w:val="auto"/>
          <w:sz w:val="24"/>
          <w:szCs w:val="24"/>
          <w:highlight w:val="none"/>
          <w:u w:val="single"/>
        </w:rPr>
        <w:t>”</w:t>
      </w:r>
      <w:r>
        <w:rPr>
          <w:rFonts w:hint="default" w:ascii="Times New Roman" w:hAnsi="Times New Roman" w:cs="Times New Roman"/>
          <w:color w:val="auto"/>
          <w:sz w:val="24"/>
          <w:szCs w:val="24"/>
          <w:highlight w:val="none"/>
          <w:u w:val="single"/>
        </w:rPr>
        <w:t>电子化平台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电子交易平台（以下简称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lang w:eastAsia="zh-CN"/>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，网址：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eastAsiaTheme="minorEastAsia"/>
          <w:color w:val="auto"/>
          <w:sz w:val="24"/>
          <w:szCs w:val="24"/>
          <w:highlight w:val="none"/>
          <w:u w:val="single" w:color="auto"/>
          <w:lang w:val="en-US" w:eastAsia="zh-CN"/>
        </w:rPr>
        <w:t>https://www.lnsggzy.com/EpointSSO/login/oauth2login</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）进行网员注册，并</w:t>
      </w:r>
      <w:r>
        <w:rPr>
          <w:rFonts w:hint="default" w:ascii="Times New Roman" w:hAnsi="Times New Roman" w:cs="Times New Roman"/>
          <w:color w:val="auto"/>
          <w:sz w:val="24"/>
          <w:highlight w:val="none"/>
          <w:lang w:val="en-US" w:eastAsia="zh-CN"/>
        </w:rPr>
        <w:t>办理</w:t>
      </w:r>
      <w:r>
        <w:rPr>
          <w:rFonts w:hint="default" w:ascii="Times New Roman" w:hAnsi="Times New Roman" w:cs="Times New Roman"/>
          <w:color w:val="auto"/>
          <w:sz w:val="24"/>
          <w:highlight w:val="none"/>
        </w:rPr>
        <w:t>CA数字证书。</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4.2 完成网员注册后，请于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时</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分</w:t>
      </w:r>
      <w:r>
        <w:rPr>
          <w:rFonts w:hint="default" w:ascii="Times New Roman" w:hAnsi="Times New Roman" w:cs="Times New Roman"/>
          <w:color w:val="auto"/>
          <w:sz w:val="24"/>
          <w:highlight w:val="none"/>
        </w:rPr>
        <w:t>至</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时</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分</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，明确所投标段，</w:t>
      </w:r>
      <w:r>
        <w:rPr>
          <w:rFonts w:hint="default" w:ascii="Times New Roman" w:hAnsi="Times New Roman" w:cs="Times New Roman"/>
          <w:color w:val="auto"/>
          <w:sz w:val="24"/>
          <w:highlight w:val="none"/>
          <w:lang w:val="en-US" w:eastAsia="zh-CN"/>
        </w:rPr>
        <w:t>匿名免费下载招标文件和</w:t>
      </w:r>
      <w:r>
        <w:rPr>
          <w:rFonts w:hint="default" w:ascii="Times New Roman" w:hAnsi="Times New Roman" w:cs="Times New Roman"/>
          <w:color w:val="auto"/>
          <w:sz w:val="24"/>
          <w:highlight w:val="none"/>
        </w:rPr>
        <w:t>参考资料。联合体投标的，由联合体牵头人完成招标文件等资料下载。</w:t>
      </w:r>
    </w:p>
    <w:p>
      <w:pPr>
        <w:pStyle w:val="2"/>
        <w:pageBreakBefore w:val="0"/>
        <w:kinsoku/>
        <w:wordWrap w:val="0"/>
        <w:overflowPunct/>
        <w:bidi w:val="0"/>
        <w:spacing w:before="240" w:after="240" w:line="240" w:lineRule="atLeast"/>
        <w:outlineLvl w:val="1"/>
        <w:rPr>
          <w:rFonts w:hint="default" w:ascii="Times New Roman" w:hAnsi="Times New Roman" w:eastAsia="黑体" w:cs="Times New Roman"/>
          <w:color w:val="auto"/>
          <w:sz w:val="28"/>
          <w:szCs w:val="28"/>
          <w:highlight w:val="none"/>
        </w:rPr>
      </w:pPr>
      <w:bookmarkStart w:id="42" w:name="_Toc501257037"/>
      <w:bookmarkStart w:id="43" w:name="_Toc470760977"/>
      <w:bookmarkStart w:id="44" w:name="_Toc23747483"/>
      <w:bookmarkStart w:id="45" w:name="_Toc6918"/>
      <w:bookmarkStart w:id="46" w:name="_Toc14178"/>
      <w:bookmarkStart w:id="47" w:name="_Toc25806"/>
      <w:r>
        <w:rPr>
          <w:rFonts w:hint="default" w:ascii="Times New Roman" w:hAnsi="Times New Roman" w:eastAsia="黑体" w:cs="Times New Roman"/>
          <w:color w:val="auto"/>
          <w:sz w:val="28"/>
          <w:szCs w:val="28"/>
          <w:highlight w:val="none"/>
        </w:rPr>
        <w:t>5. 投标文件的递交及相关事宜</w:t>
      </w:r>
      <w:bookmarkEnd w:id="42"/>
      <w:bookmarkEnd w:id="43"/>
      <w:bookmarkEnd w:id="44"/>
      <w:bookmarkEnd w:id="45"/>
      <w:bookmarkEnd w:id="46"/>
      <w:bookmarkEnd w:id="47"/>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.1 招标人将于下列时间和地点组织进行工程现场踏勘并召开投标预备会。</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踏勘现场时间：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分，集中地点：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投标预备会时间：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 xml:space="preserve">2 </w:t>
      </w:r>
      <w:r>
        <w:rPr>
          <w:rFonts w:hint="default" w:ascii="Times New Roman" w:hAnsi="Times New Roman" w:cs="Times New Roman"/>
          <w:color w:val="auto"/>
          <w:sz w:val="24"/>
          <w:highlight w:val="none"/>
        </w:rPr>
        <w:t>投标文件应为加密的投标文件。投标文件递交的截止时间（投标截止时间，下同）为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分（北京时间，下同），投标人应在投标截止时间前，通过互联网使用CA数字证书登录</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，将加密的投标文件上传。逾期未完成上传或未按规定加密的投标文件，招标人予以拒收。联合体投标的，由联合体牵头人完成投标文件的上传等工作。</w:t>
      </w:r>
    </w:p>
    <w:p>
      <w:pPr>
        <w:pStyle w:val="2"/>
        <w:pageBreakBefore w:val="0"/>
        <w:kinsoku/>
        <w:wordWrap w:val="0"/>
        <w:overflowPunct/>
        <w:bidi w:val="0"/>
        <w:spacing w:before="240" w:after="240" w:line="240" w:lineRule="atLeast"/>
        <w:outlineLvl w:val="1"/>
        <w:rPr>
          <w:rFonts w:hint="default" w:ascii="Times New Roman" w:hAnsi="Times New Roman" w:eastAsia="黑体" w:cs="Times New Roman"/>
          <w:color w:val="auto"/>
          <w:sz w:val="28"/>
          <w:szCs w:val="28"/>
          <w:highlight w:val="none"/>
          <w:lang w:val="en-US" w:eastAsia="zh-CN"/>
        </w:rPr>
      </w:pPr>
      <w:bookmarkStart w:id="48" w:name="_Toc16163"/>
      <w:bookmarkStart w:id="49" w:name="_Toc16240"/>
      <w:bookmarkStart w:id="50" w:name="_Toc6994_WPSOffice_Level2"/>
      <w:bookmarkStart w:id="51" w:name="_Toc5415"/>
      <w:bookmarkStart w:id="52" w:name="_Toc31627"/>
      <w:bookmarkStart w:id="53" w:name="_Toc5564"/>
      <w:bookmarkStart w:id="54" w:name="_Toc23747484"/>
      <w:bookmarkStart w:id="55" w:name="_Toc470760978"/>
      <w:bookmarkStart w:id="56" w:name="_Toc501257038"/>
      <w:r>
        <w:rPr>
          <w:rFonts w:hint="default" w:ascii="Times New Roman" w:hAnsi="Times New Roman" w:eastAsia="黑体" w:cs="Times New Roman"/>
          <w:color w:val="auto"/>
          <w:sz w:val="28"/>
          <w:szCs w:val="28"/>
          <w:highlight w:val="none"/>
          <w:lang w:val="en-US" w:eastAsia="zh-CN"/>
        </w:rPr>
        <w:t>6. 评标办法</w:t>
      </w:r>
      <w:bookmarkEnd w:id="48"/>
      <w:bookmarkEnd w:id="49"/>
      <w:bookmarkEnd w:id="50"/>
      <w:bookmarkEnd w:id="51"/>
      <w:bookmarkEnd w:id="52"/>
      <w:bookmarkEnd w:id="53"/>
    </w:p>
    <w:p>
      <w:pPr>
        <w:pageBreakBefore w:val="0"/>
        <w:shd w:val="clear"/>
        <w:kinsoku/>
        <w:wordWrap w:val="0"/>
        <w:overflowPunct w:val="0"/>
        <w:autoSpaceDE/>
        <w:autoSpaceDN/>
        <w:bidi w:val="0"/>
        <w:adjustRightInd/>
        <w:snapToGrid/>
        <w:spacing w:line="360" w:lineRule="auto"/>
        <w:ind w:firstLine="472" w:firstLineChars="200"/>
        <w:jc w:val="both"/>
        <w:rPr>
          <w:rFonts w:hint="default" w:ascii="Times New Roman" w:hAnsi="Times New Roman" w:eastAsia="宋体" w:cs="Times New Roman"/>
          <w:color w:val="auto"/>
          <w:spacing w:val="-6"/>
          <w:sz w:val="24"/>
          <w:szCs w:val="24"/>
          <w:highlight w:val="none"/>
        </w:rPr>
      </w:pPr>
      <w:r>
        <w:rPr>
          <w:rFonts w:hint="default" w:ascii="Times New Roman" w:hAnsi="Times New Roman" w:eastAsia="宋体" w:cs="Times New Roman"/>
          <w:color w:val="auto"/>
          <w:spacing w:val="-2"/>
          <w:sz w:val="24"/>
          <w:szCs w:val="24"/>
          <w:highlight w:val="none"/>
        </w:rPr>
        <w:t>本项目评标办法采用</w:t>
      </w:r>
      <w:r>
        <w:rPr>
          <w:rFonts w:hint="default" w:ascii="Times New Roman" w:hAnsi="Times New Roman" w:cs="Times New Roman" w:eastAsiaTheme="minorEastAsia"/>
          <w:color w:val="auto"/>
          <w:spacing w:val="129"/>
          <w:sz w:val="24"/>
          <w:szCs w:val="24"/>
          <w:highlight w:val="none"/>
          <w:u w:val="single"/>
        </w:rPr>
        <w:t xml:space="preserve"> </w:t>
      </w:r>
      <w:r>
        <w:rPr>
          <w:rFonts w:hint="default" w:ascii="Times New Roman" w:hAnsi="Times New Roman" w:cs="Times New Roman" w:eastAsiaTheme="minorEastAsia"/>
          <w:color w:val="auto"/>
          <w:spacing w:val="129"/>
          <w:sz w:val="24"/>
          <w:szCs w:val="24"/>
          <w:highlight w:val="none"/>
          <w:u w:val="single"/>
          <w:lang w:val="en-US" w:eastAsia="zh-CN"/>
        </w:rPr>
        <w:t xml:space="preserve"> </w:t>
      </w:r>
      <w:r>
        <w:rPr>
          <w:rFonts w:hint="default" w:ascii="Times New Roman" w:hAnsi="Times New Roman" w:eastAsia="宋体" w:cs="Times New Roman"/>
          <w:color w:val="auto"/>
          <w:spacing w:val="-2"/>
          <w:sz w:val="24"/>
          <w:szCs w:val="24"/>
          <w:highlight w:val="none"/>
          <w:u w:val="single"/>
          <w:lang w:val="en-US" w:eastAsia="zh-CN"/>
        </w:rPr>
        <w:t xml:space="preserve">  </w:t>
      </w:r>
      <w:r>
        <w:rPr>
          <w:rFonts w:hint="default" w:ascii="Times New Roman" w:hAnsi="Times New Roman" w:cs="Times New Roman" w:eastAsiaTheme="minorEastAsia"/>
          <w:color w:val="auto"/>
          <w:spacing w:val="-2"/>
          <w:sz w:val="24"/>
          <w:szCs w:val="24"/>
          <w:highlight w:val="none"/>
          <w:u w:val="single"/>
        </w:rPr>
        <w:t xml:space="preserve">  </w:t>
      </w:r>
      <w:r>
        <w:rPr>
          <w:rFonts w:hint="default" w:ascii="Times New Roman" w:hAnsi="Times New Roman" w:eastAsia="宋体" w:cs="Times New Roman"/>
          <w:color w:val="auto"/>
          <w:spacing w:val="-2"/>
          <w:sz w:val="24"/>
          <w:szCs w:val="24"/>
          <w:highlight w:val="none"/>
          <w:u w:val="none"/>
          <w:lang w:eastAsia="zh-CN"/>
        </w:rPr>
        <w:t>（</w:t>
      </w:r>
      <w:r>
        <w:rPr>
          <w:rFonts w:hint="default" w:ascii="Times New Roman" w:hAnsi="Times New Roman" w:eastAsia="宋体" w:cs="Times New Roman"/>
          <w:color w:val="auto"/>
          <w:spacing w:val="-2"/>
          <w:sz w:val="24"/>
          <w:szCs w:val="24"/>
          <w:highlight w:val="none"/>
          <w:u w:val="none"/>
          <w:lang w:val="en-US" w:eastAsia="zh-CN"/>
        </w:rPr>
        <w:t>评标办法</w:t>
      </w:r>
      <w:r>
        <w:rPr>
          <w:rFonts w:hint="default" w:ascii="Times New Roman" w:hAnsi="Times New Roman" w:eastAsia="宋体" w:cs="Times New Roman"/>
          <w:color w:val="auto"/>
          <w:spacing w:val="-2"/>
          <w:sz w:val="24"/>
          <w:szCs w:val="24"/>
          <w:highlight w:val="none"/>
          <w:u w:val="none"/>
          <w:lang w:eastAsia="zh-CN"/>
        </w:rPr>
        <w:t>）</w:t>
      </w:r>
      <w:r>
        <w:rPr>
          <w:rFonts w:hint="default" w:ascii="Times New Roman" w:hAnsi="Times New Roman" w:eastAsia="宋体" w:cs="Times New Roman"/>
          <w:color w:val="auto"/>
          <w:spacing w:val="-2"/>
          <w:sz w:val="24"/>
          <w:szCs w:val="24"/>
          <w:highlight w:val="none"/>
        </w:rPr>
        <w:t>，评标标准和方法详见</w:t>
      </w:r>
      <w:r>
        <w:rPr>
          <w:rFonts w:hint="default" w:ascii="Times New Roman" w:hAnsi="Times New Roman" w:eastAsia="宋体" w:cs="Times New Roman"/>
          <w:color w:val="auto"/>
          <w:spacing w:val="129"/>
          <w:sz w:val="24"/>
          <w:szCs w:val="24"/>
          <w:highlight w:val="none"/>
          <w:u w:val="single"/>
        </w:rPr>
        <w:t xml:space="preserve"> </w:t>
      </w:r>
      <w:r>
        <w:rPr>
          <w:rFonts w:hint="default" w:ascii="Times New Roman" w:hAnsi="Times New Roman" w:eastAsia="宋体" w:cs="Times New Roman"/>
          <w:color w:val="auto"/>
          <w:spacing w:val="129"/>
          <w:sz w:val="24"/>
          <w:szCs w:val="24"/>
          <w:highlight w:val="none"/>
          <w:u w:val="single"/>
          <w:lang w:val="en-US" w:eastAsia="zh-CN"/>
        </w:rPr>
        <w:t xml:space="preserve"> </w:t>
      </w:r>
      <w:r>
        <w:rPr>
          <w:rFonts w:hint="default" w:ascii="Times New Roman" w:hAnsi="Times New Roman" w:eastAsia="宋体" w:cs="Times New Roman"/>
          <w:color w:val="auto"/>
          <w:spacing w:val="-2"/>
          <w:sz w:val="24"/>
          <w:szCs w:val="24"/>
          <w:highlight w:val="none"/>
          <w:u w:val="single"/>
          <w:lang w:val="en-US" w:eastAsia="zh-CN"/>
        </w:rPr>
        <w:t xml:space="preserve"> </w:t>
      </w:r>
      <w:r>
        <w:rPr>
          <w:rFonts w:hint="default" w:ascii="Times New Roman" w:hAnsi="Times New Roman" w:eastAsia="宋体" w:cs="Times New Roman"/>
          <w:color w:val="auto"/>
          <w:spacing w:val="-2"/>
          <w:sz w:val="24"/>
          <w:szCs w:val="24"/>
          <w:highlight w:val="none"/>
          <w:u w:val="single"/>
        </w:rPr>
        <w:t xml:space="preserve">  </w:t>
      </w:r>
      <w:r>
        <w:rPr>
          <w:rFonts w:hint="default" w:ascii="Times New Roman" w:hAnsi="Times New Roman" w:eastAsia="宋体" w:cs="Times New Roman"/>
          <w:color w:val="auto"/>
          <w:spacing w:val="-6"/>
          <w:sz w:val="24"/>
          <w:szCs w:val="24"/>
          <w:highlight w:val="none"/>
        </w:rPr>
        <w:t>。</w:t>
      </w:r>
    </w:p>
    <w:p>
      <w:pPr>
        <w:pStyle w:val="2"/>
        <w:pageBreakBefore w:val="0"/>
        <w:kinsoku/>
        <w:wordWrap w:val="0"/>
        <w:overflowPunct/>
        <w:bidi w:val="0"/>
        <w:spacing w:before="240" w:after="240" w:line="240" w:lineRule="atLeast"/>
        <w:outlineLvl w:val="1"/>
        <w:rPr>
          <w:rFonts w:hint="default" w:ascii="Times New Roman" w:hAnsi="Times New Roman" w:eastAsia="黑体" w:cs="Times New Roman"/>
          <w:color w:val="auto"/>
          <w:sz w:val="28"/>
          <w:szCs w:val="28"/>
          <w:highlight w:val="none"/>
        </w:rPr>
      </w:pPr>
      <w:bookmarkStart w:id="57" w:name="_Toc27914"/>
      <w:bookmarkStart w:id="58" w:name="_Toc23347"/>
      <w:bookmarkStart w:id="59" w:name="_Toc11268"/>
      <w:r>
        <w:rPr>
          <w:rFonts w:hint="default" w:ascii="Times New Roman" w:hAnsi="Times New Roman" w:eastAsia="黑体" w:cs="Times New Roman"/>
          <w:color w:val="auto"/>
          <w:sz w:val="28"/>
          <w:szCs w:val="28"/>
          <w:highlight w:val="none"/>
          <w:lang w:val="en-US" w:eastAsia="zh-CN"/>
        </w:rPr>
        <w:t>7</w:t>
      </w:r>
      <w:r>
        <w:rPr>
          <w:rFonts w:hint="default" w:ascii="Times New Roman" w:hAnsi="Times New Roman" w:eastAsia="黑体" w:cs="Times New Roman"/>
          <w:color w:val="auto"/>
          <w:sz w:val="28"/>
          <w:szCs w:val="28"/>
          <w:highlight w:val="none"/>
        </w:rPr>
        <w:t>. 发布公告的媒介</w:t>
      </w:r>
      <w:bookmarkEnd w:id="54"/>
      <w:bookmarkEnd w:id="55"/>
      <w:bookmarkEnd w:id="56"/>
      <w:bookmarkEnd w:id="57"/>
      <w:bookmarkEnd w:id="58"/>
      <w:bookmarkEnd w:id="59"/>
    </w:p>
    <w:p>
      <w:pPr>
        <w:pStyle w:val="15"/>
        <w:keepNext/>
        <w:keepLines/>
        <w:pageBreakBefore w:val="0"/>
        <w:widowControl w:val="0"/>
        <w:kinsoku/>
        <w:wordWrap w:val="0"/>
        <w:topLinePunct/>
        <w:bidi w:val="0"/>
        <w:spacing w:before="0" w:after="0" w:line="400" w:lineRule="atLeast"/>
        <w:ind w:firstLineChars="200"/>
        <w:jc w:val="both"/>
        <w:outlineLvl w:val="9"/>
        <w:rPr>
          <w:rFonts w:hint="default" w:ascii="Times New Roman" w:hAnsi="Times New Roman" w:eastAsia="黑体" w:cs="Times New Roman"/>
          <w:bCs/>
          <w:color w:val="auto"/>
          <w:kern w:val="44"/>
          <w:sz w:val="28"/>
          <w:szCs w:val="28"/>
          <w:highlight w:val="none"/>
          <w:lang w:val="en-US" w:eastAsia="zh-CN" w:bidi="ar-SA"/>
        </w:rPr>
      </w:pPr>
      <w:r>
        <w:rPr>
          <w:rFonts w:hint="default" w:ascii="Times New Roman" w:hAnsi="Times New Roman" w:cs="Times New Roman"/>
          <w:color w:val="auto"/>
          <w:sz w:val="24"/>
          <w:szCs w:val="24"/>
          <w:highlight w:val="none"/>
        </w:rPr>
        <w:t>本次招标公告同时在</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（发布公告的媒介名称）上发布</w:t>
      </w:r>
      <w:r>
        <w:rPr>
          <w:rFonts w:hint="default" w:ascii="Times New Roman" w:hAnsi="Times New Roman" w:cs="Times New Roman"/>
          <w:color w:val="auto"/>
          <w:szCs w:val="24"/>
          <w:highlight w:val="none"/>
        </w:rPr>
        <w:t>。</w:t>
      </w:r>
      <w:bookmarkStart w:id="60" w:name="_Toc23747485"/>
      <w:bookmarkStart w:id="61" w:name="_Toc470760979"/>
      <w:bookmarkStart w:id="62" w:name="_Toc501257039"/>
    </w:p>
    <w:p>
      <w:pPr>
        <w:pStyle w:val="2"/>
        <w:pageBreakBefore w:val="0"/>
        <w:kinsoku/>
        <w:wordWrap w:val="0"/>
        <w:overflowPunct/>
        <w:bidi w:val="0"/>
        <w:spacing w:before="240" w:after="240" w:line="240" w:lineRule="atLeast"/>
        <w:outlineLvl w:val="1"/>
        <w:rPr>
          <w:rFonts w:hint="default" w:ascii="Times New Roman" w:hAnsi="Times New Roman" w:eastAsia="黑体" w:cs="Times New Roman"/>
          <w:color w:val="auto"/>
          <w:sz w:val="28"/>
          <w:szCs w:val="28"/>
          <w:highlight w:val="none"/>
        </w:rPr>
      </w:pPr>
      <w:bookmarkStart w:id="63" w:name="_Toc25672"/>
      <w:bookmarkStart w:id="64" w:name="_Toc10577"/>
      <w:bookmarkStart w:id="65" w:name="_Toc17759"/>
      <w:r>
        <w:rPr>
          <w:rFonts w:hint="default" w:ascii="Times New Roman" w:hAnsi="Times New Roman" w:eastAsia="黑体" w:cs="Times New Roman"/>
          <w:bCs/>
          <w:color w:val="auto"/>
          <w:kern w:val="44"/>
          <w:sz w:val="28"/>
          <w:szCs w:val="28"/>
          <w:highlight w:val="none"/>
          <w:lang w:val="en-US" w:eastAsia="zh-CN" w:bidi="ar-SA"/>
        </w:rPr>
        <w:t>8</w:t>
      </w:r>
      <w:r>
        <w:rPr>
          <w:rFonts w:hint="default" w:ascii="Times New Roman" w:hAnsi="Times New Roman" w:eastAsia="黑体" w:cs="Times New Roman"/>
          <w:color w:val="auto"/>
          <w:sz w:val="28"/>
          <w:szCs w:val="28"/>
          <w:highlight w:val="none"/>
        </w:rPr>
        <w:t>. 联系方式</w:t>
      </w:r>
      <w:bookmarkEnd w:id="60"/>
      <w:bookmarkEnd w:id="61"/>
      <w:bookmarkEnd w:id="62"/>
      <w:bookmarkEnd w:id="63"/>
      <w:bookmarkEnd w:id="64"/>
      <w:bookmarkEnd w:id="65"/>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 标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bookmarkStart w:id="66" w:name="_Toc369531496"/>
      <w:bookmarkStart w:id="67" w:name="_Toc300834928"/>
      <w:bookmarkStart w:id="68" w:name="_Toc247527534"/>
      <w:bookmarkStart w:id="69" w:name="_Toc384308186"/>
      <w:bookmarkStart w:id="70" w:name="_Toc361508561"/>
      <w:bookmarkStart w:id="71" w:name="_Toc247513933"/>
      <w:bookmarkStart w:id="72" w:name="_Toc3520"/>
      <w:bookmarkStart w:id="73" w:name="_Toc352691454"/>
      <w:r>
        <w:rPr>
          <w:rFonts w:hint="default" w:ascii="Times New Roman" w:hAnsi="Times New Roman" w:eastAsia="黑体" w:cs="Times New Roman"/>
          <w:color w:val="auto"/>
          <w:sz w:val="24"/>
          <w:szCs w:val="24"/>
          <w:highlight w:val="none"/>
          <w:u w:val="single"/>
        </w:rPr>
        <w:t xml:space="preserve">                   </w:t>
      </w:r>
      <w:bookmarkEnd w:id="66"/>
      <w:bookmarkEnd w:id="67"/>
      <w:bookmarkEnd w:id="68"/>
      <w:bookmarkEnd w:id="69"/>
      <w:bookmarkEnd w:id="70"/>
      <w:bookmarkEnd w:id="71"/>
      <w:bookmarkEnd w:id="72"/>
      <w:bookmarkEnd w:id="73"/>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lang w:val="en-US" w:eastAsia="zh-CN"/>
        </w:rPr>
      </w:pP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招标代理机构</w:t>
      </w:r>
      <w:r>
        <w:rPr>
          <w:rFonts w:hint="default" w:ascii="Times New Roman" w:hAnsi="Times New Roman" w:cs="Times New Roman"/>
          <w:color w:val="auto"/>
          <w:sz w:val="24"/>
          <w:szCs w:val="24"/>
          <w:highlight w:val="none"/>
        </w:rPr>
        <w:t>：</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widowControl/>
        <w:kinsoku/>
        <w:wordWrap w:val="0"/>
        <w:overflowPunct/>
        <w:autoSpaceDE/>
        <w:autoSpaceDN/>
        <w:bidi w:val="0"/>
        <w:ind w:firstLine="960" w:firstLineChars="400"/>
        <w:jc w:val="left"/>
        <w:textAlignment w:val="auto"/>
        <w:outlineLvl w:val="9"/>
        <w:rPr>
          <w:rFonts w:hint="default" w:ascii="Times New Roman" w:hAnsi="Times New Roman" w:eastAsia="黑体" w:cs="Times New Roman"/>
          <w:color w:val="auto"/>
          <w:sz w:val="28"/>
          <w:szCs w:val="28"/>
          <w:highlight w:val="none"/>
          <w:u w:val="single"/>
        </w:rPr>
      </w:pPr>
      <w:r>
        <w:rPr>
          <w:rFonts w:hint="default" w:ascii="Times New Roman" w:hAnsi="Times New Roman" w:cs="Times New Roman"/>
          <w:color w:val="auto"/>
          <w:sz w:val="24"/>
          <w:highlight w:val="none"/>
        </w:rPr>
        <w:t>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9"/>
          <w:highlight w:val="none"/>
        </w:rPr>
      </w:pPr>
    </w:p>
    <w:p>
      <w:pPr>
        <w:pageBreakBefore w:val="0"/>
        <w:kinsoku/>
        <w:wordWrap w:val="0"/>
        <w:overflowPunct/>
        <w:bidi w:val="0"/>
        <w:spacing w:line="440" w:lineRule="exact"/>
        <w:jc w:val="center"/>
        <w:rPr>
          <w:rStyle w:val="66"/>
          <w:rFonts w:hint="default" w:ascii="Times New Roman" w:hAnsi="Times New Roman" w:eastAsia="黑体" w:cs="Times New Roman"/>
          <w:color w:val="auto"/>
          <w:sz w:val="44"/>
          <w:szCs w:val="44"/>
          <w:highlight w:val="none"/>
        </w:rPr>
        <w:sectPr>
          <w:footerReference r:id="rId25" w:type="default"/>
          <w:headerReference r:id="rId24" w:type="even"/>
          <w:footerReference r:id="rId26" w:type="even"/>
          <w:footnotePr>
            <w:numFmt w:val="decimalEnclosedCircleChinese"/>
            <w:numRestart w:val="eachPage"/>
          </w:footnotePr>
          <w:pgSz w:w="11907" w:h="16840"/>
          <w:pgMar w:top="1588" w:right="1531" w:bottom="1644" w:left="1588" w:header="851" w:footer="851" w:gutter="0"/>
          <w:pgNumType w:fmt="decimal"/>
          <w:cols w:space="425" w:num="1"/>
          <w:docGrid w:linePitch="312" w:charSpace="0"/>
        </w:sectPr>
      </w:pPr>
      <w:bookmarkStart w:id="74" w:name="_Toc234832852"/>
    </w:p>
    <w:bookmarkEnd w:id="74"/>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p>
    <w:p>
      <w:pPr>
        <w:pageBreakBefore w:val="0"/>
        <w:kinsoku/>
        <w:wordWrap w:val="0"/>
        <w:overflowPunct/>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p>
    <w:p>
      <w:pPr>
        <w:pageBreakBefore w:val="0"/>
        <w:kinsoku/>
        <w:wordWrap w:val="0"/>
        <w:overflowPunct/>
        <w:topLinePunct/>
        <w:bidi w:val="0"/>
        <w:spacing w:line="240" w:lineRule="atLeast"/>
        <w:ind w:right="31" w:rightChars="15"/>
        <w:jc w:val="center"/>
        <w:outlineLvl w:val="0"/>
        <w:rPr>
          <w:rFonts w:hint="default" w:ascii="Times New Roman" w:hAnsi="Times New Roman" w:eastAsia="黑体" w:cs="Times New Roman"/>
          <w:color w:val="auto"/>
          <w:sz w:val="56"/>
          <w:szCs w:val="56"/>
          <w:highlight w:val="none"/>
        </w:rPr>
      </w:pPr>
      <w:bookmarkStart w:id="75" w:name="_Toc25393"/>
      <w:bookmarkStart w:id="76" w:name="_Toc22121"/>
      <w:bookmarkStart w:id="77" w:name="_Toc5320"/>
      <w:r>
        <w:rPr>
          <w:rFonts w:hint="default" w:ascii="Times New Roman" w:hAnsi="Times New Roman" w:eastAsia="黑体" w:cs="Times New Roman"/>
          <w:color w:val="auto"/>
          <w:sz w:val="56"/>
          <w:szCs w:val="56"/>
          <w:highlight w:val="none"/>
        </w:rPr>
        <w:t>第二章  投标人须知</w:t>
      </w:r>
      <w:bookmarkEnd w:id="75"/>
      <w:bookmarkEnd w:id="76"/>
      <w:bookmarkEnd w:id="77"/>
    </w:p>
    <w:p>
      <w:pPr>
        <w:pageBreakBefore w:val="0"/>
        <w:kinsoku/>
        <w:wordWrap w:val="0"/>
        <w:overflowPunct/>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p>
    <w:p>
      <w:pPr>
        <w:pageBreakBefore w:val="0"/>
        <w:kinsoku/>
        <w:wordWrap w:val="0"/>
        <w:overflowPunct/>
        <w:topLinePunct/>
        <w:bidi w:val="0"/>
        <w:spacing w:line="240" w:lineRule="atLeast"/>
        <w:ind w:right="31" w:rightChars="15"/>
        <w:jc w:val="center"/>
        <w:rPr>
          <w:rFonts w:hint="default" w:ascii="Times New Roman" w:hAnsi="Times New Roman" w:eastAsia="黑体" w:cs="Times New Roman"/>
          <w:color w:val="auto"/>
          <w:sz w:val="56"/>
          <w:szCs w:val="56"/>
          <w:highlight w:val="none"/>
        </w:rPr>
        <w:sectPr>
          <w:footerReference r:id="rId28" w:type="default"/>
          <w:headerReference r:id="rId27" w:type="even"/>
          <w:footerReference r:id="rId29" w:type="even"/>
          <w:footnotePr>
            <w:numFmt w:val="decimalEnclosedCircleChinese"/>
            <w:numRestart w:val="eachPage"/>
          </w:footnotePr>
          <w:pgSz w:w="11907" w:h="16840"/>
          <w:pgMar w:top="1588" w:right="1531" w:bottom="1644" w:left="1588" w:header="851" w:footer="851" w:gutter="0"/>
          <w:pgNumType w:fmt="decimal"/>
          <w:cols w:space="425" w:num="1"/>
          <w:docGrid w:linePitch="312" w:charSpace="0"/>
        </w:sectPr>
      </w:pPr>
    </w:p>
    <w:p>
      <w:pPr>
        <w:pageBreakBefore w:val="0"/>
        <w:kinsoku/>
        <w:wordWrap w:val="0"/>
        <w:overflowPunct/>
        <w:bidi w:val="0"/>
        <w:spacing w:line="440" w:lineRule="exact"/>
        <w:jc w:val="center"/>
        <w:outlineLvl w:val="9"/>
        <w:rPr>
          <w:rStyle w:val="66"/>
          <w:rFonts w:hint="default" w:ascii="Times New Roman" w:hAnsi="Times New Roman" w:eastAsia="黑体" w:cs="Times New Roman"/>
          <w:color w:val="auto"/>
          <w:sz w:val="42"/>
          <w:szCs w:val="42"/>
          <w:highlight w:val="none"/>
        </w:rPr>
      </w:pPr>
      <w:bookmarkStart w:id="78" w:name="_Toc20503"/>
      <w:bookmarkStart w:id="79" w:name="_Toc501257051"/>
      <w:bookmarkStart w:id="80" w:name="_Toc23747497"/>
      <w:bookmarkStart w:id="81" w:name="_Toc234832861"/>
      <w:bookmarkStart w:id="82" w:name="_Toc22415"/>
      <w:bookmarkStart w:id="83" w:name="_Toc26404"/>
      <w:bookmarkStart w:id="84" w:name="_Toc28564"/>
      <w:bookmarkStart w:id="85" w:name="_Toc985"/>
      <w:bookmarkStart w:id="86" w:name="_Toc29076"/>
      <w:r>
        <w:rPr>
          <w:rStyle w:val="66"/>
          <w:rFonts w:hint="default" w:ascii="Times New Roman" w:hAnsi="Times New Roman" w:eastAsia="黑体" w:cs="Times New Roman"/>
          <w:color w:val="auto"/>
          <w:sz w:val="42"/>
          <w:szCs w:val="42"/>
          <w:highlight w:val="none"/>
        </w:rPr>
        <w:t>第二章  投标人须知</w:t>
      </w:r>
      <w:bookmarkEnd w:id="78"/>
      <w:bookmarkEnd w:id="79"/>
      <w:bookmarkEnd w:id="80"/>
      <w:bookmarkEnd w:id="81"/>
    </w:p>
    <w:bookmarkEnd w:id="82"/>
    <w:bookmarkEnd w:id="83"/>
    <w:bookmarkEnd w:id="84"/>
    <w:bookmarkEnd w:id="85"/>
    <w:bookmarkEnd w:id="86"/>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Style w:val="2"/>
        <w:pageBreakBefore w:val="0"/>
        <w:kinsoku/>
        <w:wordWrap w:val="0"/>
        <w:overflowPunct/>
        <w:bidi w:val="0"/>
        <w:spacing w:before="240" w:after="240" w:line="240" w:lineRule="atLeast"/>
        <w:outlineLvl w:val="1"/>
        <w:rPr>
          <w:rFonts w:hint="default" w:ascii="Times New Roman" w:hAnsi="Times New Roman" w:eastAsia="黑体" w:cs="Times New Roman"/>
          <w:color w:val="auto"/>
          <w:sz w:val="28"/>
          <w:szCs w:val="28"/>
          <w:highlight w:val="none"/>
        </w:rPr>
      </w:pPr>
      <w:bookmarkStart w:id="87" w:name="_Toc234832862"/>
      <w:bookmarkStart w:id="88" w:name="_Toc3482"/>
      <w:bookmarkStart w:id="89" w:name="_Toc6105"/>
      <w:bookmarkStart w:id="90" w:name="_Toc23747498"/>
      <w:bookmarkStart w:id="91" w:name="_Toc501257052"/>
      <w:bookmarkStart w:id="92" w:name="_Toc26709"/>
      <w:r>
        <w:rPr>
          <w:rFonts w:hint="default" w:ascii="Times New Roman" w:hAnsi="Times New Roman" w:eastAsia="黑体" w:cs="Times New Roman"/>
          <w:color w:val="auto"/>
          <w:sz w:val="28"/>
          <w:szCs w:val="28"/>
          <w:highlight w:val="none"/>
        </w:rPr>
        <w:t>投标人须知前附表</w:t>
      </w:r>
      <w:r>
        <w:rPr>
          <w:rStyle w:val="45"/>
          <w:rFonts w:hint="default" w:ascii="Times New Roman" w:hAnsi="Times New Roman" w:eastAsia="黑体" w:cs="Times New Roman"/>
          <w:color w:val="auto"/>
          <w:sz w:val="28"/>
          <w:szCs w:val="28"/>
          <w:highlight w:val="none"/>
        </w:rPr>
        <w:footnoteReference w:id="6"/>
      </w:r>
      <w:bookmarkEnd w:id="87"/>
      <w:bookmarkEnd w:id="88"/>
      <w:bookmarkEnd w:id="89"/>
      <w:bookmarkEnd w:id="90"/>
      <w:bookmarkEnd w:id="91"/>
      <w:bookmarkEnd w:id="92"/>
    </w:p>
    <w:tbl>
      <w:tblPr>
        <w:tblStyle w:val="37"/>
        <w:tblW w:w="4997" w:type="pct"/>
        <w:tblInd w:w="0" w:type="dxa"/>
        <w:tblLayout w:type="autofit"/>
        <w:tblCellMar>
          <w:top w:w="0" w:type="dxa"/>
          <w:left w:w="108" w:type="dxa"/>
          <w:bottom w:w="0" w:type="dxa"/>
          <w:right w:w="108" w:type="dxa"/>
        </w:tblCellMar>
      </w:tblPr>
      <w:tblGrid>
        <w:gridCol w:w="1018"/>
        <w:gridCol w:w="2915"/>
        <w:gridCol w:w="4953"/>
      </w:tblGrid>
      <w:tr>
        <w:tblPrEx>
          <w:tblCellMar>
            <w:top w:w="0" w:type="dxa"/>
            <w:left w:w="108" w:type="dxa"/>
            <w:bottom w:w="0" w:type="dxa"/>
            <w:right w:w="108" w:type="dxa"/>
          </w:tblCellMar>
        </w:tblPrEx>
        <w:trPr>
          <w:trHeight w:val="340" w:hRule="atLeast"/>
          <w:tblHeader/>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条款号</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条  款  名  称</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编  列  内  容</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1.1.2</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招标人</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overflowPunct/>
              <w:autoSpaceDE/>
              <w:autoSpaceDN/>
              <w:bidi w:val="0"/>
              <w:spacing w:line="400" w:lineRule="exac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1.1.3</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招标代理机构</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overflowPunct/>
              <w:autoSpaceDE/>
              <w:autoSpaceDN/>
              <w:bidi w:val="0"/>
              <w:spacing w:line="400" w:lineRule="exac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1.1.4</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招标项目名称</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64"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1.1.5</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标段建设地点</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1.2.1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资金来源及比例</w:t>
            </w:r>
          </w:p>
        </w:tc>
        <w:tc>
          <w:tcPr>
            <w:tcW w:w="2785" w:type="pct"/>
            <w:tcBorders>
              <w:top w:val="single" w:color="auto" w:sz="4" w:space="0"/>
              <w:left w:val="single" w:color="auto" w:sz="4" w:space="0"/>
              <w:bottom w:val="single" w:color="auto" w:sz="4" w:space="0"/>
              <w:right w:val="single" w:color="auto" w:sz="4" w:space="0"/>
            </w:tcBorders>
            <w:vAlign w:val="center"/>
          </w:tcPr>
          <w:p>
            <w:pPr>
              <w:spacing w:line="400" w:lineRule="exact"/>
              <w:rPr>
                <w:rFonts w:hint="default" w:ascii="Times New Roman" w:hAnsi="Times New Roman" w:eastAsia="宋体" w:cs="Times New Roman"/>
                <w:color w:val="auto"/>
                <w:kern w:val="2"/>
                <w:sz w:val="24"/>
                <w:szCs w:val="22"/>
                <w:highlight w:val="none"/>
                <w:lang w:val="en-US" w:eastAsia="zh-CN" w:bidi="ar-SA"/>
              </w:rPr>
            </w:pPr>
            <w:r>
              <w:rPr>
                <w:rFonts w:hint="default" w:ascii="Times New Roman" w:hAnsi="Times New Roman" w:cs="Times New Roman"/>
                <w:color w:val="auto"/>
                <w:sz w:val="24"/>
                <w:highlight w:val="none"/>
              </w:rPr>
              <w:t>详见</w:t>
            </w:r>
            <w:r>
              <w:rPr>
                <w:rFonts w:hint="default" w:ascii="Times New Roman" w:hAnsi="Times New Roman" w:cs="Times New Roman"/>
                <w:color w:val="auto"/>
                <w:sz w:val="24"/>
                <w:highlight w:val="none"/>
                <w:lang w:eastAsia="zh-CN"/>
              </w:rPr>
              <w:t>第一章</w:t>
            </w:r>
            <w:r>
              <w:rPr>
                <w:rFonts w:hint="eastAsia" w:ascii="宋体" w:hAnsi="宋体" w:eastAsia="宋体" w:cs="宋体"/>
                <w:color w:val="auto"/>
                <w:sz w:val="24"/>
                <w:highlight w:val="none"/>
                <w:lang w:eastAsia="zh-CN"/>
              </w:rPr>
              <w:t>“</w:t>
            </w:r>
            <w:r>
              <w:rPr>
                <w:rFonts w:hint="default" w:ascii="Times New Roman" w:hAnsi="Times New Roman" w:cs="Times New Roman"/>
                <w:color w:val="auto"/>
                <w:sz w:val="24"/>
                <w:highlight w:val="none"/>
                <w:lang w:eastAsia="zh-CN"/>
              </w:rPr>
              <w:t>招标公告</w:t>
            </w:r>
            <w:r>
              <w:rPr>
                <w:rFonts w:hint="eastAsia" w:ascii="宋体" w:hAnsi="宋体" w:eastAsia="宋体" w:cs="宋体"/>
                <w:color w:val="auto"/>
                <w:sz w:val="24"/>
                <w:highlight w:val="none"/>
                <w:lang w:eastAsia="zh-CN"/>
              </w:rPr>
              <w:t>”</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1.2.2</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资金落实情况</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招标范围</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1.3.2</w:t>
            </w:r>
          </w:p>
        </w:tc>
        <w:tc>
          <w:tcPr>
            <w:tcW w:w="1640" w:type="pct"/>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计划工期</w:t>
            </w:r>
          </w:p>
        </w:tc>
        <w:tc>
          <w:tcPr>
            <w:tcW w:w="2785" w:type="pct"/>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1.3.3</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质量要求</w:t>
            </w:r>
          </w:p>
        </w:tc>
        <w:tc>
          <w:tcPr>
            <w:tcW w:w="2785" w:type="pct"/>
            <w:tcBorders>
              <w:top w:val="single" w:color="auto" w:sz="4" w:space="0"/>
              <w:left w:val="single" w:color="auto" w:sz="4" w:space="0"/>
              <w:bottom w:val="single" w:color="auto" w:sz="4" w:space="0"/>
              <w:right w:val="single" w:color="auto" w:sz="4" w:space="0"/>
            </w:tcBorders>
            <w:vAlign w:val="center"/>
          </w:tcPr>
          <w:p>
            <w:pPr>
              <w:pStyle w:val="15"/>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工程勘察设计服务质量目标要求：</w:t>
            </w:r>
            <w:r>
              <w:rPr>
                <w:rFonts w:hint="default" w:ascii="Times New Roman" w:hAnsi="Times New Roman" w:cs="Times New Roman"/>
                <w:color w:val="auto"/>
                <w:sz w:val="24"/>
                <w:szCs w:val="24"/>
                <w:highlight w:val="none"/>
                <w:u w:val="single"/>
              </w:rPr>
              <w:t xml:space="preserve">    </w:t>
            </w:r>
          </w:p>
          <w:p>
            <w:pPr>
              <w:pStyle w:val="15"/>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标段工程交工验收的质量评定：</w:t>
            </w:r>
            <w:r>
              <w:rPr>
                <w:rFonts w:hint="default" w:ascii="Times New Roman" w:hAnsi="Times New Roman" w:cs="Times New Roman"/>
                <w:color w:val="auto"/>
                <w:sz w:val="24"/>
                <w:szCs w:val="24"/>
                <w:highlight w:val="none"/>
                <w:u w:val="single"/>
              </w:rPr>
              <w:t xml:space="preserve">    </w:t>
            </w:r>
          </w:p>
          <w:p>
            <w:pPr>
              <w:pStyle w:val="15"/>
              <w:pageBreakBefore w:val="0"/>
              <w:kinsoku/>
              <w:wordWrap w:val="0"/>
              <w:overflowPunct/>
              <w:topLinePunct/>
              <w:bidi w:val="0"/>
              <w:spacing w:line="360" w:lineRule="atLeast"/>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竣工验收的质量评定：</w:t>
            </w:r>
            <w:r>
              <w:rPr>
                <w:rFonts w:hint="default" w:ascii="Times New Roman" w:hAnsi="Times New Roman" w:cs="Times New Roman"/>
                <w:color w:val="auto"/>
                <w:sz w:val="24"/>
                <w:szCs w:val="24"/>
                <w:highlight w:val="none"/>
                <w:u w:val="single"/>
              </w:rPr>
              <w:t xml:space="preserve">    </w:t>
            </w:r>
          </w:p>
          <w:p>
            <w:pPr>
              <w:pStyle w:val="15"/>
              <w:pageBreakBefore w:val="0"/>
              <w:kinsoku/>
              <w:wordWrap w:val="0"/>
              <w:overflowPunct/>
              <w:topLinePunct/>
              <w:bidi w:val="0"/>
              <w:spacing w:line="360" w:lineRule="atLeast"/>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Cs w:val="24"/>
                <w:highlight w:val="none"/>
                <w:u w:val="single"/>
                <w:lang w:val="en-US" w:eastAsia="zh-CN"/>
              </w:rPr>
              <w:t xml:space="preserve">                </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bCs/>
                <w:color w:val="auto"/>
                <w:sz w:val="24"/>
                <w:szCs w:val="24"/>
                <w:highlight w:val="none"/>
              </w:rPr>
              <w:t>1.3.4</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安全目标</w:t>
            </w:r>
            <w:r>
              <w:rPr>
                <w:rStyle w:val="45"/>
                <w:rFonts w:hint="default" w:ascii="Times New Roman" w:hAnsi="Times New Roman" w:cs="Times New Roman"/>
                <w:color w:val="auto"/>
                <w:sz w:val="24"/>
                <w:szCs w:val="24"/>
                <w:highlight w:val="none"/>
              </w:rPr>
              <w:footnoteReference w:id="7"/>
            </w:r>
          </w:p>
        </w:tc>
        <w:tc>
          <w:tcPr>
            <w:tcW w:w="2785" w:type="pct"/>
            <w:tcBorders>
              <w:top w:val="single" w:color="auto" w:sz="4" w:space="0"/>
              <w:left w:val="single" w:color="auto" w:sz="4" w:space="0"/>
              <w:bottom w:val="single" w:color="auto" w:sz="4" w:space="0"/>
              <w:right w:val="single" w:color="auto" w:sz="4" w:space="0"/>
            </w:tcBorders>
            <w:vAlign w:val="center"/>
          </w:tcPr>
          <w:p>
            <w:pPr>
              <w:pStyle w:val="15"/>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投标人资质条件、能力和信誉</w:t>
            </w:r>
          </w:p>
        </w:tc>
        <w:tc>
          <w:tcPr>
            <w:tcW w:w="2785" w:type="pct"/>
            <w:tcBorders>
              <w:top w:val="single" w:color="auto" w:sz="4" w:space="0"/>
              <w:left w:val="single" w:color="auto" w:sz="4" w:space="0"/>
              <w:bottom w:val="single" w:color="auto" w:sz="4" w:space="0"/>
              <w:right w:val="single" w:color="auto" w:sz="4" w:space="0"/>
            </w:tcBorders>
            <w:vAlign w:val="center"/>
          </w:tcPr>
          <w:p>
            <w:pPr>
              <w:pStyle w:val="15"/>
              <w:pageBreakBefore w:val="0"/>
              <w:kinsoku/>
              <w:wordWrap w:val="0"/>
              <w:overflowPunct/>
              <w:topLine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资质要求：见</w:t>
            </w:r>
            <w:r>
              <w:rPr>
                <w:rFonts w:hint="default" w:ascii="Times New Roman" w:hAnsi="Times New Roman" w:eastAsia="黑体" w:cs="Times New Roman"/>
                <w:color w:val="auto"/>
                <w:sz w:val="24"/>
                <w:szCs w:val="24"/>
                <w:highlight w:val="none"/>
                <w:lang w:val="zh-CN"/>
              </w:rPr>
              <w:t>附录1</w:t>
            </w:r>
          </w:p>
          <w:p>
            <w:pPr>
              <w:pStyle w:val="15"/>
              <w:pageBreakBefore w:val="0"/>
              <w:kinsoku/>
              <w:wordWrap w:val="0"/>
              <w:overflowPunct/>
              <w:topLinePunct/>
              <w:autoSpaceDE/>
              <w:autoSpaceDN/>
              <w:bidi w:val="0"/>
              <w:spacing w:line="360" w:lineRule="atLeast"/>
              <w:textAlignment w:val="auto"/>
              <w:outlineLvl w:val="9"/>
              <w:rPr>
                <w:rFonts w:hint="default" w:ascii="Times New Roman" w:hAnsi="Times New Roman" w:eastAsia="黑体" w:cs="Times New Roman"/>
                <w:color w:val="auto"/>
                <w:sz w:val="24"/>
                <w:szCs w:val="24"/>
                <w:highlight w:val="none"/>
                <w:lang w:val="zh-CN"/>
              </w:rPr>
            </w:pPr>
            <w:r>
              <w:rPr>
                <w:rFonts w:hint="default" w:ascii="Times New Roman" w:hAnsi="Times New Roman" w:cs="Times New Roman"/>
                <w:color w:val="auto"/>
                <w:sz w:val="24"/>
                <w:szCs w:val="24"/>
                <w:highlight w:val="none"/>
              </w:rPr>
              <w:t>财务要求：见</w:t>
            </w:r>
            <w:r>
              <w:rPr>
                <w:rFonts w:hint="default" w:ascii="Times New Roman" w:hAnsi="Times New Roman" w:eastAsia="黑体" w:cs="Times New Roman"/>
                <w:color w:val="auto"/>
                <w:sz w:val="24"/>
                <w:szCs w:val="24"/>
                <w:highlight w:val="none"/>
                <w:lang w:val="zh-CN"/>
              </w:rPr>
              <w:t>附录2</w:t>
            </w:r>
          </w:p>
          <w:p>
            <w:pPr>
              <w:pStyle w:val="15"/>
              <w:pageBreakBefore w:val="0"/>
              <w:kinsoku/>
              <w:wordWrap w:val="0"/>
              <w:overflowPunct/>
              <w:topLine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业绩要求：见</w:t>
            </w:r>
            <w:r>
              <w:rPr>
                <w:rFonts w:hint="default" w:ascii="Times New Roman" w:hAnsi="Times New Roman" w:eastAsia="黑体" w:cs="Times New Roman"/>
                <w:color w:val="auto"/>
                <w:sz w:val="24"/>
                <w:szCs w:val="24"/>
                <w:highlight w:val="none"/>
                <w:lang w:val="zh-CN"/>
              </w:rPr>
              <w:t>附录3</w:t>
            </w:r>
          </w:p>
          <w:p>
            <w:pPr>
              <w:pStyle w:val="15"/>
              <w:pageBreakBefore w:val="0"/>
              <w:kinsoku/>
              <w:wordWrap w:val="0"/>
              <w:overflowPunct/>
              <w:topLinePunct/>
              <w:autoSpaceDE/>
              <w:autoSpaceDN/>
              <w:bidi w:val="0"/>
              <w:spacing w:line="360" w:lineRule="atLeast"/>
              <w:textAlignment w:val="auto"/>
              <w:outlineLvl w:val="9"/>
              <w:rPr>
                <w:rFonts w:hint="default" w:ascii="Times New Roman" w:hAnsi="Times New Roman" w:eastAsia="黑体" w:cs="Times New Roman"/>
                <w:color w:val="auto"/>
                <w:sz w:val="24"/>
                <w:szCs w:val="24"/>
                <w:highlight w:val="none"/>
                <w:lang w:val="zh-CN"/>
              </w:rPr>
            </w:pPr>
            <w:r>
              <w:rPr>
                <w:rFonts w:hint="default" w:ascii="Times New Roman" w:hAnsi="Times New Roman" w:cs="Times New Roman"/>
                <w:color w:val="auto"/>
                <w:sz w:val="24"/>
                <w:szCs w:val="24"/>
                <w:highlight w:val="none"/>
              </w:rPr>
              <w:t>信誉要求：见</w:t>
            </w:r>
            <w:r>
              <w:rPr>
                <w:rFonts w:hint="default" w:ascii="Times New Roman" w:hAnsi="Times New Roman" w:eastAsia="黑体" w:cs="Times New Roman"/>
                <w:color w:val="auto"/>
                <w:sz w:val="24"/>
                <w:szCs w:val="24"/>
                <w:highlight w:val="none"/>
                <w:lang w:val="zh-CN"/>
              </w:rPr>
              <w:t>附录4</w:t>
            </w:r>
          </w:p>
          <w:p>
            <w:pPr>
              <w:pStyle w:val="15"/>
              <w:pageBreakBefore w:val="0"/>
              <w:kinsoku/>
              <w:wordWrap w:val="0"/>
              <w:overflowPunct/>
              <w:topLine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项目负责人、设计负责人、施工负责人资格：见</w:t>
            </w:r>
            <w:r>
              <w:rPr>
                <w:rFonts w:hint="default" w:ascii="Times New Roman" w:hAnsi="Times New Roman" w:eastAsia="黑体" w:cs="Times New Roman"/>
                <w:color w:val="auto"/>
                <w:sz w:val="24"/>
                <w:szCs w:val="24"/>
                <w:highlight w:val="none"/>
                <w:lang w:val="zh-CN"/>
              </w:rPr>
              <w:t>附录5</w:t>
            </w:r>
          </w:p>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其他要求：</w:t>
            </w:r>
            <w:r>
              <w:rPr>
                <w:rStyle w:val="45"/>
                <w:rFonts w:hint="default" w:ascii="Times New Roman" w:hAnsi="Times New Roman" w:cs="Times New Roman"/>
                <w:color w:val="auto"/>
                <w:sz w:val="24"/>
                <w:szCs w:val="24"/>
                <w:highlight w:val="none"/>
              </w:rPr>
              <w:footnoteReference w:id="8"/>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1.4.2</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是否接受联合体投标</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autoSpaceDE/>
              <w:autoSpaceDN/>
              <w:bidi w:val="0"/>
              <w:spacing w:line="440" w:lineRule="exac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lang w:val="en-US" w:eastAsia="zh-CN"/>
              </w:rPr>
              <w:t>标段，</w:t>
            </w:r>
            <w:r>
              <w:rPr>
                <w:rFonts w:hint="default" w:ascii="Times New Roman" w:hAnsi="Times New Roman" w:cs="Times New Roman"/>
                <w:color w:val="auto"/>
                <w:sz w:val="24"/>
                <w:szCs w:val="24"/>
                <w:highlight w:val="none"/>
              </w:rPr>
              <w:t>不接受</w:t>
            </w:r>
          </w:p>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lang w:val="en-US" w:eastAsia="zh-CN"/>
              </w:rPr>
              <w:t>标段，</w:t>
            </w:r>
            <w:r>
              <w:rPr>
                <w:rFonts w:hint="default" w:ascii="Times New Roman" w:hAnsi="Times New Roman" w:cs="Times New Roman"/>
                <w:color w:val="auto"/>
                <w:sz w:val="24"/>
                <w:szCs w:val="24"/>
                <w:highlight w:val="none"/>
              </w:rPr>
              <w:t>接受，应满足下列要求：</w:t>
            </w:r>
          </w:p>
          <w:p>
            <w:pPr>
              <w:pageBreakBefore w:val="0"/>
              <w:kinsoku/>
              <w:wordWrap w:val="0"/>
              <w:overflowPunct/>
              <w:autoSpaceDE/>
              <w:autoSpaceDN/>
              <w:bidi w:val="0"/>
              <w:spacing w:line="360" w:lineRule="atLeast"/>
              <w:ind w:firstLine="240" w:firstLineChars="100"/>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（1）联合体所有成员数量不得超过</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 xml:space="preserve">家； </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（2）联合体牵头人应具有</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资质；</w:t>
            </w:r>
          </w:p>
          <w:p>
            <w:pPr>
              <w:pageBreakBefore w:val="0"/>
              <w:kinsoku/>
              <w:wordWrap w:val="0"/>
              <w:overflowPunct/>
              <w:autoSpaceDE/>
              <w:autoSpaceDN/>
              <w:bidi w:val="0"/>
              <w:spacing w:line="360" w:lineRule="atLeast"/>
              <w:ind w:firstLine="240" w:firstLineChars="100"/>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（3）联合体的资格认定标准</w:t>
            </w:r>
            <w:r>
              <w:rPr>
                <w:rStyle w:val="45"/>
                <w:rFonts w:hint="default" w:ascii="Times New Roman" w:hAnsi="Times New Roman" w:cs="Times New Roman"/>
                <w:color w:val="auto"/>
                <w:sz w:val="24"/>
                <w:szCs w:val="24"/>
                <w:highlight w:val="none"/>
              </w:rPr>
              <w:footnoteReference w:id="9"/>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u w:val="single"/>
              </w:rPr>
              <w:t xml:space="preserve">        </w:t>
            </w:r>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1.4.3</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投标人不得存在的其他关联情形</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1.4.4</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投标人不得存在的其他不良状况或不良信用记录</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1.5</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费用承担和设计成果补偿</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不补偿</w:t>
            </w:r>
          </w:p>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补偿，补偿标准：</w:t>
            </w:r>
          </w:p>
        </w:tc>
      </w:tr>
      <w:tr>
        <w:tblPrEx>
          <w:tblCellMar>
            <w:top w:w="0" w:type="dxa"/>
            <w:left w:w="108" w:type="dxa"/>
            <w:bottom w:w="0" w:type="dxa"/>
            <w:right w:w="108" w:type="dxa"/>
          </w:tblCellMar>
        </w:tblPrEx>
        <w:trPr>
          <w:trHeight w:val="340" w:hRule="atLeast"/>
        </w:trPr>
        <w:tc>
          <w:tcPr>
            <w:tcW w:w="573" w:type="pct"/>
            <w:vMerge w:val="restart"/>
            <w:tcBorders>
              <w:top w:val="single" w:color="auto" w:sz="4" w:space="0"/>
              <w:left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1.10.2</w:t>
            </w:r>
          </w:p>
        </w:tc>
        <w:tc>
          <w:tcPr>
            <w:tcW w:w="1640" w:type="pct"/>
            <w:vMerge w:val="restart"/>
            <w:tcBorders>
              <w:top w:val="single" w:color="auto" w:sz="4" w:space="0"/>
              <w:left w:val="single" w:color="auto" w:sz="4" w:space="0"/>
              <w:right w:val="single" w:color="auto" w:sz="4" w:space="0"/>
            </w:tcBorders>
            <w:vAlign w:val="center"/>
          </w:tcPr>
          <w:p>
            <w:pPr>
              <w:pageBreakBefore w:val="0"/>
              <w:kinsoku/>
              <w:wordWrap w:val="0"/>
              <w:overflowPunct/>
              <w:autoSpaceDE/>
              <w:autoSpaceDN/>
              <w:bidi w:val="0"/>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投标人在投标预备会前提出问题</w:t>
            </w:r>
          </w:p>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时间：</w:t>
            </w:r>
          </w:p>
        </w:tc>
      </w:tr>
      <w:tr>
        <w:tblPrEx>
          <w:tblCellMar>
            <w:top w:w="0" w:type="dxa"/>
            <w:left w:w="108" w:type="dxa"/>
            <w:bottom w:w="0" w:type="dxa"/>
            <w:right w:w="108" w:type="dxa"/>
          </w:tblCellMar>
        </w:tblPrEx>
        <w:trPr>
          <w:trHeight w:val="340" w:hRule="atLeast"/>
        </w:trPr>
        <w:tc>
          <w:tcPr>
            <w:tcW w:w="573" w:type="pct"/>
            <w:vMerge w:val="continue"/>
            <w:tcBorders>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p>
        </w:tc>
        <w:tc>
          <w:tcPr>
            <w:tcW w:w="1640" w:type="pct"/>
            <w:vMerge w:val="continue"/>
            <w:tcBorders>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形式：</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1.11.1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分  包</w:t>
            </w:r>
          </w:p>
        </w:tc>
        <w:tc>
          <w:tcPr>
            <w:tcW w:w="2785" w:type="pct"/>
            <w:tcBorders>
              <w:top w:val="single" w:color="auto" w:sz="4" w:space="0"/>
              <w:left w:val="single" w:color="auto" w:sz="4" w:space="0"/>
              <w:bottom w:val="single" w:color="auto" w:sz="4" w:space="0"/>
              <w:right w:val="single" w:color="auto" w:sz="4" w:space="0"/>
            </w:tcBorders>
            <w:vAlign w:val="center"/>
          </w:tcPr>
          <w:p>
            <w:pPr>
              <w:wordWrap w:val="0"/>
              <w:topLinePunct/>
              <w:spacing w:line="440" w:lineRule="exact"/>
              <w:rPr>
                <w:rFonts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不允许</w:t>
            </w:r>
          </w:p>
          <w:p>
            <w:pPr>
              <w:wordWrap w:val="0"/>
              <w:spacing w:line="440" w:lineRule="exact"/>
              <w:rPr>
                <w:color w:val="auto"/>
                <w:sz w:val="24"/>
                <w:szCs w:val="24"/>
                <w:highlight w:val="none"/>
              </w:rPr>
            </w:pPr>
            <w:r>
              <w:rPr>
                <w:rFonts w:hint="default" w:ascii="Times New Roman" w:hAnsi="Times New Roman" w:cs="Times New Roman"/>
                <w:color w:val="auto"/>
                <w:sz w:val="24"/>
                <w:highlight w:val="none"/>
                <w:lang w:eastAsia="zh-CN"/>
              </w:rPr>
              <w:t>□</w:t>
            </w:r>
            <w:r>
              <w:rPr>
                <w:rFonts w:hint="default"/>
                <w:color w:val="auto"/>
                <w:sz w:val="24"/>
                <w:szCs w:val="24"/>
                <w:highlight w:val="none"/>
              </w:rPr>
              <w:t>允许，</w:t>
            </w:r>
            <w:r>
              <w:rPr>
                <w:color w:val="auto"/>
                <w:sz w:val="24"/>
                <w:szCs w:val="24"/>
                <w:highlight w:val="none"/>
              </w:rPr>
              <w:t>分包内容</w:t>
            </w:r>
            <w:r>
              <w:rPr>
                <w:rFonts w:hint="default"/>
                <w:color w:val="auto"/>
                <w:sz w:val="24"/>
                <w:szCs w:val="24"/>
                <w:highlight w:val="none"/>
              </w:rPr>
              <w:t>要求</w:t>
            </w:r>
            <w:r>
              <w:rPr>
                <w:color w:val="auto"/>
                <w:sz w:val="24"/>
                <w:szCs w:val="24"/>
                <w:highlight w:val="none"/>
              </w:rPr>
              <w:t>：</w:t>
            </w:r>
          </w:p>
          <w:p>
            <w:pPr>
              <w:pageBreakBefore w:val="0"/>
              <w:kinsoku/>
              <w:wordWrap w:val="0"/>
              <w:overflowPunct/>
              <w:bidi w:val="0"/>
              <w:spacing w:line="360" w:lineRule="atLeast"/>
              <w:ind w:firstLine="0" w:firstLineChars="0"/>
              <w:jc w:val="both"/>
              <w:rPr>
                <w:rFonts w:hint="default" w:ascii="Times New Roman" w:hAnsi="Times New Roman" w:cs="Times New Roman"/>
                <w:color w:val="auto"/>
                <w:sz w:val="24"/>
                <w:szCs w:val="24"/>
                <w:highlight w:val="none"/>
              </w:rPr>
            </w:pPr>
            <w:r>
              <w:rPr>
                <w:color w:val="auto"/>
                <w:sz w:val="24"/>
                <w:szCs w:val="24"/>
                <w:highlight w:val="none"/>
              </w:rPr>
              <w:t>分包金额</w:t>
            </w:r>
            <w:r>
              <w:rPr>
                <w:rFonts w:hint="default"/>
                <w:color w:val="auto"/>
                <w:sz w:val="24"/>
                <w:szCs w:val="24"/>
                <w:highlight w:val="none"/>
              </w:rPr>
              <w:t>要求</w:t>
            </w:r>
            <w:r>
              <w:rPr>
                <w:color w:val="auto"/>
                <w:sz w:val="24"/>
                <w:szCs w:val="24"/>
                <w:highlight w:val="none"/>
              </w:rPr>
              <w:t>：</w:t>
            </w:r>
            <w:r>
              <w:rPr>
                <w:rFonts w:hint="default"/>
                <w:color w:val="auto"/>
                <w:sz w:val="24"/>
                <w:szCs w:val="24"/>
                <w:highlight w:val="none"/>
              </w:rPr>
              <w:t>对分包人的资质要求：</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构成招标文件的其他资料</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340" w:hRule="atLeast"/>
        </w:trPr>
        <w:tc>
          <w:tcPr>
            <w:tcW w:w="573" w:type="pct"/>
            <w:vMerge w:val="restart"/>
            <w:tcBorders>
              <w:top w:val="single" w:color="auto" w:sz="4" w:space="0"/>
              <w:left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2.2.1</w:t>
            </w:r>
          </w:p>
        </w:tc>
        <w:tc>
          <w:tcPr>
            <w:tcW w:w="1640" w:type="pct"/>
            <w:vMerge w:val="restart"/>
            <w:tcBorders>
              <w:top w:val="single" w:color="auto" w:sz="4" w:space="0"/>
              <w:left w:val="single" w:color="auto" w:sz="4" w:space="0"/>
              <w:right w:val="single" w:color="auto" w:sz="4" w:space="0"/>
            </w:tcBorders>
            <w:vAlign w:val="center"/>
          </w:tcPr>
          <w:p>
            <w:pPr>
              <w:pageBreakBefore w:val="0"/>
              <w:kinsoku/>
              <w:wordWrap w:val="0"/>
              <w:overflowPunct/>
              <w:autoSpaceDE/>
              <w:autoSpaceDN/>
              <w:bidi w:val="0"/>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投标人要求澄清招标文件</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时间：递交投标文件截止之日</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天前（以发出时间为准）</w:t>
            </w:r>
          </w:p>
        </w:tc>
      </w:tr>
      <w:tr>
        <w:tblPrEx>
          <w:tblCellMar>
            <w:top w:w="0" w:type="dxa"/>
            <w:left w:w="108" w:type="dxa"/>
            <w:bottom w:w="0" w:type="dxa"/>
            <w:right w:w="108" w:type="dxa"/>
          </w:tblCellMar>
        </w:tblPrEx>
        <w:trPr>
          <w:trHeight w:val="340" w:hRule="atLeast"/>
        </w:trPr>
        <w:tc>
          <w:tcPr>
            <w:tcW w:w="573" w:type="pct"/>
            <w:vMerge w:val="continue"/>
            <w:tcBorders>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p>
        </w:tc>
        <w:tc>
          <w:tcPr>
            <w:tcW w:w="1640" w:type="pct"/>
            <w:vMerge w:val="continue"/>
            <w:tcBorders>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形式：</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2.2.2</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招标文件澄清发出的形式</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发出招标文件澄清</w:t>
            </w:r>
          </w:p>
        </w:tc>
      </w:tr>
      <w:tr>
        <w:tblPrEx>
          <w:tblCellMar>
            <w:top w:w="0" w:type="dxa"/>
            <w:left w:w="108" w:type="dxa"/>
            <w:bottom w:w="0" w:type="dxa"/>
            <w:right w:w="108" w:type="dxa"/>
          </w:tblCellMar>
        </w:tblPrEx>
        <w:trPr>
          <w:trHeight w:val="71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2.2.3</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投标人确认收到招标文件澄清</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w:t>
            </w:r>
            <w:r>
              <w:rPr>
                <w:rFonts w:hint="default" w:ascii="Times New Roman" w:hAnsi="Times New Roman" w:cs="Times New Roman"/>
                <w:color w:val="auto"/>
                <w:sz w:val="24"/>
                <w:szCs w:val="24"/>
                <w:highlight w:val="none"/>
                <w:lang w:val="en-US" w:eastAsia="zh-CN"/>
              </w:rPr>
              <w:t>澄清</w:t>
            </w: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发出完成即视为潜在投标人已收悉，无</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回函确认。</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2.3.1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招标文件修改发出的形式</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w:t>
            </w:r>
            <w:r>
              <w:rPr>
                <w:rFonts w:hint="default" w:ascii="Times New Roman" w:hAnsi="Times New Roman" w:cs="Times New Roman"/>
                <w:color w:val="auto"/>
                <w:sz w:val="24"/>
                <w:szCs w:val="24"/>
                <w:highlight w:val="none"/>
                <w:lang w:val="en-US" w:eastAsia="zh-CN"/>
              </w:rPr>
              <w:t>修改</w:t>
            </w:r>
          </w:p>
        </w:tc>
      </w:tr>
      <w:tr>
        <w:tblPrEx>
          <w:tblCellMar>
            <w:top w:w="0" w:type="dxa"/>
            <w:left w:w="108" w:type="dxa"/>
            <w:bottom w:w="0" w:type="dxa"/>
            <w:right w:w="108" w:type="dxa"/>
          </w:tblCellMar>
        </w:tblPrEx>
        <w:trPr>
          <w:trHeight w:val="1080" w:hRule="atLeast"/>
        </w:trPr>
        <w:tc>
          <w:tcPr>
            <w:tcW w:w="573" w:type="pct"/>
            <w:tcBorders>
              <w:top w:val="single" w:color="auto" w:sz="4" w:space="0"/>
              <w:left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2.3.2</w:t>
            </w:r>
          </w:p>
        </w:tc>
        <w:tc>
          <w:tcPr>
            <w:tcW w:w="1640" w:type="pct"/>
            <w:tcBorders>
              <w:top w:val="single" w:color="auto" w:sz="4" w:space="0"/>
              <w:left w:val="single" w:color="auto" w:sz="4" w:space="0"/>
              <w:right w:val="single" w:color="auto" w:sz="4" w:space="0"/>
            </w:tcBorders>
            <w:vAlign w:val="center"/>
          </w:tcPr>
          <w:p>
            <w:pPr>
              <w:pageBreakBefore w:val="0"/>
              <w:kinsoku/>
              <w:wordWrap w:val="0"/>
              <w:bidi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投标人确认收到招标文件修改</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w:t>
            </w:r>
            <w:r>
              <w:rPr>
                <w:rFonts w:hint="default" w:ascii="Times New Roman" w:hAnsi="Times New Roman" w:cs="Times New Roman"/>
                <w:color w:val="auto"/>
                <w:sz w:val="24"/>
                <w:szCs w:val="24"/>
                <w:highlight w:val="none"/>
                <w:lang w:val="en-US" w:eastAsia="zh-CN"/>
              </w:rPr>
              <w:t>修改</w:t>
            </w: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发出完成即视为潜在投标人已收悉，无</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回函确认。</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3.1.1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构成投标文件的其他资料</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3.2.4</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最高投标限价</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无</w:t>
            </w:r>
          </w:p>
          <w:p>
            <w:pPr>
              <w:pageBreakBefore w:val="0"/>
              <w:kinsoku/>
              <w:wordWrap w:val="0"/>
              <w:overflowPunct/>
              <w:autoSpaceDE/>
              <w:autoSpaceDN/>
              <w:bidi w:val="0"/>
              <w:spacing w:line="440" w:lineRule="exact"/>
              <w:textAlignment w:val="auto"/>
              <w:outlineLvl w:val="9"/>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有，最高投标限价：</w:t>
            </w:r>
            <w:r>
              <w:rPr>
                <w:rFonts w:hint="default" w:ascii="Times New Roman" w:hAnsi="Times New Roman" w:cs="Times New Roman"/>
                <w:color w:val="auto"/>
                <w:sz w:val="24"/>
                <w:szCs w:val="24"/>
                <w:highlight w:val="none"/>
                <w:u w:val="single"/>
                <w:lang w:val="en-US" w:eastAsia="zh-CN"/>
              </w:rPr>
              <w:t xml:space="preserve">           </w:t>
            </w:r>
          </w:p>
          <w:p>
            <w:pPr>
              <w:pStyle w:val="15"/>
              <w:pageBreakBefore w:val="0"/>
              <w:kinsoku/>
              <w:wordWrap w:val="0"/>
              <w:overflowPunct/>
              <w:topLinePunct/>
              <w:bidi w:val="0"/>
              <w:spacing w:line="360" w:lineRule="atLeas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有，最高投标限价以补遗书的形式通过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发布</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3.2.5</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投标报价的其他要求</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rPr>
                <w:rFonts w:hint="default" w:ascii="Times New Roman" w:hAnsi="Times New Roman" w:cs="Times New Roman"/>
                <w:color w:val="auto"/>
                <w:sz w:val="24"/>
                <w:szCs w:val="24"/>
                <w:highlight w:val="none"/>
                <w:u w:val="single"/>
              </w:rPr>
            </w:pP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3.3.1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投标有效期</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自投标人提交投标文件截止之日起计算</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overflowPunct/>
              <w:autoSpaceDE/>
              <w:autoSpaceDN/>
              <w:bidi w:val="0"/>
              <w:spacing w:line="360" w:lineRule="atLeas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投标保证金</w:t>
            </w:r>
          </w:p>
        </w:tc>
        <w:tc>
          <w:tcPr>
            <w:tcW w:w="2785" w:type="pct"/>
            <w:tcBorders>
              <w:top w:val="single" w:color="auto" w:sz="4" w:space="0"/>
              <w:left w:val="single" w:color="auto" w:sz="4" w:space="0"/>
              <w:bottom w:val="single" w:color="auto" w:sz="4" w:space="0"/>
              <w:right w:val="single" w:color="auto" w:sz="4" w:space="0"/>
            </w:tcBorders>
            <w:vAlign w:val="center"/>
          </w:tcPr>
          <w:p>
            <w:pPr>
              <w:pStyle w:val="15"/>
              <w:pageBreakBefore w:val="0"/>
              <w:kinsoku/>
              <w:overflowPunct/>
              <w:topLine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是否要求投标人递交投标保证金：</w:t>
            </w:r>
          </w:p>
          <w:p>
            <w:pPr>
              <w:pStyle w:val="15"/>
              <w:pageBreakBefore w:val="0"/>
              <w:kinsoku/>
              <w:overflowPunct/>
              <w:topLinePunct/>
              <w:autoSpaceDE/>
              <w:autoSpaceDN/>
              <w:bidi w:val="0"/>
              <w:spacing w:line="360" w:lineRule="atLeast"/>
              <w:textAlignment w:val="auto"/>
              <w:outlineLvl w:val="9"/>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要求</w:t>
            </w:r>
            <w:r>
              <w:rPr>
                <w:rFonts w:hint="default" w:ascii="Times New Roman" w:hAnsi="Times New Roman" w:cs="Times New Roman"/>
                <w:color w:val="auto"/>
                <w:sz w:val="24"/>
                <w:szCs w:val="24"/>
                <w:highlight w:val="none"/>
                <w:lang w:eastAsia="zh-CN"/>
              </w:rPr>
              <w:t>：</w:t>
            </w:r>
          </w:p>
          <w:p>
            <w:pPr>
              <w:pStyle w:val="15"/>
              <w:pageBreakBefore w:val="0"/>
              <w:kinsoku/>
              <w:overflowPunct/>
              <w:topLine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投标保证金的金额：</w:t>
            </w:r>
            <w:r>
              <w:rPr>
                <w:rFonts w:hint="default" w:ascii="Times New Roman" w:hAnsi="Times New Roman" w:cs="Times New Roman"/>
                <w:color w:val="auto"/>
                <w:sz w:val="24"/>
                <w:szCs w:val="24"/>
                <w:highlight w:val="none"/>
                <w:u w:val="single"/>
              </w:rPr>
              <w:t xml:space="preserve">        </w:t>
            </w:r>
            <w:r>
              <w:rPr>
                <w:rStyle w:val="45"/>
                <w:rFonts w:hint="default" w:ascii="Times New Roman" w:hAnsi="Times New Roman" w:cs="Times New Roman"/>
                <w:color w:val="auto"/>
                <w:sz w:val="24"/>
                <w:szCs w:val="24"/>
                <w:highlight w:val="none"/>
              </w:rPr>
              <w:footnoteReference w:id="10"/>
            </w:r>
            <w:r>
              <w:rPr>
                <w:rFonts w:hint="default" w:ascii="Times New Roman" w:hAnsi="Times New Roman" w:cs="Times New Roman"/>
                <w:color w:val="auto"/>
                <w:sz w:val="24"/>
                <w:szCs w:val="24"/>
                <w:highlight w:val="none"/>
              </w:rPr>
              <w:t xml:space="preserve"> </w:t>
            </w:r>
          </w:p>
          <w:p>
            <w:pPr>
              <w:pStyle w:val="15"/>
              <w:pageBreakBefore w:val="0"/>
              <w:kinsoku/>
              <w:overflowPunct/>
              <w:topLinePunct/>
              <w:autoSpaceDE/>
              <w:autoSpaceDN/>
              <w:bidi w:val="0"/>
              <w:spacing w:line="360" w:lineRule="atLeast"/>
              <w:textAlignment w:val="auto"/>
              <w:outlineLvl w:val="9"/>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投标保证金</w:t>
            </w:r>
            <w:r>
              <w:rPr>
                <w:rFonts w:hint="default" w:ascii="Times New Roman" w:hAnsi="Times New Roman" w:cs="Times New Roman"/>
                <w:color w:val="auto"/>
                <w:sz w:val="24"/>
                <w:szCs w:val="24"/>
                <w:highlight w:val="none"/>
                <w:lang w:eastAsia="zh-CN"/>
              </w:rPr>
              <w:t>的</w:t>
            </w:r>
            <w:r>
              <w:rPr>
                <w:rFonts w:hint="default" w:ascii="Times New Roman" w:hAnsi="Times New Roman" w:cs="Times New Roman"/>
                <w:color w:val="auto"/>
                <w:sz w:val="24"/>
                <w:szCs w:val="24"/>
                <w:highlight w:val="none"/>
              </w:rPr>
              <w:t>形式</w:t>
            </w:r>
            <w:r>
              <w:rPr>
                <w:rStyle w:val="45"/>
                <w:rFonts w:hint="default" w:ascii="Times New Roman" w:hAnsi="Times New Roman" w:cs="Times New Roman"/>
                <w:color w:val="auto"/>
                <w:sz w:val="24"/>
                <w:szCs w:val="24"/>
                <w:highlight w:val="none"/>
              </w:rPr>
              <w:footnoteReference w:id="11"/>
            </w:r>
          </w:p>
          <w:p>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采用现金（银行电汇或网银转账或转账支票）形式：</w:t>
            </w:r>
          </w:p>
          <w:p>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outlineLvl w:val="9"/>
              <w:rPr>
                <w:rFonts w:hint="default" w:ascii="Times New Roman" w:hAnsi="Times New Roman" w:eastAsia="黑体" w:cs="Times New Roman"/>
                <w:bCs/>
                <w:i/>
                <w:iCs/>
                <w:color w:val="auto"/>
                <w:sz w:val="24"/>
                <w:szCs w:val="24"/>
                <w:highlight w:val="none"/>
              </w:rPr>
            </w:pPr>
            <w:r>
              <w:rPr>
                <w:rFonts w:hint="default" w:ascii="Times New Roman" w:hAnsi="Times New Roman" w:cs="Times New Roman"/>
                <w:color w:val="auto"/>
                <w:sz w:val="24"/>
                <w:szCs w:val="24"/>
                <w:highlight w:val="none"/>
              </w:rPr>
              <w:t>招标人指定的开户银行及账号如下：</w:t>
            </w:r>
          </w:p>
          <w:p>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账户名称：</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开户银行：</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outlineLvl w:val="9"/>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账    号：</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为确保在</w:t>
            </w:r>
            <w:r>
              <w:rPr>
                <w:rFonts w:hint="default" w:ascii="Times New Roman" w:hAnsi="Times New Roman"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rPr>
              <w:t>时间前投标保证金能到达招标人指定账户，投标人在汇款时须充分考虑银行汇款的时间误差风险，否则所造成的后果由投标人自负。</w:t>
            </w:r>
          </w:p>
          <w:p>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outlineLvl w:val="9"/>
              <w:rPr>
                <w:rFonts w:hint="default" w:ascii="Times New Roman" w:hAnsi="Times New Roman" w:cs="Times New Roman"/>
                <w:color w:val="auto"/>
                <w:spacing w:val="-8"/>
                <w:sz w:val="24"/>
                <w:szCs w:val="24"/>
                <w:highlight w:val="none"/>
                <w:lang w:val="en-US" w:eastAsia="zh-CN"/>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pacing w:val="-8"/>
                <w:sz w:val="24"/>
                <w:szCs w:val="24"/>
                <w:highlight w:val="none"/>
              </w:rPr>
              <w:t>采用银行保函</w:t>
            </w:r>
            <w:r>
              <w:rPr>
                <w:rFonts w:hint="default" w:ascii="Times New Roman" w:hAnsi="Times New Roman" w:cs="Times New Roman"/>
                <w:color w:val="auto"/>
                <w:spacing w:val="-8"/>
                <w:sz w:val="24"/>
                <w:szCs w:val="24"/>
                <w:highlight w:val="none"/>
                <w:lang w:val="en-US" w:eastAsia="zh-CN"/>
              </w:rPr>
              <w:t>形式：</w:t>
            </w:r>
          </w:p>
          <w:p>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outlineLvl w:val="9"/>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出具保函的银行级别：</w:t>
            </w:r>
            <w:r>
              <w:rPr>
                <w:rFonts w:hint="default" w:ascii="Times New Roman" w:hAnsi="Times New Roman" w:cs="Times New Roman"/>
                <w:color w:val="auto"/>
                <w:sz w:val="24"/>
                <w:szCs w:val="24"/>
                <w:highlight w:val="none"/>
                <w:u w:val="single"/>
              </w:rPr>
              <w:t xml:space="preserve">              </w:t>
            </w:r>
          </w:p>
          <w:p>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outlineLvl w:val="9"/>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u w:val="none"/>
              </w:rPr>
              <w:t>银行保函应采用招标文件提供的格式，若采用银行自有格式，其提交的银行保函内容不得对担保金额、担保范围、担保期限、担保内容作出降低担保效力的实质性修改。</w:t>
            </w:r>
          </w:p>
          <w:p>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outlineLvl w:val="9"/>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lang w:val="en-US" w:eastAsia="zh-CN"/>
              </w:rPr>
              <w:t>采用电子保函形式：</w:t>
            </w:r>
          </w:p>
          <w:p>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outlineLvl w:val="9"/>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保函应由自主选具有金融服务担保能力的机构出具，保函办理机构应提供电子化保函验真渠道和保函财务费用支付凭证（保函财务费用应从投标人基本账户支出）。</w:t>
            </w:r>
          </w:p>
          <w:p>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outlineLvl w:val="9"/>
              <w:rPr>
                <w:rFonts w:hint="default" w:ascii="Times New Roman" w:hAnsi="Times New Roman" w:cs="Times New Roman"/>
                <w:color w:val="auto"/>
                <w:sz w:val="24"/>
                <w:szCs w:val="24"/>
                <w:highlight w:val="none"/>
                <w:u w:val="single"/>
                <w:lang w:val="en-US" w:eastAsia="zh-CN"/>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lang w:val="en-US" w:eastAsia="zh-CN"/>
              </w:rPr>
              <w:t>采用其他形式：</w:t>
            </w:r>
            <w:r>
              <w:rPr>
                <w:rFonts w:hint="default" w:ascii="Times New Roman" w:hAnsi="Times New Roman" w:cs="Times New Roman"/>
                <w:color w:val="auto"/>
                <w:sz w:val="24"/>
                <w:szCs w:val="24"/>
                <w:highlight w:val="none"/>
                <w:u w:val="single"/>
                <w:lang w:val="en-US" w:eastAsia="zh-CN"/>
              </w:rPr>
              <w:t xml:space="preserve">        </w:t>
            </w:r>
          </w:p>
          <w:p>
            <w:pPr>
              <w:pageBreakBefore w:val="0"/>
              <w:kinsoku/>
              <w:overflowPunct/>
              <w:autoSpaceDE/>
              <w:autoSpaceDN/>
              <w:bidi w:val="0"/>
              <w:spacing w:line="360" w:lineRule="atLeast"/>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不要求</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3.4.3</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overflowPunct/>
              <w:autoSpaceDE/>
              <w:autoSpaceDN/>
              <w:bidi w:val="0"/>
              <w:spacing w:line="400" w:lineRule="exac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投标保证金利息计算原则</w:t>
            </w:r>
          </w:p>
        </w:tc>
        <w:tc>
          <w:tcPr>
            <w:tcW w:w="2785" w:type="pct"/>
            <w:tcBorders>
              <w:top w:val="single" w:color="auto" w:sz="4" w:space="0"/>
              <w:left w:val="single" w:color="auto" w:sz="4" w:space="0"/>
              <w:bottom w:val="single" w:color="auto" w:sz="4" w:space="0"/>
              <w:right w:val="single" w:color="auto" w:sz="4" w:space="0"/>
            </w:tcBorders>
            <w:vAlign w:val="center"/>
          </w:tcPr>
          <w:p>
            <w:pPr>
              <w:pStyle w:val="15"/>
              <w:spacing w:line="40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投标保证金由辽宁省公共资源交易中心收取，投标保证金利息计算原则从其相关规定。</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3.4.4</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其他可以不予退还投标保证金的情形</w:t>
            </w:r>
          </w:p>
        </w:tc>
        <w:tc>
          <w:tcPr>
            <w:tcW w:w="2785" w:type="pct"/>
            <w:tcBorders>
              <w:top w:val="single" w:color="auto" w:sz="4" w:space="0"/>
              <w:left w:val="single" w:color="auto" w:sz="4" w:space="0"/>
              <w:bottom w:val="single" w:color="auto" w:sz="4" w:space="0"/>
              <w:right w:val="single" w:color="auto" w:sz="4" w:space="0"/>
            </w:tcBorders>
            <w:vAlign w:val="center"/>
          </w:tcPr>
          <w:p>
            <w:pPr>
              <w:pStyle w:val="15"/>
              <w:pageBreakBefore w:val="0"/>
              <w:kinsoku/>
              <w:wordWrap w:val="0"/>
              <w:overflowPunct/>
              <w:topLinePunct/>
              <w:bidi w:val="0"/>
              <w:spacing w:line="360" w:lineRule="atLeast"/>
              <w:rPr>
                <w:rFonts w:hint="default" w:ascii="Times New Roman" w:hAnsi="Times New Roman" w:cs="Times New Roman"/>
                <w:color w:val="auto"/>
                <w:sz w:val="24"/>
                <w:szCs w:val="24"/>
                <w:highlight w:val="none"/>
                <w:u w:val="single"/>
              </w:rPr>
            </w:pP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资格审查资料的特殊要求</w:t>
            </w:r>
          </w:p>
        </w:tc>
        <w:tc>
          <w:tcPr>
            <w:tcW w:w="2785" w:type="pct"/>
            <w:tcBorders>
              <w:top w:val="single" w:color="auto" w:sz="4" w:space="0"/>
              <w:left w:val="single" w:color="auto" w:sz="4" w:space="0"/>
              <w:bottom w:val="single" w:color="auto" w:sz="4" w:space="0"/>
              <w:right w:val="single" w:color="auto" w:sz="4" w:space="0"/>
            </w:tcBorders>
            <w:vAlign w:val="center"/>
          </w:tcPr>
          <w:p>
            <w:pPr>
              <w:pStyle w:val="15"/>
              <w:pageBreakBefore w:val="0"/>
              <w:kinsoku/>
              <w:wordWrap w:val="0"/>
              <w:overflowPunct/>
              <w:topLinePunct/>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无</w:t>
            </w:r>
          </w:p>
          <w:p>
            <w:pPr>
              <w:pStyle w:val="15"/>
              <w:pageBreakBefore w:val="0"/>
              <w:kinsoku/>
              <w:wordWrap w:val="0"/>
              <w:overflowPunct/>
              <w:topLinePunct/>
              <w:bidi w:val="0"/>
              <w:spacing w:line="360" w:lineRule="atLeast"/>
              <w:rPr>
                <w:rFonts w:hint="default" w:ascii="Times New Roman" w:hAnsi="Times New Roman" w:eastAsia="宋体" w:cs="Times New Roman"/>
                <w:color w:val="auto"/>
                <w:kern w:val="2"/>
                <w:sz w:val="24"/>
                <w:szCs w:val="24"/>
                <w:highlight w:val="none"/>
                <w:u w:val="single"/>
                <w:lang w:val="en-US" w:eastAsia="zh-CN" w:bidi="ar-SA"/>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有，具体要求：</w:t>
            </w:r>
            <w:r>
              <w:rPr>
                <w:rFonts w:hint="default" w:ascii="Times New Roman" w:hAnsi="Times New Roman" w:cs="Times New Roman"/>
                <w:color w:val="auto"/>
                <w:sz w:val="24"/>
                <w:szCs w:val="24"/>
                <w:highlight w:val="none"/>
                <w:u w:val="single"/>
                <w:lang w:val="en-US" w:eastAsia="zh-CN"/>
              </w:rPr>
              <w:t xml:space="preserve">             </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3.5.2</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近年财务状况的年份要求</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年至</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3.5.3</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40" w:lineRule="exac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近年完成的类似项目情况的时间要求</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月</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日至投标文件递交截止日</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3.6.1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是否允许递交备选投标方案</w:t>
            </w:r>
          </w:p>
        </w:tc>
        <w:tc>
          <w:tcPr>
            <w:tcW w:w="2785" w:type="pct"/>
            <w:tcBorders>
              <w:top w:val="single" w:color="auto" w:sz="4" w:space="0"/>
              <w:left w:val="single" w:color="auto" w:sz="4" w:space="0"/>
              <w:bottom w:val="single" w:color="auto" w:sz="4" w:space="0"/>
              <w:right w:val="single" w:color="auto" w:sz="4" w:space="0"/>
            </w:tcBorders>
            <w:vAlign w:val="center"/>
          </w:tcPr>
          <w:p>
            <w:pPr>
              <w:pStyle w:val="15"/>
              <w:pageBreakBefore w:val="0"/>
              <w:kinsoku/>
              <w:wordWrap w:val="0"/>
              <w:overflowPunct/>
              <w:topLine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不允许</w:t>
            </w:r>
          </w:p>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允许</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5</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0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投标文件份数及其他要求</w:t>
            </w:r>
          </w:p>
        </w:tc>
        <w:tc>
          <w:tcPr>
            <w:tcW w:w="2785" w:type="pct"/>
            <w:tcBorders>
              <w:top w:val="single" w:color="auto" w:sz="4" w:space="0"/>
              <w:left w:val="single" w:color="auto" w:sz="4" w:space="0"/>
              <w:bottom w:val="single" w:color="auto" w:sz="4" w:space="0"/>
              <w:right w:val="single" w:color="auto" w:sz="4" w:space="0"/>
            </w:tcBorders>
            <w:vAlign w:val="center"/>
          </w:tcPr>
          <w:p>
            <w:pPr>
              <w:pStyle w:val="15"/>
              <w:pageBreakBefore w:val="0"/>
              <w:kinsoku/>
              <w:wordWrap w:val="0"/>
              <w:topLinePunct/>
              <w:bidi w:val="0"/>
              <w:spacing w:line="40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签订合同协议书前，中标人应向招标人提供纸质版本的投标文件</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lang w:val="en-US" w:eastAsia="zh-CN"/>
              </w:rPr>
              <w:t>份</w:t>
            </w:r>
            <w:r>
              <w:rPr>
                <w:rFonts w:hint="default" w:ascii="Times New Roman" w:hAnsi="Times New Roman" w:cs="Times New Roman"/>
                <w:color w:val="auto"/>
                <w:sz w:val="24"/>
                <w:szCs w:val="24"/>
                <w:highlight w:val="none"/>
              </w:rPr>
              <w:t>，并保证纸质版本的投标文件与电子版的投标文件内容一致。</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40" w:lineRule="exac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5</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投标文件</w:t>
            </w:r>
            <w:r>
              <w:rPr>
                <w:rFonts w:hint="default" w:ascii="Times New Roman" w:hAnsi="Times New Roman" w:cs="Times New Roman"/>
                <w:color w:val="auto"/>
                <w:sz w:val="24"/>
                <w:szCs w:val="24"/>
                <w:highlight w:val="none"/>
                <w:lang w:val="en-US" w:eastAsia="zh-CN"/>
              </w:rPr>
              <w:t>上传</w:t>
            </w:r>
            <w:r>
              <w:rPr>
                <w:rFonts w:hint="default" w:ascii="Times New Roman" w:hAnsi="Times New Roman" w:cs="Times New Roman"/>
                <w:color w:val="auto"/>
                <w:sz w:val="24"/>
                <w:szCs w:val="24"/>
                <w:highlight w:val="none"/>
              </w:rPr>
              <w:t>要求</w:t>
            </w:r>
          </w:p>
        </w:tc>
        <w:tc>
          <w:tcPr>
            <w:tcW w:w="2785" w:type="pct"/>
            <w:tcBorders>
              <w:top w:val="single" w:color="auto" w:sz="4" w:space="0"/>
              <w:left w:val="single" w:color="auto" w:sz="4" w:space="0"/>
              <w:bottom w:val="single" w:color="auto" w:sz="4" w:space="0"/>
              <w:right w:val="single" w:color="auto" w:sz="4" w:space="0"/>
            </w:tcBorders>
            <w:vAlign w:val="center"/>
          </w:tcPr>
          <w:p>
            <w:pPr>
              <w:pStyle w:val="15"/>
              <w:pageBreakBefore w:val="0"/>
              <w:kinsoku/>
              <w:wordWrap w:val="0"/>
              <w:topLinePunct/>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投标人应在规定的投标截止时间前，通过互联网</w:t>
            </w:r>
            <w:r>
              <w:rPr>
                <w:rFonts w:hint="default" w:ascii="Times New Roman" w:hAnsi="Times New Roman" w:cs="Times New Roman"/>
                <w:color w:val="auto"/>
                <w:sz w:val="24"/>
                <w:szCs w:val="24"/>
                <w:highlight w:val="none"/>
                <w:lang w:val="en-US" w:eastAsia="zh-CN"/>
              </w:rPr>
              <w:t>使用</w:t>
            </w:r>
            <w:r>
              <w:rPr>
                <w:rFonts w:hint="default" w:ascii="Times New Roman" w:hAnsi="Times New Roman" w:cs="Times New Roman"/>
                <w:color w:val="auto"/>
                <w:sz w:val="24"/>
                <w:szCs w:val="24"/>
                <w:highlight w:val="none"/>
              </w:rPr>
              <w:t>CA数字证书登录</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40" w:lineRule="exac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6</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投标文件其他要求</w:t>
            </w:r>
          </w:p>
        </w:tc>
        <w:tc>
          <w:tcPr>
            <w:tcW w:w="2785" w:type="pct"/>
            <w:tcBorders>
              <w:top w:val="single" w:color="auto" w:sz="4" w:space="0"/>
              <w:left w:val="single" w:color="auto" w:sz="4" w:space="0"/>
              <w:bottom w:val="single" w:color="auto" w:sz="4" w:space="0"/>
              <w:right w:val="single" w:color="auto" w:sz="4" w:space="0"/>
            </w:tcBorders>
            <w:vAlign w:val="center"/>
          </w:tcPr>
          <w:p>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本项目采用电子招标投标形式，投标期间不需提供纸质投标文件。中标人在合同签订前需向招标人提交资料：</w:t>
            </w:r>
          </w:p>
          <w:p>
            <w:pPr>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 xml:space="preserve"> 纸质版投标文件：</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套；</w:t>
            </w:r>
          </w:p>
          <w:p>
            <w:pPr>
              <w:pStyle w:val="15"/>
              <w:pageBreakBefore w:val="0"/>
              <w:kinsoku/>
              <w:wordWrap w:val="0"/>
              <w:topLinePunct/>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Cs w:val="24"/>
                <w:highlight w:val="none"/>
              </w:rPr>
              <w:t xml:space="preserve"> 电子版投标文件，具体要求为：</w:t>
            </w:r>
            <w:r>
              <w:rPr>
                <w:rFonts w:hint="default" w:ascii="Times New Roman" w:hAnsi="Times New Roman" w:cs="Times New Roman"/>
                <w:color w:val="auto"/>
                <w:szCs w:val="24"/>
                <w:highlight w:val="none"/>
                <w:u w:val="single"/>
              </w:rPr>
              <w:t xml:space="preserve">         </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5.1</w:t>
            </w:r>
          </w:p>
        </w:tc>
        <w:tc>
          <w:tcPr>
            <w:tcW w:w="1640" w:type="pct"/>
            <w:tcBorders>
              <w:top w:val="single" w:color="auto" w:sz="4" w:space="0"/>
              <w:left w:val="single" w:color="auto" w:sz="4" w:space="0"/>
              <w:bottom w:val="single" w:color="auto" w:sz="4" w:space="0"/>
              <w:right w:val="single" w:color="auto" w:sz="4" w:space="0"/>
            </w:tcBorders>
            <w:vAlign w:val="center"/>
          </w:tcPr>
          <w:p>
            <w:pPr>
              <w:shd w:val="clea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开标时间和地点</w:t>
            </w:r>
          </w:p>
        </w:tc>
        <w:tc>
          <w:tcPr>
            <w:tcW w:w="2785" w:type="pct"/>
            <w:tcBorders>
              <w:top w:val="single" w:color="auto" w:sz="4" w:space="0"/>
              <w:left w:val="single" w:color="auto" w:sz="4" w:space="0"/>
              <w:bottom w:val="single" w:color="auto" w:sz="4" w:space="0"/>
              <w:right w:val="single" w:color="auto" w:sz="4" w:space="0"/>
            </w:tcBorders>
            <w:vAlign w:val="center"/>
          </w:tcPr>
          <w:p>
            <w:pPr>
              <w:shd w:val="clea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投标文件第一个信封（商务及技术文件）开标时间：同投标截止时间</w:t>
            </w:r>
          </w:p>
          <w:p>
            <w:pPr>
              <w:shd w:val="clea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投标文件第二个信封（报价文件）开标时间：另行通知</w:t>
            </w:r>
          </w:p>
          <w:p>
            <w:pPr>
              <w:shd w:val="clea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kern w:val="2"/>
                <w:sz w:val="24"/>
                <w:szCs w:val="24"/>
                <w:highlight w:val="none"/>
                <w:lang w:val="en-US" w:eastAsia="zh-CN" w:bidi="ar-SA"/>
              </w:rPr>
              <w:t>地点：</w:t>
            </w:r>
            <w:r>
              <w:rPr>
                <w:rFonts w:hint="default" w:ascii="Times New Roman" w:hAnsi="Times New Roman" w:cs="Times New Roman"/>
                <w:color w:val="auto"/>
                <w:kern w:val="2"/>
                <w:sz w:val="24"/>
                <w:szCs w:val="24"/>
                <w:highlight w:val="none"/>
                <w:u w:val="single"/>
                <w:lang w:val="en-US" w:eastAsia="zh-CN" w:bidi="ar-SA"/>
              </w:rPr>
              <w:t xml:space="preserve">                   </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5.2.1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第一个信封（商务及技术文件）开标程序</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numPr>
                <w:ilvl w:val="0"/>
                <w:numId w:val="0"/>
              </w:numPr>
              <w:kinsoku/>
              <w:wordWrap w:val="0"/>
              <w:bidi w:val="0"/>
              <w:spacing w:line="440" w:lineRule="exact"/>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eastAsia="zh-CN"/>
              </w:rPr>
              <w:t>投标文件</w:t>
            </w:r>
            <w:r>
              <w:rPr>
                <w:rFonts w:hint="default" w:ascii="Times New Roman" w:hAnsi="Times New Roman" w:cs="Times New Roman"/>
                <w:color w:val="auto"/>
                <w:sz w:val="24"/>
                <w:szCs w:val="24"/>
                <w:highlight w:val="none"/>
                <w:lang w:val="en-US" w:eastAsia="zh-CN"/>
              </w:rPr>
              <w:t>第一个信封</w:t>
            </w:r>
            <w:r>
              <w:rPr>
                <w:rFonts w:hint="default" w:ascii="Times New Roman" w:hAnsi="Times New Roman" w:cs="Times New Roman"/>
                <w:color w:val="auto"/>
                <w:sz w:val="24"/>
                <w:szCs w:val="24"/>
                <w:highlight w:val="none"/>
              </w:rPr>
              <w:t>（商务及技术文件）</w:t>
            </w:r>
            <w:r>
              <w:rPr>
                <w:rFonts w:hint="default" w:ascii="Times New Roman" w:hAnsi="Times New Roman" w:cs="Times New Roman"/>
                <w:color w:val="auto"/>
                <w:sz w:val="24"/>
                <w:szCs w:val="24"/>
                <w:highlight w:val="none"/>
                <w:lang w:eastAsia="zh-CN"/>
              </w:rPr>
              <w:t>解密</w:t>
            </w:r>
            <w:r>
              <w:rPr>
                <w:rFonts w:hint="default" w:ascii="Times New Roman" w:hAnsi="Times New Roman" w:cs="Times New Roman"/>
                <w:color w:val="auto"/>
                <w:sz w:val="24"/>
                <w:szCs w:val="24"/>
                <w:highlight w:val="none"/>
                <w:lang w:val="en-US" w:eastAsia="zh-CN"/>
              </w:rPr>
              <w:t>时长：</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eastAsia="zh-CN"/>
              </w:rPr>
              <w:t xml:space="preserve"> </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u w:val="none"/>
                <w:lang w:val="en-US" w:eastAsia="zh-CN"/>
              </w:rPr>
              <w:t>分钟，当所有上传的电子投标文件均完成解密时，时长相应缩短。</w:t>
            </w:r>
          </w:p>
          <w:p>
            <w:pPr>
              <w:pageBreakBefore w:val="0"/>
              <w:numPr>
                <w:ilvl w:val="0"/>
                <w:numId w:val="0"/>
              </w:numPr>
              <w:kinsoku/>
              <w:wordWrap w:val="0"/>
              <w:bidi w:val="0"/>
              <w:spacing w:line="440" w:lineRule="exact"/>
              <w:ind w:left="0" w:lef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投标人必须在</w:t>
            </w:r>
            <w:r>
              <w:rPr>
                <w:rFonts w:hint="default" w:ascii="Times New Roman" w:hAnsi="Times New Roman"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lang w:eastAsia="zh-CN"/>
              </w:rPr>
              <w:t>解密时间</w:t>
            </w:r>
            <w:r>
              <w:rPr>
                <w:rFonts w:hint="default" w:ascii="Times New Roman" w:hAnsi="Times New Roman" w:cs="Times New Roman"/>
                <w:color w:val="auto"/>
                <w:sz w:val="24"/>
                <w:szCs w:val="24"/>
                <w:highlight w:val="none"/>
                <w:lang w:val="en-US" w:eastAsia="zh-CN"/>
              </w:rPr>
              <w:t>内</w:t>
            </w:r>
            <w:r>
              <w:rPr>
                <w:rFonts w:hint="default" w:ascii="Times New Roman" w:hAnsi="Times New Roman" w:cs="Times New Roman"/>
                <w:color w:val="auto"/>
                <w:sz w:val="24"/>
                <w:szCs w:val="24"/>
                <w:highlight w:val="none"/>
                <w:lang w:eastAsia="zh-CN"/>
              </w:rPr>
              <w:t>完成投标文件的远程解密。</w:t>
            </w:r>
            <w:r>
              <w:rPr>
                <w:rFonts w:hint="default" w:ascii="Times New Roman" w:hAnsi="Times New Roman" w:cs="Times New Roman"/>
                <w:color w:val="auto"/>
                <w:sz w:val="24"/>
                <w:szCs w:val="24"/>
                <w:highlight w:val="none"/>
                <w:lang w:val="en-US" w:eastAsia="zh-CN"/>
              </w:rPr>
              <w:t>除特殊说明情况外，若出现在规定时间未成功解密的情况，视为撤销投标文件</w:t>
            </w:r>
            <w:r>
              <w:rPr>
                <w:rFonts w:hint="default" w:ascii="Times New Roman" w:hAnsi="Times New Roman" w:cs="Times New Roman"/>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5.2.3</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overflowPunct/>
              <w:autoSpaceDE/>
              <w:autoSpaceDN/>
              <w:bidi w:val="0"/>
              <w:spacing w:line="400" w:lineRule="exac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第二个信封（报价文件）开标程序</w:t>
            </w:r>
          </w:p>
        </w:tc>
        <w:tc>
          <w:tcPr>
            <w:tcW w:w="2785" w:type="pct"/>
            <w:tcBorders>
              <w:top w:val="single" w:color="auto" w:sz="4" w:space="0"/>
              <w:left w:val="single" w:color="auto" w:sz="4" w:space="0"/>
              <w:bottom w:val="single" w:color="auto" w:sz="4" w:space="0"/>
              <w:right w:val="single" w:color="auto" w:sz="4" w:space="0"/>
            </w:tcBorders>
            <w:vAlign w:val="center"/>
          </w:tcPr>
          <w:p>
            <w:pPr>
              <w:wordWrap w:val="0"/>
              <w:spacing w:line="440" w:lineRule="exact"/>
              <w:rPr>
                <w:rFonts w:hint="default" w:ascii="Times New Roman" w:hAnsi="Times New Roman" w:cs="Times New Roman"/>
                <w:color w:val="auto"/>
                <w:sz w:val="24"/>
                <w:highlight w:val="none"/>
                <w:lang w:eastAsia="zh"/>
              </w:rPr>
            </w:pP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4</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eastAsia="zh-CN"/>
              </w:rPr>
              <w:t>投标文件</w:t>
            </w:r>
            <w:r>
              <w:rPr>
                <w:rFonts w:hint="default" w:ascii="Times New Roman" w:hAnsi="Times New Roman" w:cs="Times New Roman"/>
                <w:color w:val="auto"/>
                <w:sz w:val="24"/>
                <w:szCs w:val="24"/>
                <w:highlight w:val="none"/>
              </w:rPr>
              <w:t>第二个信封（报价文件）</w:t>
            </w:r>
            <w:r>
              <w:rPr>
                <w:rFonts w:hint="default" w:ascii="Times New Roman" w:hAnsi="Times New Roman" w:cs="Times New Roman"/>
                <w:color w:val="auto"/>
                <w:sz w:val="24"/>
                <w:szCs w:val="24"/>
                <w:highlight w:val="none"/>
                <w:lang w:eastAsia="zh-CN"/>
              </w:rPr>
              <w:t>解密</w:t>
            </w:r>
            <w:r>
              <w:rPr>
                <w:rFonts w:hint="default" w:ascii="Times New Roman" w:hAnsi="Times New Roman" w:cs="Times New Roman"/>
                <w:color w:val="auto"/>
                <w:sz w:val="24"/>
                <w:szCs w:val="24"/>
                <w:highlight w:val="none"/>
                <w:lang w:val="en-US" w:eastAsia="zh-CN"/>
              </w:rPr>
              <w:t>时长：</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eastAsia="zh-CN"/>
              </w:rPr>
              <w:t xml:space="preserve"> </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lang w:eastAsia="zh"/>
              </w:rPr>
              <w:t>分钟，当所有参与第二个信封评审的电子投标文件均完成解密时，时长相应缩短。</w:t>
            </w:r>
          </w:p>
          <w:p>
            <w:pPr>
              <w:rPr>
                <w:rFonts w:hint="default" w:ascii="Times New Roman" w:hAnsi="Times New Roman" w:cs="Times New Roman"/>
                <w:color w:val="auto"/>
                <w:highlight w:val="none"/>
              </w:rPr>
            </w:pPr>
          </w:p>
          <w:p>
            <w:pPr>
              <w:pageBreakBefore w:val="0"/>
              <w:kinsoku/>
              <w:wordWrap w:val="0"/>
              <w:bidi w:val="0"/>
              <w:spacing w:line="44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投标人必须在</w:t>
            </w:r>
            <w:r>
              <w:rPr>
                <w:rFonts w:hint="default" w:ascii="Times New Roman" w:hAnsi="Times New Roman"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lang w:eastAsia="zh-CN"/>
              </w:rPr>
              <w:t>解密时间</w:t>
            </w:r>
            <w:r>
              <w:rPr>
                <w:rFonts w:hint="default" w:ascii="Times New Roman" w:hAnsi="Times New Roman" w:cs="Times New Roman"/>
                <w:color w:val="auto"/>
                <w:sz w:val="24"/>
                <w:szCs w:val="24"/>
                <w:highlight w:val="none"/>
                <w:lang w:val="en-US" w:eastAsia="zh-CN"/>
              </w:rPr>
              <w:t>内</w:t>
            </w:r>
            <w:r>
              <w:rPr>
                <w:rFonts w:hint="default" w:ascii="Times New Roman" w:hAnsi="Times New Roman" w:cs="Times New Roman"/>
                <w:color w:val="auto"/>
                <w:sz w:val="24"/>
                <w:szCs w:val="24"/>
                <w:highlight w:val="none"/>
                <w:lang w:eastAsia="zh-CN"/>
              </w:rPr>
              <w:t>完成投标文件的远程解密。除特殊说明情况外，若出现在规定时间未成功解密的情况，视为撤销投标文件。投标人应确保</w:t>
            </w:r>
            <w:r>
              <w:rPr>
                <w:rFonts w:hint="eastAsia" w:ascii="宋体" w:hAnsi="宋体" w:eastAsia="宋体" w:cs="宋体"/>
                <w:color w:val="auto"/>
                <w:sz w:val="24"/>
                <w:szCs w:val="24"/>
                <w:highlight w:val="none"/>
                <w:lang w:eastAsia="zh-CN"/>
              </w:rPr>
              <w:t>“不见面开标大厅”</w:t>
            </w:r>
            <w:r>
              <w:rPr>
                <w:rFonts w:hint="default" w:ascii="Times New Roman" w:hAnsi="Times New Roman" w:cs="Times New Roman"/>
                <w:color w:val="auto"/>
                <w:sz w:val="24"/>
                <w:szCs w:val="24"/>
                <w:highlight w:val="none"/>
                <w:lang w:eastAsia="zh-CN"/>
              </w:rPr>
              <w:t>所留项目联系方式正确且开评标期间全程畅通。如若投标人未解密文件或投标人电话未接通或投标人所留联系方式不正确，均视为自动放弃，按未递交处理。</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5.3.1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开标补救措施</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6.1.1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评标委员会的组建</w:t>
            </w:r>
            <w:r>
              <w:rPr>
                <w:rStyle w:val="45"/>
                <w:rFonts w:hint="default" w:ascii="Times New Roman" w:hAnsi="Times New Roman" w:cs="Times New Roman"/>
                <w:color w:val="auto"/>
                <w:sz w:val="24"/>
                <w:szCs w:val="24"/>
                <w:highlight w:val="none"/>
              </w:rPr>
              <w:footnoteReference w:id="12"/>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评标委员会构成：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人，其中招标人代表</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人，专家</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w:t>
            </w:r>
          </w:p>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评标专家确定方式：依法从相应评标专家库中随机抽取</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6.3.2</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评标委员会推荐中标候选人的人数</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rPr>
                <w:rFonts w:hint="default" w:ascii="Times New Roman" w:hAnsi="Times New Roman" w:cs="Times New Roman"/>
                <w:color w:val="auto"/>
                <w:spacing w:val="10"/>
                <w:sz w:val="24"/>
                <w:szCs w:val="24"/>
                <w:highlight w:val="none"/>
                <w:bdr w:val="single" w:color="auto" w:sz="4" w:space="0"/>
              </w:rPr>
            </w:pP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中标候选人公示媒介及期限</w:t>
            </w:r>
          </w:p>
        </w:tc>
        <w:tc>
          <w:tcPr>
            <w:tcW w:w="278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公示媒介：</w:t>
            </w:r>
          </w:p>
          <w:p>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公示期限：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p>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公示的其他内容：</w:t>
            </w:r>
          </w:p>
          <w:p>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u w:val="single"/>
              </w:rPr>
              <w:t>详细评审的评标委员会成员打分</w:t>
            </w:r>
          </w:p>
          <w:p>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u w:val="single"/>
              </w:rPr>
              <w:t>受理异议和投诉的联系方式</w:t>
            </w:r>
          </w:p>
          <w:p>
            <w:pPr>
              <w:pStyle w:val="16"/>
              <w:keepNext w:val="0"/>
              <w:keepLines w:val="0"/>
              <w:pageBreakBefore w:val="0"/>
              <w:widowControl w:val="0"/>
              <w:kinsoku/>
              <w:overflowPunct/>
              <w:topLinePunct w:val="0"/>
              <w:autoSpaceDE/>
              <w:autoSpaceDN/>
              <w:bidi w:val="0"/>
              <w:adjustRightInd/>
              <w:snapToGrid/>
              <w:spacing w:line="440" w:lineRule="exact"/>
              <w:textAlignment w:val="auto"/>
              <w:outlineLvl w:val="9"/>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360" w:lineRule="atLeast"/>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u w:val="none"/>
              </w:rPr>
              <w:t>如发现投标人存在弄虚作假行为，招标人将取消其中标候选人资格，并上报省级交通主管部门，作为不良记录纳入</w:t>
            </w:r>
            <w:r>
              <w:rPr>
                <w:rFonts w:hint="default" w:ascii="Times New Roman" w:hAnsi="Times New Roman" w:cs="Times New Roman"/>
                <w:color w:val="auto"/>
                <w:sz w:val="24"/>
                <w:szCs w:val="24"/>
                <w:highlight w:val="none"/>
                <w:u w:val="none"/>
                <w:lang w:eastAsia="zh-CN"/>
              </w:rPr>
              <w:t>全国公路建设市场监督管理系统</w:t>
            </w:r>
            <w:r>
              <w:rPr>
                <w:rFonts w:hint="default" w:ascii="Times New Roman" w:hAnsi="Times New Roman" w:cs="Times New Roman"/>
                <w:color w:val="auto"/>
                <w:sz w:val="24"/>
                <w:szCs w:val="24"/>
                <w:highlight w:val="none"/>
                <w:u w:val="none"/>
              </w:rPr>
              <w:t>。</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7.4</w:t>
            </w:r>
            <w:r>
              <w:rPr>
                <w:rFonts w:hint="default" w:ascii="Times New Roman" w:hAnsi="Times New Roman" w:cs="Times New Roman"/>
                <w:color w:val="auto"/>
                <w:sz w:val="24"/>
                <w:szCs w:val="24"/>
                <w:highlight w:val="none"/>
                <w:lang w:val="en-US" w:eastAsia="zh-CN"/>
              </w:rPr>
              <w:t>.1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是否授权评标委员会确定中标人</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是</w:t>
            </w:r>
          </w:p>
          <w:p>
            <w:pPr>
              <w:pageBreakBefore w:val="0"/>
              <w:kinsoku/>
              <w:wordWrap w:val="0"/>
              <w:overflowPunct/>
              <w:autoSpaceDE/>
              <w:autoSpaceDN/>
              <w:bidi w:val="0"/>
              <w:snapToGrid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否</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7.4.2</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定标规则</w:t>
            </w:r>
            <w:r>
              <w:rPr>
                <w:rStyle w:val="45"/>
                <w:rFonts w:hint="default" w:ascii="Times New Roman" w:hAnsi="Times New Roman" w:cs="Times New Roman"/>
                <w:color w:val="auto"/>
                <w:sz w:val="24"/>
                <w:szCs w:val="24"/>
                <w:highlight w:val="none"/>
                <w:lang w:val="en-US" w:eastAsia="zh-CN"/>
              </w:rPr>
              <w:footnoteReference w:id="13"/>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napToGrid w:val="0"/>
              <w:spacing w:line="360" w:lineRule="atLeast"/>
              <w:rPr>
                <w:rFonts w:hint="default" w:ascii="Times New Roman" w:hAnsi="Times New Roman" w:cs="Times New Roman"/>
                <w:color w:val="auto"/>
                <w:sz w:val="24"/>
                <w:highlight w:val="none"/>
                <w:lang w:eastAsia="zh-CN"/>
              </w:rPr>
            </w:pP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7.5</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中标通知书和中标结果通知发出的形式</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40" w:lineRule="exac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lang w:val="en-US" w:eastAsia="zh-CN"/>
              </w:rPr>
              <w:t>书面形式</w:t>
            </w:r>
          </w:p>
          <w:p>
            <w:pPr>
              <w:pageBreakBefore w:val="0"/>
              <w:kinsoku/>
              <w:wordWrap w:val="0"/>
              <w:overflowPunct/>
              <w:autoSpaceDE/>
              <w:autoSpaceDN/>
              <w:bidi w:val="0"/>
              <w:spacing w:line="360" w:lineRule="atLeast"/>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lang w:val="en-US" w:eastAsia="zh-CN"/>
              </w:rPr>
              <w:t xml:space="preserve">电子形式：            </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7.6</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中标结果公告媒介及期限</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公告媒介：</w:t>
            </w:r>
          </w:p>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公告期限：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7.7</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overflowPunct/>
              <w:autoSpaceDE/>
              <w:autoSpaceDN/>
              <w:bidi w:val="0"/>
              <w:spacing w:line="360" w:lineRule="atLeast"/>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履约保证金</w:t>
            </w:r>
          </w:p>
        </w:tc>
        <w:tc>
          <w:tcPr>
            <w:tcW w:w="2785" w:type="pct"/>
            <w:tcBorders>
              <w:top w:val="single" w:color="auto" w:sz="4" w:space="0"/>
              <w:left w:val="single" w:color="auto" w:sz="4" w:space="0"/>
              <w:bottom w:val="single" w:color="auto" w:sz="4" w:space="0"/>
              <w:right w:val="single" w:color="auto" w:sz="4" w:space="0"/>
            </w:tcBorders>
            <w:vAlign w:val="center"/>
          </w:tcPr>
          <w:p>
            <w:pPr>
              <w:pStyle w:val="15"/>
              <w:pageBreakBefore w:val="0"/>
              <w:kinsoku/>
              <w:overflowPunct/>
              <w:topLine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是否要求中标人提交履约保证金：</w:t>
            </w:r>
          </w:p>
          <w:p>
            <w:pPr>
              <w:pStyle w:val="15"/>
              <w:keepNext w:val="0"/>
              <w:keepLines w:val="0"/>
              <w:pageBreakBefore w:val="0"/>
              <w:widowControl w:val="0"/>
              <w:kinsoku/>
              <w:wordWrap w:val="0"/>
              <w:overflowPunct/>
              <w:topLinePunct/>
              <w:autoSpaceDE/>
              <w:autoSpaceDN/>
              <w:bidi w:val="0"/>
              <w:adjustRightInd/>
              <w:snapToGrid/>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要求，履约保证金的形式：</w:t>
            </w:r>
            <w:r>
              <w:rPr>
                <w:rFonts w:hint="default" w:ascii="Times New Roman" w:hAnsi="Times New Roman" w:cs="Times New Roman"/>
                <w:color w:val="auto"/>
                <w:sz w:val="24"/>
                <w:szCs w:val="24"/>
                <w:highlight w:val="none"/>
                <w:u w:val="single"/>
                <w:lang w:val="en-US" w:eastAsia="zh-CN"/>
              </w:rPr>
              <w:t xml:space="preserve">    </w:t>
            </w:r>
            <w:r>
              <w:rPr>
                <w:rStyle w:val="45"/>
                <w:rFonts w:hint="default" w:ascii="Times New Roman" w:hAnsi="Times New Roman" w:cs="Times New Roman"/>
                <w:color w:val="auto"/>
                <w:sz w:val="24"/>
                <w:szCs w:val="24"/>
                <w:highlight w:val="none"/>
              </w:rPr>
              <w:footnoteReference w:id="14"/>
            </w:r>
          </w:p>
          <w:p>
            <w:pPr>
              <w:keepNext w:val="0"/>
              <w:keepLines w:val="0"/>
              <w:pageBreakBefore w:val="0"/>
              <w:widowControl w:val="0"/>
              <w:kinsoku/>
              <w:wordWrap w:val="0"/>
              <w:overflowPunct/>
              <w:autoSpaceDE/>
              <w:autoSpaceDN/>
              <w:bidi w:val="0"/>
              <w:adjustRightInd/>
              <w:snapToGrid/>
              <w:spacing w:line="360" w:lineRule="atLeast"/>
              <w:ind w:firstLine="480" w:firstLineChars="200"/>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履约保证金的金额：</w:t>
            </w:r>
            <w:r>
              <w:rPr>
                <w:rFonts w:hint="default" w:ascii="Times New Roman" w:hAnsi="Times New Roman" w:cs="Times New Roman"/>
                <w:color w:val="auto"/>
                <w:sz w:val="24"/>
                <w:szCs w:val="24"/>
                <w:highlight w:val="none"/>
                <w:u w:val="single"/>
              </w:rPr>
              <w:t xml:space="preserve">    </w:t>
            </w:r>
            <w:r>
              <w:rPr>
                <w:rStyle w:val="45"/>
                <w:rFonts w:hint="default" w:ascii="Times New Roman" w:hAnsi="Times New Roman" w:cs="Times New Roman"/>
                <w:color w:val="auto"/>
                <w:sz w:val="24"/>
                <w:highlight w:val="none"/>
              </w:rPr>
              <w:footnoteReference w:id="15"/>
            </w:r>
          </w:p>
          <w:p>
            <w:pPr>
              <w:keepNext w:val="0"/>
              <w:keepLines w:val="0"/>
              <w:pageBreakBefore w:val="0"/>
              <w:widowControl w:val="0"/>
              <w:kinsoku/>
              <w:wordWrap w:val="0"/>
              <w:overflowPunct/>
              <w:autoSpaceDE/>
              <w:autoSpaceDN/>
              <w:bidi w:val="0"/>
              <w:adjustRightInd/>
              <w:snapToGrid/>
              <w:spacing w:line="360" w:lineRule="atLeast"/>
              <w:ind w:firstLine="448" w:firstLineChars="200"/>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pacing w:val="-8"/>
                <w:sz w:val="24"/>
                <w:szCs w:val="24"/>
                <w:highlight w:val="none"/>
              </w:rPr>
              <w:t>采用银行保函时，出具保函的银行级别</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val="0"/>
              <w:overflowPunct/>
              <w:autoSpaceDE/>
              <w:autoSpaceDN/>
              <w:bidi w:val="0"/>
              <w:adjustRightInd/>
              <w:snapToGrid/>
              <w:spacing w:line="360" w:lineRule="atLeast"/>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rPr>
              <w:t>不要求</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8.5.1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r>
              <w:rPr>
                <w:rFonts w:hint="default" w:ascii="Times New Roman" w:hAnsi="Times New Roman" w:cs="Times New Roman"/>
                <w:color w:val="auto"/>
                <w:sz w:val="24"/>
                <w:szCs w:val="24"/>
                <w:highlight w:val="none"/>
                <w:u w:val="single"/>
              </w:rPr>
              <w:t xml:space="preserve">            </w:t>
            </w:r>
          </w:p>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cs="Times New Roman"/>
                <w:color w:val="auto"/>
                <w:sz w:val="24"/>
                <w:szCs w:val="24"/>
                <w:highlight w:val="none"/>
                <w:u w:val="single"/>
              </w:rPr>
              <w:t xml:space="preserve">            </w:t>
            </w:r>
          </w:p>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电    话：</w:t>
            </w:r>
            <w:r>
              <w:rPr>
                <w:rFonts w:hint="default" w:ascii="Times New Roman" w:hAnsi="Times New Roman" w:cs="Times New Roman"/>
                <w:color w:val="auto"/>
                <w:sz w:val="24"/>
                <w:szCs w:val="24"/>
                <w:highlight w:val="none"/>
                <w:u w:val="single"/>
              </w:rPr>
              <w:t xml:space="preserve">            </w:t>
            </w:r>
          </w:p>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cs="Times New Roman"/>
                <w:color w:val="auto"/>
                <w:sz w:val="24"/>
                <w:szCs w:val="24"/>
                <w:highlight w:val="none"/>
                <w:u w:val="single"/>
              </w:rPr>
              <w:t xml:space="preserve">            </w:t>
            </w:r>
          </w:p>
          <w:p>
            <w:pPr>
              <w:pageBreakBefore w:val="0"/>
              <w:kinsoku/>
              <w:wordWrap w:val="0"/>
              <w:overflowPunct/>
              <w:autoSpaceDE/>
              <w:autoSpaceDN/>
              <w:bidi w:val="0"/>
              <w:spacing w:line="360" w:lineRule="atLeast"/>
              <w:textAlignment w:val="auto"/>
              <w:outlineLvl w:val="9"/>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邮政编码：</w:t>
            </w:r>
            <w:r>
              <w:rPr>
                <w:rFonts w:hint="default" w:ascii="Times New Roman" w:hAnsi="Times New Roman" w:cs="Times New Roman"/>
                <w:color w:val="auto"/>
                <w:sz w:val="24"/>
                <w:szCs w:val="24"/>
                <w:highlight w:val="none"/>
                <w:u w:val="single"/>
              </w:rPr>
              <w:t xml:space="preserve">            </w:t>
            </w:r>
          </w:p>
          <w:p>
            <w:pPr>
              <w:widowControl w:val="0"/>
              <w:spacing w:line="36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补充：</w:t>
            </w:r>
          </w:p>
          <w:p>
            <w:pPr>
              <w:widowControl w:val="0"/>
              <w:spacing w:line="36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行政监督部门按照《招标投标法实施条例》《工程建设项目招标投标活动投诉处理办法》（2013年3月国家发展改革委第23号令修改）、《</w:t>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HYPERLINK "https://www.ndrc.gov.cn/xwdt/tzgg/202102/t20210225_1267906.html"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u w:val="none"/>
                <w:lang w:val="en-US" w:eastAsia="zh-CN" w:bidi="ar-SA"/>
              </w:rPr>
              <w:t>关于建立健全招标投标领域优化营商环境长效机制的通知</w:t>
            </w:r>
            <w:r>
              <w:rPr>
                <w:rFonts w:hint="default" w:ascii="Times New Roman" w:hAnsi="Times New Roman" w:eastAsia="宋体" w:cs="Times New Roman"/>
                <w:color w:val="auto"/>
                <w:kern w:val="2"/>
                <w:sz w:val="24"/>
                <w:szCs w:val="24"/>
                <w:highlight w:val="none"/>
                <w:u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bCs/>
                <w:color w:val="auto"/>
                <w:kern w:val="2"/>
                <w:sz w:val="24"/>
                <w:szCs w:val="24"/>
                <w:highlight w:val="none"/>
                <w:lang w:val="en-US" w:eastAsia="zh-CN" w:bidi="ar-SA"/>
              </w:rPr>
              <w:t>发改法规〔2021〕240号）、交通运输部</w:t>
            </w:r>
            <w:r>
              <w:rPr>
                <w:rFonts w:hint="default" w:ascii="Times New Roman" w:hAnsi="Times New Roman" w:eastAsia="宋体" w:cs="Times New Roman"/>
                <w:color w:val="auto"/>
                <w:kern w:val="2"/>
                <w:sz w:val="24"/>
                <w:szCs w:val="24"/>
                <w:highlight w:val="none"/>
                <w:lang w:val="en-US" w:eastAsia="zh-CN" w:bidi="ar-SA"/>
              </w:rPr>
              <w:t>《公路工程建设项目招标投标管理办法》等相关规定，接受针对公示内容的投诉。投诉材料要求、投诉受理条件及查处按照上述规定执行。</w:t>
            </w:r>
          </w:p>
          <w:p>
            <w:pPr>
              <w:spacing w:line="36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（1）如果投标人或其他利害关系人就招标文件、开标及评标结果等事项投诉的，应当按法律、法规有关异议的规定先向招标人提出异议，对招标人的答复不满意或招标人未答复的，可向有关行政监督部门投诉。</w:t>
            </w:r>
          </w:p>
          <w:p>
            <w:pPr>
              <w:spacing w:line="36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于按法律法规规定需要先提出异议的投诉，行政监督部门在受理投诉时另要求投诉人递交提出异议的证明文件，已向其他有关行政监督部门投诉的，应当一并说明。未按规定提出异议或者未提交已提出异议的证明文件的投诉，不予受理。</w:t>
            </w:r>
          </w:p>
          <w:p>
            <w:pPr>
              <w:spacing w:line="36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投诉人缺乏事实根据或者法律依据进行投诉的，或者有证据表明投诉人捏造事实、伪造材料的，或者投诉人以非法手段取得证明材料进行投诉的，交通运输主管部门应当予以驳回，并对恶意投诉按照有关规定追究投诉人责任。</w:t>
            </w:r>
          </w:p>
          <w:p>
            <w:pPr>
              <w:pageBreakBefore w:val="0"/>
              <w:kinsoku/>
              <w:wordWrap w:val="0"/>
              <w:overflowPunct/>
              <w:bidi w:val="0"/>
              <w:spacing w:line="360" w:lineRule="atLeast"/>
              <w:rPr>
                <w:rFonts w:hint="default" w:ascii="Times New Roman" w:hAnsi="Times New Roman" w:cs="Times New Roman"/>
                <w:color w:val="auto"/>
                <w:sz w:val="24"/>
                <w:szCs w:val="24"/>
                <w:highlight w:val="none"/>
                <w:u w:val="single"/>
              </w:rPr>
            </w:pPr>
            <w:r>
              <w:rPr>
                <w:rFonts w:hint="default" w:ascii="Times New Roman" w:hAnsi="Times New Roman" w:eastAsia="宋体" w:cs="Times New Roman"/>
                <w:color w:val="auto"/>
                <w:sz w:val="24"/>
                <w:szCs w:val="24"/>
                <w:highlight w:val="none"/>
              </w:rPr>
              <w:t>（4）行政监督部门对投诉事项作出的处理决定，在对该项目具有招标监督职责的部门网站上进行公告，包括投诉的事由、调查结果、处理决定、处罚依据以及处罚意见等内容。</w:t>
            </w:r>
          </w:p>
        </w:tc>
      </w:tr>
      <w:tr>
        <w:tblPrEx>
          <w:tblCellMar>
            <w:top w:w="0" w:type="dxa"/>
            <w:left w:w="108" w:type="dxa"/>
            <w:bottom w:w="0" w:type="dxa"/>
            <w:right w:w="108" w:type="dxa"/>
          </w:tblCellMar>
        </w:tblPrEx>
        <w:trPr>
          <w:trHeight w:val="340"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需要补充的其他内容</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9.1</w:t>
            </w:r>
          </w:p>
        </w:tc>
        <w:tc>
          <w:tcPr>
            <w:tcW w:w="164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承包人建议书和承包人实施计划的编制要求</w:t>
            </w:r>
            <w:r>
              <w:rPr>
                <w:rStyle w:val="45"/>
                <w:rFonts w:hint="default" w:ascii="Times New Roman" w:hAnsi="Times New Roman" w:cs="Times New Roman"/>
                <w:color w:val="auto"/>
                <w:sz w:val="24"/>
                <w:szCs w:val="24"/>
                <w:highlight w:val="none"/>
                <w:lang w:val="en-US" w:eastAsia="zh-CN"/>
              </w:rPr>
              <w:footnoteReference w:id="16"/>
            </w:r>
          </w:p>
        </w:tc>
        <w:tc>
          <w:tcPr>
            <w:tcW w:w="2785"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投标文件</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承包人建议书和承包人实施计划</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编制要求：</w:t>
            </w:r>
          </w:p>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采用暗标形式，必须按下列格式编制，否则视为未对招标文件作出实质性响应，按否决投标处理。</w:t>
            </w:r>
          </w:p>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（1）采用</w:t>
            </w:r>
            <w:r>
              <w:rPr>
                <w:rFonts w:hint="default" w:ascii="Times New Roman" w:hAnsi="Times New Roman" w:cs="Times New Roman"/>
                <w:color w:val="auto"/>
                <w:sz w:val="24"/>
                <w:szCs w:val="24"/>
                <w:highlight w:val="none"/>
                <w:u w:val="single"/>
                <w:lang w:val="en-US" w:eastAsia="zh-CN"/>
              </w:rPr>
              <w:t xml:space="preserve"> A4 </w:t>
            </w:r>
            <w:r>
              <w:rPr>
                <w:rFonts w:hint="default" w:ascii="Times New Roman" w:hAnsi="Times New Roman" w:cs="Times New Roman"/>
                <w:color w:val="auto"/>
                <w:sz w:val="24"/>
                <w:szCs w:val="24"/>
                <w:highlight w:val="none"/>
              </w:rPr>
              <w:t>纸张。页边距：</w:t>
            </w:r>
            <w:r>
              <w:rPr>
                <w:rFonts w:hint="default" w:ascii="Times New Roman" w:hAnsi="Times New Roman" w:cs="Times New Roman"/>
                <w:color w:val="auto"/>
                <w:sz w:val="24"/>
                <w:szCs w:val="24"/>
                <w:highlight w:val="none"/>
                <w:u w:val="single"/>
                <w:lang w:val="en-US" w:eastAsia="zh-CN"/>
              </w:rPr>
              <w:t xml:space="preserve"> 左边距为3.17厘米、右边及上下边距为2.54厘米</w:t>
            </w:r>
            <w:r>
              <w:rPr>
                <w:rFonts w:hint="default" w:ascii="Times New Roman" w:hAnsi="Times New Roman" w:cs="Times New Roman"/>
                <w:color w:val="auto"/>
                <w:sz w:val="24"/>
                <w:szCs w:val="24"/>
                <w:highlight w:val="none"/>
              </w:rPr>
              <w:t>。</w:t>
            </w:r>
          </w:p>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（2）除图纸、图表外所用文字采用</w:t>
            </w:r>
            <w:r>
              <w:rPr>
                <w:rFonts w:hint="default" w:ascii="Times New Roman" w:hAnsi="Times New Roman" w:cs="Times New Roman"/>
                <w:color w:val="auto"/>
                <w:sz w:val="24"/>
                <w:szCs w:val="24"/>
                <w:highlight w:val="none"/>
                <w:u w:val="single"/>
                <w:lang w:val="en-US" w:eastAsia="zh-CN"/>
              </w:rPr>
              <w:t xml:space="preserve"> 黑色宋体四号（含标题及目录） </w:t>
            </w:r>
            <w:r>
              <w:rPr>
                <w:rFonts w:hint="default" w:ascii="Times New Roman" w:hAnsi="Times New Roman" w:cs="Times New Roman"/>
                <w:color w:val="auto"/>
                <w:sz w:val="24"/>
                <w:szCs w:val="24"/>
                <w:highlight w:val="none"/>
              </w:rPr>
              <w:t>，图纸、图表中所有文字采用</w:t>
            </w:r>
            <w:r>
              <w:rPr>
                <w:rFonts w:hint="default" w:ascii="Times New Roman" w:hAnsi="Times New Roman" w:cs="Times New Roman"/>
                <w:color w:val="auto"/>
                <w:sz w:val="24"/>
                <w:szCs w:val="24"/>
                <w:highlight w:val="none"/>
                <w:u w:val="single"/>
                <w:lang w:val="en-US" w:eastAsia="zh-CN"/>
              </w:rPr>
              <w:t xml:space="preserve"> 黑色宋体五号 </w:t>
            </w:r>
            <w:r>
              <w:rPr>
                <w:rFonts w:hint="default" w:ascii="Times New Roman" w:hAnsi="Times New Roman" w:cs="Times New Roman"/>
                <w:color w:val="auto"/>
                <w:sz w:val="24"/>
                <w:szCs w:val="24"/>
                <w:highlight w:val="none"/>
              </w:rPr>
              <w:t>；不得有任何加粗、斜体、下划线、边框、底纹、阴影等标记。不得设置页码、页眉、页脚；段落设置：</w:t>
            </w:r>
            <w:r>
              <w:rPr>
                <w:rFonts w:hint="default" w:ascii="Times New Roman" w:hAnsi="Times New Roman" w:cs="Times New Roman"/>
                <w:color w:val="auto"/>
                <w:sz w:val="24"/>
                <w:szCs w:val="24"/>
                <w:highlight w:val="none"/>
                <w:u w:val="single"/>
                <w:lang w:val="en-US" w:eastAsia="zh-CN"/>
              </w:rPr>
              <w:t xml:space="preserve"> 行距为固定值18磅 </w:t>
            </w:r>
            <w:r>
              <w:rPr>
                <w:rFonts w:hint="default" w:ascii="Times New Roman" w:hAnsi="Times New Roman" w:cs="Times New Roman"/>
                <w:color w:val="auto"/>
                <w:sz w:val="24"/>
                <w:szCs w:val="24"/>
                <w:highlight w:val="none"/>
              </w:rPr>
              <w:t>，段落设置中</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如果定义了文档网格，则自动调整右缩进</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不打勾，</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如果定义了文档网格，则对齐到网格</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要打勾。</w:t>
            </w:r>
          </w:p>
          <w:p>
            <w:pPr>
              <w:pageBreakBefore w:val="0"/>
              <w:kinsoku/>
              <w:wordWrap w:val="0"/>
              <w:bidi w:val="0"/>
              <w:spacing w:line="440" w:lineRule="exact"/>
              <w:jc w:val="both"/>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rPr>
              <w:t>（3）内容、文字均不得出现彩色文字与彩色图形，不得出现投标单位名称、相关人员姓名等能体现有关投标单位信息的提示性标记、文字、语句等，不得出现</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或人员电子签章，不得出现其他不符合暗标要求的内容</w:t>
            </w:r>
            <w:r>
              <w:rPr>
                <w:rFonts w:hint="default" w:ascii="Times New Roman" w:hAnsi="Times New Roman" w:cs="Times New Roman"/>
                <w:color w:val="auto"/>
                <w:sz w:val="24"/>
                <w:szCs w:val="24"/>
                <w:highlight w:val="none"/>
                <w:lang w:eastAsia="zh-CN"/>
              </w:rPr>
              <w:t>。</w:t>
            </w:r>
          </w:p>
          <w:p>
            <w:pPr>
              <w:pageBreakBefore w:val="0"/>
              <w:kinsoku/>
              <w:wordWrap w:val="0"/>
              <w:bidi w:val="0"/>
              <w:spacing w:line="440" w:lineRule="exact"/>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其他要求：</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Cs w:val="21"/>
                <w:highlight w:val="none"/>
                <w:lang w:val="en-US" w:eastAsia="zh-CN"/>
              </w:rPr>
              <w:t>9.2</w:t>
            </w:r>
          </w:p>
        </w:tc>
        <w:tc>
          <w:tcPr>
            <w:tcW w:w="4426" w:type="pct"/>
            <w:gridSpan w:val="2"/>
            <w:tcBorders>
              <w:top w:val="single" w:color="auto" w:sz="4" w:space="0"/>
              <w:left w:val="single" w:color="auto" w:sz="4" w:space="0"/>
              <w:bottom w:val="single" w:color="auto" w:sz="4" w:space="0"/>
              <w:right w:val="single" w:color="auto" w:sz="4" w:space="0"/>
            </w:tcBorders>
            <w:vAlign w:val="center"/>
          </w:tcPr>
          <w:p>
            <w:pPr>
              <w:spacing w:line="360" w:lineRule="exac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投标人须知正文补充第</w:t>
            </w:r>
            <w:r>
              <w:rPr>
                <w:rFonts w:hint="default" w:ascii="Times New Roman" w:hAnsi="Times New Roman" w:cs="Times New Roman"/>
                <w:color w:val="auto"/>
                <w:szCs w:val="21"/>
                <w:highlight w:val="none"/>
                <w:lang w:val="en-US" w:eastAsia="zh-CN"/>
              </w:rPr>
              <w:t>9.2</w:t>
            </w:r>
            <w:r>
              <w:rPr>
                <w:rFonts w:hint="default" w:ascii="Times New Roman" w:hAnsi="Times New Roman" w:eastAsia="宋体" w:cs="Times New Roman"/>
                <w:color w:val="auto"/>
                <w:szCs w:val="21"/>
                <w:highlight w:val="none"/>
              </w:rPr>
              <w:t>条</w:t>
            </w:r>
            <w:r>
              <w:rPr>
                <w:rFonts w:hint="default" w:ascii="Times New Roman" w:hAnsi="Times New Roman" w:eastAsia="宋体" w:cs="Times New Roman"/>
                <w:color w:val="auto"/>
                <w:szCs w:val="21"/>
                <w:highlight w:val="none"/>
                <w:vertAlign w:val="superscript"/>
              </w:rPr>
              <w:footnoteReference w:id="17"/>
            </w:r>
            <w:r>
              <w:rPr>
                <w:rFonts w:hint="default" w:ascii="Times New Roman" w:hAnsi="Times New Roman" w:eastAsia="宋体" w:cs="Times New Roman"/>
                <w:color w:val="auto"/>
                <w:szCs w:val="21"/>
                <w:highlight w:val="none"/>
              </w:rPr>
              <w:t>：</w:t>
            </w:r>
          </w:p>
          <w:p>
            <w:pPr>
              <w:pageBreakBefore w:val="0"/>
              <w:kinsoku/>
              <w:wordWrap w:val="0"/>
              <w:bidi w:val="0"/>
              <w:spacing w:line="440" w:lineRule="exact"/>
              <w:jc w:val="left"/>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本项目实施过程中推广以工代赈，在确保工程质量安全和符合进度要求等前提下，应充分挖掘主体工程建设及附属临建、工地服务保障、建后管护等方面用工潜力，平衡好建设和管护领域劳动合同制用工和以工代赈劳务用工之间关系，尽可能多地通过以工代赈方式吸纳当地群众参与工程建设。</w:t>
            </w:r>
          </w:p>
        </w:tc>
      </w:tr>
      <w:tr>
        <w:tblPrEx>
          <w:tblCellMar>
            <w:top w:w="0" w:type="dxa"/>
            <w:left w:w="108" w:type="dxa"/>
            <w:bottom w:w="0" w:type="dxa"/>
            <w:right w:w="108" w:type="dxa"/>
          </w:tblCellMar>
        </w:tblPrEx>
        <w:trPr>
          <w:trHeight w:val="340" w:hRule="atLeast"/>
        </w:trPr>
        <w:tc>
          <w:tcPr>
            <w:tcW w:w="57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4"/>
                <w:szCs w:val="24"/>
                <w:highlight w:val="none"/>
                <w:lang w:val="en-US" w:eastAsia="zh-CN"/>
              </w:rPr>
              <w:t>……</w:t>
            </w:r>
          </w:p>
        </w:tc>
        <w:tc>
          <w:tcPr>
            <w:tcW w:w="4426" w:type="pct"/>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440" w:lineRule="exact"/>
              <w:jc w:val="left"/>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bl>
    <w:p>
      <w:pPr>
        <w:pageBreakBefore w:val="0"/>
        <w:kinsoku/>
        <w:wordWrap w:val="0"/>
        <w:overflowPunct/>
        <w:bidi w:val="0"/>
        <w:spacing w:line="440" w:lineRule="exact"/>
        <w:rPr>
          <w:rFonts w:hint="default" w:ascii="Times New Roman" w:hAnsi="Times New Roman" w:eastAsia="黑体" w:cs="Times New Roman"/>
          <w:color w:val="auto"/>
          <w:sz w:val="28"/>
          <w:szCs w:val="28"/>
          <w:highlight w:val="none"/>
        </w:rPr>
      </w:pPr>
    </w:p>
    <w:p>
      <w:pPr>
        <w:pageBreakBefore w:val="0"/>
        <w:kinsoku/>
        <w:wordWrap w:val="0"/>
        <w:overflowPunct/>
        <w:bidi w:val="0"/>
        <w:spacing w:line="20" w:lineRule="exact"/>
        <w:jc w:val="center"/>
        <w:rPr>
          <w:rFonts w:hint="default" w:ascii="Times New Roman" w:hAnsi="Times New Roman" w:eastAsia="黑体" w:cs="Times New Roman"/>
          <w:b/>
          <w:color w:val="auto"/>
          <w:sz w:val="18"/>
          <w:szCs w:val="18"/>
          <w:highlight w:val="none"/>
        </w:rPr>
      </w:pPr>
      <w:r>
        <w:rPr>
          <w:rFonts w:hint="default" w:ascii="Times New Roman" w:hAnsi="Times New Roman" w:eastAsia="黑体" w:cs="Times New Roman"/>
          <w:color w:val="auto"/>
          <w:sz w:val="28"/>
          <w:szCs w:val="28"/>
          <w:highlight w:val="none"/>
        </w:rPr>
        <w:br w:type="page"/>
      </w:r>
    </w:p>
    <w:p>
      <w:pPr>
        <w:pStyle w:val="2"/>
        <w:pageBreakBefore w:val="0"/>
        <w:kinsoku/>
        <w:wordWrap w:val="0"/>
        <w:overflowPunct/>
        <w:bidi w:val="0"/>
        <w:spacing w:before="240" w:after="240" w:line="240" w:lineRule="atLeast"/>
        <w:jc w:val="center"/>
        <w:rPr>
          <w:rFonts w:hint="default" w:ascii="Times New Roman" w:hAnsi="Times New Roman" w:cs="Times New Roman"/>
          <w:color w:val="auto"/>
          <w:highlight w:val="none"/>
        </w:rPr>
      </w:pPr>
      <w:bookmarkStart w:id="93" w:name="_Toc23747499"/>
      <w:bookmarkStart w:id="94" w:name="_Toc234832863"/>
      <w:bookmarkStart w:id="95" w:name="_Toc4538"/>
      <w:bookmarkStart w:id="96" w:name="_Toc501257053"/>
      <w:bookmarkStart w:id="97" w:name="_Toc16069"/>
      <w:bookmarkStart w:id="98" w:name="_Toc135"/>
      <w:r>
        <w:rPr>
          <w:rFonts w:hint="default" w:ascii="Times New Roman" w:hAnsi="Times New Roman" w:eastAsia="黑体" w:cs="Times New Roman"/>
          <w:color w:val="auto"/>
          <w:sz w:val="28"/>
          <w:szCs w:val="28"/>
          <w:highlight w:val="none"/>
        </w:rPr>
        <w:t>附录1  资格审查条件（资质最低要求）</w:t>
      </w:r>
      <w:r>
        <w:rPr>
          <w:rStyle w:val="45"/>
          <w:rFonts w:hint="default" w:ascii="Times New Roman" w:hAnsi="Times New Roman" w:eastAsia="黑体" w:cs="Times New Roman"/>
          <w:color w:val="auto"/>
          <w:sz w:val="28"/>
          <w:szCs w:val="28"/>
          <w:highlight w:val="none"/>
        </w:rPr>
        <w:footnoteReference w:id="18"/>
      </w:r>
      <w:bookmarkEnd w:id="93"/>
      <w:bookmarkEnd w:id="94"/>
      <w:bookmarkEnd w:id="95"/>
      <w:bookmarkEnd w:id="96"/>
      <w:bookmarkEnd w:id="97"/>
      <w:bookmarkEnd w:id="98"/>
    </w:p>
    <w:tbl>
      <w:tblPr>
        <w:tblStyle w:val="37"/>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5000" w:type="pct"/>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勘察设计、施工资质等级要求</w:t>
            </w:r>
            <w:r>
              <w:rPr>
                <w:rStyle w:val="45"/>
                <w:rFonts w:hint="default" w:ascii="Times New Roman" w:hAnsi="Times New Roman" w:cs="Times New Roman"/>
                <w:color w:val="auto"/>
                <w:szCs w:val="21"/>
                <w:highlight w:val="none"/>
              </w:rPr>
              <w:footnoteReference w:id="19"/>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5000" w:type="pct"/>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000" w:type="pct"/>
            <w:vAlign w:val="center"/>
          </w:tcPr>
          <w:p>
            <w:pPr>
              <w:pageBreakBefore w:val="0"/>
              <w:kinsoku/>
              <w:wordWrap w:val="0"/>
              <w:overflowPunct/>
              <w:bidi w:val="0"/>
              <w:adjustRightInd w:val="0"/>
              <w:snapToGrid w:val="0"/>
              <w:spacing w:line="400" w:lineRule="atLeast"/>
              <w:jc w:val="left"/>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注：</w:t>
            </w:r>
          </w:p>
          <w:p>
            <w:pPr>
              <w:pageBreakBefore w:val="0"/>
              <w:kinsoku/>
              <w:wordWrap w:val="0"/>
              <w:overflowPunct/>
              <w:bidi w:val="0"/>
              <w:adjustRightInd w:val="0"/>
              <w:snapToGrid w:val="0"/>
              <w:spacing w:line="400" w:lineRule="atLeast"/>
              <w:jc w:val="left"/>
              <w:rPr>
                <w:rFonts w:hint="default" w:ascii="Times New Roman" w:hAnsi="Times New Roman"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default" w:ascii="Times New Roman" w:hAnsi="Times New Roman"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default" w:ascii="Times New Roman" w:hAnsi="Times New Roman" w:cs="Times New Roman"/>
                <w:color w:val="auto"/>
                <w:szCs w:val="21"/>
                <w:highlight w:val="none"/>
                <w:lang w:val="en-US" w:eastAsia="zh-CN"/>
              </w:rPr>
            </w:pPr>
          </w:p>
        </w:tc>
      </w:tr>
    </w:tbl>
    <w:p>
      <w:pPr>
        <w:pageBreakBefore w:val="0"/>
        <w:kinsoku/>
        <w:wordWrap/>
        <w:overflowPunct/>
        <w:bidi w:val="0"/>
        <w:adjustRightInd/>
        <w:snapToGrid/>
        <w:spacing w:line="240" w:lineRule="auto"/>
        <w:rPr>
          <w:rFonts w:hint="default" w:ascii="Times New Roman" w:hAnsi="Times New Roman" w:eastAsia="隶书" w:cs="Times New Roman"/>
          <w:b/>
          <w:color w:val="auto"/>
          <w:sz w:val="32"/>
          <w:highlight w:val="none"/>
        </w:rPr>
      </w:pPr>
      <w:r>
        <w:rPr>
          <w:rFonts w:hint="default" w:ascii="Times New Roman" w:hAnsi="Times New Roman" w:eastAsia="隶书" w:cs="Times New Roman"/>
          <w:b/>
          <w:color w:val="auto"/>
          <w:sz w:val="32"/>
          <w:highlight w:val="none"/>
        </w:rPr>
        <w:br w:type="page"/>
      </w: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bookmarkStart w:id="99" w:name="_Toc234832864"/>
      <w:bookmarkStart w:id="100" w:name="_Toc8714"/>
      <w:bookmarkStart w:id="101" w:name="_Toc501257054"/>
      <w:bookmarkStart w:id="102" w:name="_Toc23747500"/>
      <w:bookmarkStart w:id="103" w:name="_Toc1550"/>
      <w:bookmarkStart w:id="104" w:name="_Toc23555"/>
      <w:r>
        <w:rPr>
          <w:rFonts w:hint="default" w:ascii="Times New Roman" w:hAnsi="Times New Roman" w:eastAsia="黑体" w:cs="Times New Roman"/>
          <w:color w:val="auto"/>
          <w:sz w:val="28"/>
          <w:szCs w:val="28"/>
          <w:highlight w:val="none"/>
        </w:rPr>
        <w:t>附录2  资格审查条件（财务最低要求）</w:t>
      </w:r>
      <w:r>
        <w:rPr>
          <w:rStyle w:val="45"/>
          <w:rFonts w:hint="default" w:ascii="Times New Roman" w:hAnsi="Times New Roman" w:eastAsia="黑体" w:cs="Times New Roman"/>
          <w:color w:val="auto"/>
          <w:sz w:val="28"/>
          <w:szCs w:val="28"/>
          <w:highlight w:val="none"/>
        </w:rPr>
        <w:footnoteReference w:id="20"/>
      </w:r>
      <w:bookmarkEnd w:id="99"/>
      <w:bookmarkEnd w:id="100"/>
      <w:bookmarkEnd w:id="101"/>
      <w:bookmarkEnd w:id="102"/>
      <w:bookmarkEnd w:id="103"/>
      <w:bookmarkEnd w:id="104"/>
    </w:p>
    <w:tbl>
      <w:tblPr>
        <w:tblStyle w:val="37"/>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5000" w:type="pct"/>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财 务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5000" w:type="pct"/>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000" w:type="pct"/>
            <w:vAlign w:val="center"/>
          </w:tcPr>
          <w:p>
            <w:pPr>
              <w:pageBreakBefore w:val="0"/>
              <w:kinsoku/>
              <w:wordWrap w:val="0"/>
              <w:overflowPunct/>
              <w:bidi w:val="0"/>
              <w:adjustRightInd w:val="0"/>
              <w:snapToGrid w:val="0"/>
              <w:spacing w:line="400" w:lineRule="atLeast"/>
              <w:jc w:val="left"/>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注：</w:t>
            </w:r>
          </w:p>
          <w:p>
            <w:pPr>
              <w:pageBreakBefore w:val="0"/>
              <w:kinsoku/>
              <w:wordWrap w:val="0"/>
              <w:overflowPunct/>
              <w:bidi w:val="0"/>
              <w:adjustRightInd w:val="0"/>
              <w:snapToGrid w:val="0"/>
              <w:spacing w:line="400" w:lineRule="atLeast"/>
              <w:jc w:val="left"/>
              <w:rPr>
                <w:rFonts w:hint="default" w:ascii="Times New Roman" w:hAnsi="Times New Roman"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default" w:ascii="Times New Roman" w:hAnsi="Times New Roman"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default" w:ascii="Times New Roman" w:hAnsi="Times New Roman" w:cs="Times New Roman"/>
                <w:color w:val="auto"/>
                <w:szCs w:val="21"/>
                <w:highlight w:val="none"/>
                <w:lang w:val="en-US" w:eastAsia="zh-CN"/>
              </w:rPr>
            </w:pPr>
          </w:p>
        </w:tc>
      </w:tr>
    </w:tbl>
    <w:p>
      <w:pPr>
        <w:pageBreakBefore w:val="0"/>
        <w:kinsoku/>
        <w:wordWrap w:val="0"/>
        <w:overflowPunct/>
        <w:bidi w:val="0"/>
        <w:adjustRightInd w:val="0"/>
        <w:snapToGrid w:val="0"/>
        <w:spacing w:line="300" w:lineRule="exact"/>
        <w:rPr>
          <w:rFonts w:hint="default" w:ascii="Times New Roman" w:hAnsi="Times New Roman" w:eastAsia="黑体" w:cs="Times New Roman"/>
          <w:color w:val="auto"/>
          <w:sz w:val="24"/>
          <w:highlight w:val="none"/>
        </w:rPr>
      </w:pP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4"/>
          <w:highlight w:val="none"/>
        </w:rPr>
        <w:br w:type="page"/>
      </w:r>
      <w:bookmarkStart w:id="105" w:name="_Toc20855"/>
      <w:bookmarkStart w:id="106" w:name="_Toc6917"/>
      <w:bookmarkStart w:id="107" w:name="_Toc234832865"/>
      <w:bookmarkStart w:id="108" w:name="_Toc501257055"/>
      <w:bookmarkStart w:id="109" w:name="_Toc23747501"/>
      <w:bookmarkStart w:id="110" w:name="_Toc25035"/>
      <w:r>
        <w:rPr>
          <w:rFonts w:hint="default" w:ascii="Times New Roman" w:hAnsi="Times New Roman" w:eastAsia="黑体" w:cs="Times New Roman"/>
          <w:color w:val="auto"/>
          <w:sz w:val="28"/>
          <w:szCs w:val="28"/>
          <w:highlight w:val="none"/>
        </w:rPr>
        <w:t>附录3  资格审查条件（业绩最低要求）</w:t>
      </w:r>
      <w:r>
        <w:rPr>
          <w:rStyle w:val="45"/>
          <w:rFonts w:hint="default" w:ascii="Times New Roman" w:hAnsi="Times New Roman" w:eastAsia="黑体" w:cs="Times New Roman"/>
          <w:color w:val="auto"/>
          <w:sz w:val="28"/>
          <w:szCs w:val="28"/>
          <w:highlight w:val="none"/>
        </w:rPr>
        <w:footnoteReference w:id="21"/>
      </w:r>
      <w:bookmarkEnd w:id="105"/>
      <w:bookmarkEnd w:id="106"/>
      <w:bookmarkEnd w:id="107"/>
      <w:bookmarkEnd w:id="108"/>
      <w:bookmarkEnd w:id="109"/>
      <w:bookmarkEnd w:id="110"/>
    </w:p>
    <w:tbl>
      <w:tblPr>
        <w:tblStyle w:val="37"/>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5000" w:type="pct"/>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业 绩 要 求</w:t>
            </w:r>
            <w:r>
              <w:rPr>
                <w:rStyle w:val="45"/>
                <w:rFonts w:hint="default" w:ascii="Times New Roman" w:hAnsi="Times New Roman" w:cs="Times New Roman"/>
                <w:color w:val="auto"/>
                <w:szCs w:val="21"/>
                <w:highlight w:val="none"/>
              </w:rPr>
              <w:footnoteReference w:id="2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5000" w:type="pct"/>
            <w:vAlign w:val="center"/>
          </w:tcPr>
          <w:p>
            <w:pPr>
              <w:pageBreakBefore w:val="0"/>
              <w:kinsoku/>
              <w:wordWrap w:val="0"/>
              <w:overflowPunct/>
              <w:bidi w:val="0"/>
              <w:adjustRightInd w:val="0"/>
              <w:snapToGrid w:val="0"/>
              <w:spacing w:line="400" w:lineRule="atLeast"/>
              <w:jc w:val="both"/>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6" w:hRule="atLeast"/>
          <w:jc w:val="center"/>
        </w:trPr>
        <w:tc>
          <w:tcPr>
            <w:tcW w:w="5000" w:type="pct"/>
            <w:vAlign w:val="center"/>
          </w:tcPr>
          <w:p>
            <w:pPr>
              <w:pageBreakBefore w:val="0"/>
              <w:kinsoku/>
              <w:wordWrap w:val="0"/>
              <w:overflowPunct/>
              <w:bidi w:val="0"/>
              <w:adjustRightInd w:val="0"/>
              <w:snapToGrid w:val="0"/>
              <w:spacing w:line="400" w:lineRule="atLeast"/>
              <w:jc w:val="left"/>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注：</w:t>
            </w:r>
          </w:p>
          <w:p>
            <w:pPr>
              <w:pageBreakBefore w:val="0"/>
              <w:kinsoku/>
              <w:wordWrap w:val="0"/>
              <w:overflowPunct/>
              <w:bidi w:val="0"/>
              <w:adjustRightInd w:val="0"/>
              <w:snapToGrid w:val="0"/>
              <w:spacing w:line="400" w:lineRule="atLeast"/>
              <w:jc w:val="left"/>
              <w:rPr>
                <w:rFonts w:hint="default" w:ascii="Times New Roman" w:hAnsi="Times New Roman"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default" w:ascii="Times New Roman" w:hAnsi="Times New Roman" w:cs="Times New Roman"/>
                <w:color w:val="auto"/>
                <w:szCs w:val="21"/>
                <w:highlight w:val="none"/>
                <w:lang w:val="en-US" w:eastAsia="zh-CN"/>
              </w:rPr>
            </w:pPr>
          </w:p>
          <w:p>
            <w:pPr>
              <w:pageBreakBefore w:val="0"/>
              <w:kinsoku/>
              <w:wordWrap w:val="0"/>
              <w:overflowPunct/>
              <w:bidi w:val="0"/>
              <w:adjustRightInd w:val="0"/>
              <w:snapToGrid w:val="0"/>
              <w:spacing w:line="400" w:lineRule="atLeast"/>
              <w:jc w:val="left"/>
              <w:rPr>
                <w:rFonts w:hint="default" w:ascii="Times New Roman" w:hAnsi="Times New Roman" w:cs="Times New Roman"/>
                <w:color w:val="auto"/>
                <w:szCs w:val="21"/>
                <w:highlight w:val="none"/>
                <w:lang w:val="en-US" w:eastAsia="zh-CN"/>
              </w:rPr>
            </w:pPr>
          </w:p>
        </w:tc>
      </w:tr>
    </w:tbl>
    <w:p>
      <w:pPr>
        <w:pageBreakBefore w:val="0"/>
        <w:kinsoku/>
        <w:wordWrap/>
        <w:overflowPunct/>
        <w:bidi w:val="0"/>
        <w:adjustRightInd/>
        <w:snapToGrid/>
        <w:spacing w:line="240" w:lineRule="auto"/>
        <w:rPr>
          <w:rFonts w:hint="default" w:ascii="Times New Roman" w:hAnsi="Times New Roman" w:eastAsia="隶书" w:cs="Times New Roman"/>
          <w:b/>
          <w:color w:val="auto"/>
          <w:sz w:val="32"/>
          <w:highlight w:val="none"/>
        </w:rPr>
      </w:pPr>
      <w:r>
        <w:rPr>
          <w:rFonts w:hint="default" w:ascii="Times New Roman" w:hAnsi="Times New Roman" w:eastAsia="隶书" w:cs="Times New Roman"/>
          <w:b/>
          <w:color w:val="auto"/>
          <w:sz w:val="32"/>
          <w:highlight w:val="none"/>
        </w:rPr>
        <w:br w:type="page"/>
      </w: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bookmarkStart w:id="111" w:name="_Toc23747502"/>
      <w:bookmarkStart w:id="112" w:name="_Toc21381"/>
      <w:bookmarkStart w:id="113" w:name="_Toc234832866"/>
      <w:bookmarkStart w:id="114" w:name="_Toc28815"/>
      <w:bookmarkStart w:id="115" w:name="_Toc13304"/>
      <w:bookmarkStart w:id="116" w:name="_Toc501257056"/>
      <w:r>
        <w:rPr>
          <w:rFonts w:hint="default" w:ascii="Times New Roman" w:hAnsi="Times New Roman" w:eastAsia="黑体" w:cs="Times New Roman"/>
          <w:color w:val="auto"/>
          <w:sz w:val="28"/>
          <w:szCs w:val="28"/>
          <w:highlight w:val="none"/>
        </w:rPr>
        <w:t>附录4  资格审查条件（信誉最低要求）</w:t>
      </w:r>
      <w:r>
        <w:rPr>
          <w:rStyle w:val="45"/>
          <w:rFonts w:hint="default" w:ascii="Times New Roman" w:hAnsi="Times New Roman" w:eastAsia="黑体" w:cs="Times New Roman"/>
          <w:color w:val="auto"/>
          <w:sz w:val="28"/>
          <w:szCs w:val="28"/>
          <w:highlight w:val="none"/>
        </w:rPr>
        <w:footnoteReference w:id="23"/>
      </w:r>
      <w:bookmarkEnd w:id="111"/>
      <w:bookmarkEnd w:id="112"/>
      <w:bookmarkEnd w:id="113"/>
      <w:bookmarkEnd w:id="114"/>
      <w:bookmarkEnd w:id="115"/>
      <w:bookmarkEnd w:id="116"/>
    </w:p>
    <w:tbl>
      <w:tblPr>
        <w:tblStyle w:val="37"/>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5000" w:type="pct"/>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信 誉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9" w:hRule="atLeast"/>
          <w:jc w:val="center"/>
        </w:trPr>
        <w:tc>
          <w:tcPr>
            <w:tcW w:w="5000" w:type="pct"/>
            <w:vAlign w:val="center"/>
          </w:tcPr>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adjustRightInd w:val="0"/>
              <w:snapToGrid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000" w:type="pct"/>
            <w:vAlign w:val="center"/>
          </w:tcPr>
          <w:p>
            <w:pPr>
              <w:pageBreakBefore w:val="0"/>
              <w:kinsoku/>
              <w:wordWrap w:val="0"/>
              <w:overflowPunct/>
              <w:bidi w:val="0"/>
              <w:adjustRightInd w:val="0"/>
              <w:snapToGrid w:val="0"/>
              <w:spacing w:line="400" w:lineRule="atLeast"/>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注：</w:t>
            </w:r>
          </w:p>
        </w:tc>
      </w:tr>
    </w:tbl>
    <w:p>
      <w:pPr>
        <w:pageBreakBefore w:val="0"/>
        <w:kinsoku/>
        <w:wordWrap/>
        <w:overflowPunct/>
        <w:bidi w:val="0"/>
        <w:adjustRightInd/>
        <w:snapToGrid/>
        <w:spacing w:line="240" w:lineRule="auto"/>
        <w:rPr>
          <w:rFonts w:hint="default" w:ascii="Times New Roman" w:hAnsi="Times New Roman" w:eastAsia="隶书" w:cs="Times New Roman"/>
          <w:color w:val="auto"/>
          <w:sz w:val="32"/>
          <w:highlight w:val="none"/>
        </w:rPr>
      </w:pPr>
      <w:r>
        <w:rPr>
          <w:rFonts w:hint="default" w:ascii="Times New Roman" w:hAnsi="Times New Roman" w:eastAsia="隶书" w:cs="Times New Roman"/>
          <w:color w:val="auto"/>
          <w:sz w:val="32"/>
          <w:highlight w:val="none"/>
        </w:rPr>
        <w:br w:type="page"/>
      </w: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bookmarkStart w:id="117" w:name="_Toc18439"/>
      <w:bookmarkStart w:id="118" w:name="_Toc23747503"/>
      <w:bookmarkStart w:id="119" w:name="_Toc25455"/>
      <w:bookmarkStart w:id="120" w:name="_Toc234832867"/>
      <w:bookmarkStart w:id="121" w:name="_Toc24240"/>
      <w:bookmarkStart w:id="122" w:name="_Toc501257057"/>
      <w:r>
        <w:rPr>
          <w:rFonts w:hint="default" w:ascii="Times New Roman" w:hAnsi="Times New Roman" w:eastAsia="黑体" w:cs="Times New Roman"/>
          <w:color w:val="auto"/>
          <w:sz w:val="28"/>
          <w:szCs w:val="28"/>
          <w:highlight w:val="none"/>
        </w:rPr>
        <w:t>附录5  资格审查条件（</w:t>
      </w:r>
      <w:r>
        <w:rPr>
          <w:rFonts w:hint="default" w:ascii="Times New Roman" w:hAnsi="Times New Roman" w:eastAsia="黑体" w:cs="Times New Roman"/>
          <w:color w:val="auto"/>
          <w:w w:val="98"/>
          <w:sz w:val="28"/>
          <w:szCs w:val="28"/>
          <w:highlight w:val="none"/>
        </w:rPr>
        <w:t>项目负责人、设计负责人、施工负责人最低要求</w:t>
      </w:r>
      <w:r>
        <w:rPr>
          <w:rFonts w:hint="default" w:ascii="Times New Roman" w:hAnsi="Times New Roman" w:eastAsia="黑体" w:cs="Times New Roman"/>
          <w:color w:val="auto"/>
          <w:sz w:val="28"/>
          <w:szCs w:val="28"/>
          <w:highlight w:val="none"/>
        </w:rPr>
        <w:t>）</w:t>
      </w:r>
      <w:r>
        <w:rPr>
          <w:rStyle w:val="45"/>
          <w:rFonts w:hint="default" w:ascii="Times New Roman" w:hAnsi="Times New Roman" w:eastAsia="黑体" w:cs="Times New Roman"/>
          <w:color w:val="auto"/>
          <w:sz w:val="28"/>
          <w:szCs w:val="28"/>
          <w:highlight w:val="none"/>
        </w:rPr>
        <w:footnoteReference w:id="24"/>
      </w:r>
      <w:bookmarkEnd w:id="117"/>
      <w:bookmarkEnd w:id="118"/>
      <w:bookmarkEnd w:id="119"/>
      <w:bookmarkEnd w:id="120"/>
      <w:bookmarkEnd w:id="121"/>
      <w:bookmarkEnd w:id="122"/>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7"/>
        <w:gridCol w:w="1540"/>
        <w:gridCol w:w="2850"/>
        <w:gridCol w:w="2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92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人员</w:t>
            </w:r>
          </w:p>
        </w:tc>
        <w:tc>
          <w:tcPr>
            <w:tcW w:w="86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160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资格要求</w:t>
            </w:r>
            <w:r>
              <w:rPr>
                <w:rStyle w:val="45"/>
                <w:rFonts w:hint="default" w:ascii="Times New Roman" w:hAnsi="Times New Roman" w:cs="Times New Roman"/>
                <w:color w:val="auto"/>
                <w:szCs w:val="21"/>
                <w:highlight w:val="none"/>
              </w:rPr>
              <w:footnoteReference w:id="25"/>
            </w:r>
          </w:p>
        </w:tc>
        <w:tc>
          <w:tcPr>
            <w:tcW w:w="160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8" w:hRule="exact"/>
          <w:jc w:val="center"/>
        </w:trPr>
        <w:tc>
          <w:tcPr>
            <w:tcW w:w="92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项目负责人</w:t>
            </w:r>
          </w:p>
        </w:tc>
        <w:tc>
          <w:tcPr>
            <w:tcW w:w="86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p>
        </w:tc>
        <w:tc>
          <w:tcPr>
            <w:tcW w:w="160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p>
        </w:tc>
        <w:tc>
          <w:tcPr>
            <w:tcW w:w="160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无在岗项目（指项目负责人目前未在其他项目上任职，或虽在其他项目上任职但本项目中标后能够从该项目撤离）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8" w:hRule="exact"/>
          <w:jc w:val="center"/>
        </w:trPr>
        <w:tc>
          <w:tcPr>
            <w:tcW w:w="92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设计负责人</w:t>
            </w:r>
          </w:p>
        </w:tc>
        <w:tc>
          <w:tcPr>
            <w:tcW w:w="86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p>
        </w:tc>
        <w:tc>
          <w:tcPr>
            <w:tcW w:w="160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p>
        </w:tc>
        <w:tc>
          <w:tcPr>
            <w:tcW w:w="160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8" w:hRule="exact"/>
          <w:jc w:val="center"/>
        </w:trPr>
        <w:tc>
          <w:tcPr>
            <w:tcW w:w="92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施工负责人</w:t>
            </w:r>
          </w:p>
        </w:tc>
        <w:tc>
          <w:tcPr>
            <w:tcW w:w="86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p>
        </w:tc>
        <w:tc>
          <w:tcPr>
            <w:tcW w:w="160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p>
        </w:tc>
        <w:tc>
          <w:tcPr>
            <w:tcW w:w="160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无在岗项目（指施工负责人目前未在其他项目上任职，或虽在其他项目上任职但本项目中标后能够从该项目撤离）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5" w:hRule="exact"/>
          <w:jc w:val="center"/>
        </w:trPr>
        <w:tc>
          <w:tcPr>
            <w:tcW w:w="92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86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p>
        </w:tc>
        <w:tc>
          <w:tcPr>
            <w:tcW w:w="160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p>
        </w:tc>
        <w:tc>
          <w:tcPr>
            <w:tcW w:w="160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exac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adjustRightInd w:val="0"/>
              <w:snapToGrid w:val="0"/>
              <w:spacing w:line="300" w:lineRule="auto"/>
              <w:jc w:val="left"/>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注：</w:t>
            </w:r>
          </w:p>
          <w:p>
            <w:pPr>
              <w:pageBreakBefore w:val="0"/>
              <w:kinsoku/>
              <w:wordWrap w:val="0"/>
              <w:overflowPunct/>
              <w:bidi w:val="0"/>
              <w:adjustRightInd w:val="0"/>
              <w:snapToGrid w:val="0"/>
              <w:spacing w:line="300" w:lineRule="auto"/>
              <w:jc w:val="left"/>
              <w:rPr>
                <w:rFonts w:hint="default" w:ascii="Times New Roman" w:hAnsi="Times New Roman" w:cs="Times New Roman"/>
                <w:color w:val="auto"/>
                <w:szCs w:val="21"/>
                <w:highlight w:val="none"/>
                <w:lang w:val="en-US" w:eastAsia="zh-CN"/>
              </w:rPr>
            </w:pPr>
          </w:p>
          <w:p>
            <w:pPr>
              <w:pageBreakBefore w:val="0"/>
              <w:kinsoku/>
              <w:wordWrap w:val="0"/>
              <w:overflowPunct/>
              <w:bidi w:val="0"/>
              <w:adjustRightInd w:val="0"/>
              <w:snapToGrid w:val="0"/>
              <w:spacing w:line="300" w:lineRule="auto"/>
              <w:jc w:val="left"/>
              <w:rPr>
                <w:rFonts w:hint="default" w:ascii="Times New Roman" w:hAnsi="Times New Roman" w:cs="Times New Roman"/>
                <w:color w:val="auto"/>
                <w:szCs w:val="21"/>
                <w:highlight w:val="none"/>
                <w:lang w:val="en-US" w:eastAsia="zh-CN"/>
              </w:rPr>
            </w:pPr>
          </w:p>
        </w:tc>
      </w:tr>
    </w:tbl>
    <w:p>
      <w:pPr>
        <w:pageBreakBefore w:val="0"/>
        <w:kinsoku/>
        <w:wordWrap w:val="0"/>
        <w:overflowPunct/>
        <w:bidi w:val="0"/>
        <w:adjustRightInd w:val="0"/>
        <w:snapToGrid w:val="0"/>
        <w:spacing w:line="240" w:lineRule="exact"/>
        <w:rPr>
          <w:rFonts w:hint="default" w:ascii="Times New Roman" w:hAnsi="Times New Roman" w:eastAsia="隶书" w:cs="Times New Roman"/>
          <w:b/>
          <w:bCs/>
          <w:color w:val="auto"/>
          <w:sz w:val="32"/>
          <w:szCs w:val="32"/>
          <w:highlight w:val="none"/>
        </w:rPr>
      </w:pPr>
    </w:p>
    <w:p>
      <w:pPr>
        <w:pageBreakBefore w:val="0"/>
        <w:kinsoku/>
        <w:wordWrap w:val="0"/>
        <w:overflowPunct/>
        <w:bidi w:val="0"/>
        <w:adjustRightInd w:val="0"/>
        <w:snapToGrid w:val="0"/>
        <w:spacing w:line="300" w:lineRule="auto"/>
        <w:ind w:right="-512" w:rightChars="-244" w:firstLine="421" w:firstLineChars="200"/>
        <w:rPr>
          <w:rFonts w:hint="default" w:ascii="Times New Roman" w:hAnsi="Times New Roman" w:cs="Times New Roman"/>
          <w:b/>
          <w:color w:val="auto"/>
          <w:szCs w:val="21"/>
          <w:highlight w:val="none"/>
        </w:rPr>
      </w:pP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bookmarkStart w:id="123" w:name="_Toc234832868"/>
      <w:r>
        <w:rPr>
          <w:rFonts w:hint="default" w:ascii="Times New Roman" w:hAnsi="Times New Roman" w:eastAsia="黑体" w:cs="Times New Roman"/>
          <w:color w:val="auto"/>
          <w:sz w:val="28"/>
          <w:szCs w:val="28"/>
          <w:highlight w:val="none"/>
        </w:rPr>
        <w:br w:type="page"/>
      </w:r>
      <w:bookmarkStart w:id="124" w:name="_Toc28360"/>
      <w:bookmarkStart w:id="125" w:name="_Toc14192"/>
      <w:bookmarkStart w:id="126" w:name="_Toc501257058"/>
      <w:bookmarkStart w:id="127" w:name="_Toc18043"/>
      <w:bookmarkStart w:id="128" w:name="_Toc23747504"/>
      <w:r>
        <w:rPr>
          <w:rFonts w:hint="default" w:ascii="Times New Roman" w:hAnsi="Times New Roman" w:eastAsia="黑体" w:cs="Times New Roman"/>
          <w:color w:val="auto"/>
          <w:sz w:val="28"/>
          <w:szCs w:val="28"/>
          <w:highlight w:val="none"/>
        </w:rPr>
        <w:t>附录6  资格审查条件（其他管理和技术人员最低要求）</w:t>
      </w:r>
      <w:r>
        <w:rPr>
          <w:rFonts w:hint="default" w:ascii="Times New Roman" w:hAnsi="Times New Roman" w:eastAsia="黑体" w:cs="Times New Roman"/>
          <w:color w:val="auto"/>
          <w:sz w:val="28"/>
          <w:szCs w:val="28"/>
          <w:highlight w:val="none"/>
          <w:vertAlign w:val="superscript"/>
        </w:rPr>
        <w:footnoteReference w:id="26"/>
      </w:r>
      <w:bookmarkEnd w:id="123"/>
      <w:bookmarkEnd w:id="124"/>
      <w:bookmarkEnd w:id="125"/>
      <w:bookmarkEnd w:id="126"/>
      <w:bookmarkEnd w:id="127"/>
      <w:bookmarkEnd w:id="128"/>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1"/>
        <w:gridCol w:w="1312"/>
        <w:gridCol w:w="57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013"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  员</w:t>
            </w:r>
          </w:p>
        </w:tc>
        <w:tc>
          <w:tcPr>
            <w:tcW w:w="73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  量</w:t>
            </w:r>
          </w:p>
        </w:tc>
        <w:tc>
          <w:tcPr>
            <w:tcW w:w="3247"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资 格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7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3247"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注：</w:t>
            </w:r>
          </w:p>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lang w:val="en-US" w:eastAsia="zh-CN"/>
              </w:rPr>
            </w:pPr>
          </w:p>
        </w:tc>
      </w:tr>
    </w:tbl>
    <w:p>
      <w:pPr>
        <w:pageBreakBefore w:val="0"/>
        <w:kinsoku/>
        <w:wordWrap w:val="0"/>
        <w:overflowPunct/>
        <w:bidi w:val="0"/>
        <w:adjustRightInd w:val="0"/>
        <w:snapToGrid w:val="0"/>
        <w:spacing w:line="400" w:lineRule="atLeast"/>
        <w:jc w:val="center"/>
        <w:rPr>
          <w:rFonts w:hint="default" w:ascii="Times New Roman" w:hAnsi="Times New Roman" w:eastAsia="黑体" w:cs="Times New Roman"/>
          <w:color w:val="auto"/>
          <w:sz w:val="24"/>
          <w:highlight w:val="none"/>
        </w:rPr>
      </w:pPr>
    </w:p>
    <w:p>
      <w:pPr>
        <w:pStyle w:val="2"/>
        <w:pageBreakBefore w:val="0"/>
        <w:kinsoku/>
        <w:wordWrap w:val="0"/>
        <w:overflowPunct/>
        <w:bidi w:val="0"/>
        <w:spacing w:before="240" w:after="240" w:line="24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4"/>
          <w:highlight w:val="none"/>
        </w:rPr>
        <w:br w:type="page"/>
      </w:r>
      <w:bookmarkStart w:id="129" w:name="_Toc9600"/>
      <w:bookmarkStart w:id="130" w:name="_Toc13364"/>
      <w:bookmarkStart w:id="131" w:name="_Toc2964"/>
      <w:bookmarkStart w:id="132" w:name="_Toc501257059"/>
      <w:bookmarkStart w:id="133" w:name="_Toc234832869"/>
      <w:bookmarkStart w:id="134" w:name="_Toc23747505"/>
      <w:r>
        <w:rPr>
          <w:rFonts w:hint="default" w:ascii="Times New Roman" w:hAnsi="Times New Roman" w:eastAsia="黑体" w:cs="Times New Roman"/>
          <w:color w:val="auto"/>
          <w:sz w:val="28"/>
          <w:szCs w:val="28"/>
          <w:highlight w:val="none"/>
        </w:rPr>
        <w:t>附录7  资格审查条件（主要机械设备和试验检测设备最低要求）</w:t>
      </w:r>
      <w:r>
        <w:rPr>
          <w:rFonts w:hint="default" w:ascii="Times New Roman" w:hAnsi="Times New Roman" w:eastAsia="黑体" w:cs="Times New Roman"/>
          <w:color w:val="auto"/>
          <w:sz w:val="28"/>
          <w:szCs w:val="28"/>
          <w:highlight w:val="none"/>
          <w:vertAlign w:val="superscript"/>
        </w:rPr>
        <w:footnoteReference w:id="27"/>
      </w:r>
      <w:bookmarkEnd w:id="129"/>
      <w:bookmarkEnd w:id="130"/>
      <w:bookmarkEnd w:id="131"/>
      <w:bookmarkEnd w:id="132"/>
      <w:bookmarkEnd w:id="133"/>
      <w:bookmarkEnd w:id="134"/>
    </w:p>
    <w:tbl>
      <w:tblPr>
        <w:tblStyle w:val="37"/>
        <w:tblW w:w="48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9"/>
        <w:gridCol w:w="3182"/>
        <w:gridCol w:w="1182"/>
        <w:gridCol w:w="2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设备名称</w:t>
            </w:r>
          </w:p>
        </w:tc>
        <w:tc>
          <w:tcPr>
            <w:tcW w:w="1853"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规格、功率及容量</w:t>
            </w:r>
          </w:p>
        </w:tc>
        <w:tc>
          <w:tcPr>
            <w:tcW w:w="68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单位</w:t>
            </w:r>
          </w:p>
        </w:tc>
        <w:tc>
          <w:tcPr>
            <w:tcW w:w="1363"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最低数量要求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9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85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68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3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注：</w:t>
            </w:r>
          </w:p>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lang w:val="en-US" w:eastAsia="zh-CN"/>
              </w:rPr>
            </w:pPr>
          </w:p>
        </w:tc>
      </w:tr>
    </w:tbl>
    <w:p>
      <w:pPr>
        <w:pageBreakBefore w:val="0"/>
        <w:kinsoku/>
        <w:wordWrap w:val="0"/>
        <w:overflowPunct/>
        <w:bidi w:val="0"/>
        <w:adjustRightInd w:val="0"/>
        <w:snapToGrid w:val="0"/>
        <w:spacing w:line="400" w:lineRule="atLeast"/>
        <w:rPr>
          <w:rFonts w:hint="default" w:ascii="Times New Roman" w:hAnsi="Times New Roman" w:cs="Times New Roman"/>
          <w:bCs/>
          <w:color w:val="auto"/>
          <w:highlight w:val="none"/>
        </w:rPr>
      </w:pPr>
    </w:p>
    <w:p>
      <w:pPr>
        <w:pStyle w:val="2"/>
        <w:pageBreakBefore w:val="0"/>
        <w:kinsoku/>
        <w:wordWrap w:val="0"/>
        <w:overflowPunct/>
        <w:bidi w:val="0"/>
        <w:spacing w:before="240" w:after="240" w:line="240" w:lineRule="atLeast"/>
        <w:outlineLvl w:val="1"/>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sz w:val="24"/>
          <w:highlight w:val="none"/>
        </w:rPr>
        <w:br w:type="page"/>
      </w:r>
      <w:bookmarkStart w:id="135" w:name="_Toc23747506"/>
      <w:bookmarkStart w:id="136" w:name="_Toc234832870"/>
      <w:bookmarkStart w:id="137" w:name="_Toc9455"/>
      <w:bookmarkStart w:id="138" w:name="_Toc19582"/>
      <w:bookmarkStart w:id="139" w:name="_Toc501257060"/>
      <w:bookmarkStart w:id="140" w:name="_Toc10495"/>
      <w:r>
        <w:rPr>
          <w:rFonts w:hint="default" w:ascii="Times New Roman" w:hAnsi="Times New Roman" w:eastAsia="黑体" w:cs="Times New Roman"/>
          <w:b w:val="0"/>
          <w:color w:val="auto"/>
          <w:sz w:val="28"/>
          <w:szCs w:val="28"/>
          <w:highlight w:val="none"/>
        </w:rPr>
        <w:t>1. 总则</w:t>
      </w:r>
      <w:bookmarkEnd w:id="135"/>
      <w:bookmarkEnd w:id="136"/>
      <w:bookmarkEnd w:id="137"/>
      <w:bookmarkEnd w:id="138"/>
      <w:bookmarkEnd w:id="139"/>
      <w:bookmarkEnd w:id="140"/>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41" w:name="_Toc23747507"/>
      <w:bookmarkStart w:id="142" w:name="_Toc234832871"/>
      <w:bookmarkStart w:id="143" w:name="_Toc501257061"/>
      <w:r>
        <w:rPr>
          <w:rFonts w:hint="default" w:ascii="Times New Roman" w:hAnsi="Times New Roman" w:eastAsia="黑体" w:cs="Times New Roman"/>
          <w:b w:val="0"/>
          <w:color w:val="auto"/>
          <w:sz w:val="24"/>
          <w:szCs w:val="24"/>
          <w:highlight w:val="none"/>
        </w:rPr>
        <w:t>1.1 项目概况</w:t>
      </w:r>
      <w:bookmarkEnd w:id="141"/>
      <w:bookmarkEnd w:id="142"/>
      <w:bookmarkEnd w:id="143"/>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1.1.1 根据《中华人民共和国招标投标法》《中华人民共和国招标投标法实施条例》《公路工程设计施工总承包管理办法》《公路工程建设项目招标投标管理办法》等有关法律、法规和规章的规定，本招标项目已具备招标条件，现对本标段设计施工总承包进行招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 本招标项目招标人：见投标人须知前附表。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1.1.3 本标段招标代理机构：见投标人须知前附表。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1.1.4 本招标项目名称：见投标人须知前附表。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1.1.5 本标段建设地点：见投标人须知前附表。</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44" w:name="_Toc23747508"/>
      <w:bookmarkStart w:id="145" w:name="_Toc501257062"/>
      <w:bookmarkStart w:id="146" w:name="_Toc234832872"/>
      <w:r>
        <w:rPr>
          <w:rFonts w:hint="default" w:ascii="Times New Roman" w:hAnsi="Times New Roman" w:eastAsia="黑体" w:cs="Times New Roman"/>
          <w:b w:val="0"/>
          <w:color w:val="auto"/>
          <w:sz w:val="24"/>
          <w:szCs w:val="24"/>
          <w:highlight w:val="none"/>
        </w:rPr>
        <w:t>1.2 招标项目的资金来源和落实情况</w:t>
      </w:r>
      <w:bookmarkEnd w:id="144"/>
      <w:bookmarkEnd w:id="145"/>
      <w:bookmarkEnd w:id="146"/>
      <w:r>
        <w:rPr>
          <w:rFonts w:hint="default" w:ascii="Times New Roman" w:hAnsi="Times New Roman" w:eastAsia="黑体" w:cs="Times New Roman"/>
          <w:b w:val="0"/>
          <w:color w:val="auto"/>
          <w:sz w:val="24"/>
          <w:szCs w:val="24"/>
          <w:highlight w:val="none"/>
        </w:rPr>
        <w:t xml:space="preserve"> </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1.2.1 资金来源及比例：见投标人须知前附表。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1.2.2 资金落实情况：见投标人须知前附表。</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47" w:name="_Toc234832873"/>
      <w:bookmarkStart w:id="148" w:name="_Toc501257063"/>
      <w:bookmarkStart w:id="149" w:name="_Toc23747509"/>
      <w:r>
        <w:rPr>
          <w:rFonts w:hint="default" w:ascii="Times New Roman" w:hAnsi="Times New Roman" w:eastAsia="黑体" w:cs="Times New Roman"/>
          <w:b w:val="0"/>
          <w:color w:val="auto"/>
          <w:sz w:val="24"/>
          <w:szCs w:val="24"/>
          <w:highlight w:val="none"/>
        </w:rPr>
        <w:t>1.3 招标范围、计划工期、质量要求</w:t>
      </w:r>
      <w:bookmarkEnd w:id="147"/>
      <w:r>
        <w:rPr>
          <w:rFonts w:hint="default" w:ascii="Times New Roman" w:hAnsi="Times New Roman" w:eastAsia="黑体" w:cs="Times New Roman"/>
          <w:b w:val="0"/>
          <w:color w:val="auto"/>
          <w:sz w:val="24"/>
          <w:szCs w:val="24"/>
          <w:highlight w:val="none"/>
        </w:rPr>
        <w:t>和安全目标</w:t>
      </w:r>
      <w:bookmarkEnd w:id="148"/>
      <w:bookmarkEnd w:id="149"/>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1.3.1 招标范围：见投标人须知前附表。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1.3.2 本标段的计划工期：见投标人须知前附表。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1.3.3 本标段的质量要求：见投标人须知前附表。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1.3.4 本标段的安全目标：见投标人须知前附表。</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50" w:name="_Toc234832875"/>
      <w:bookmarkStart w:id="151" w:name="_Toc501257065"/>
      <w:bookmarkStart w:id="152" w:name="_Toc23747511"/>
      <w:r>
        <w:rPr>
          <w:rFonts w:hint="default" w:ascii="Times New Roman" w:hAnsi="Times New Roman" w:eastAsia="黑体" w:cs="Times New Roman"/>
          <w:b w:val="0"/>
          <w:color w:val="auto"/>
          <w:sz w:val="24"/>
          <w:szCs w:val="24"/>
          <w:highlight w:val="none"/>
        </w:rPr>
        <w:t>1.4 投标人资格要求</w:t>
      </w:r>
      <w:bookmarkEnd w:id="150"/>
      <w:bookmarkEnd w:id="151"/>
      <w:bookmarkEnd w:id="152"/>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1.4.1 投标人应具备承担本标段施工的资质条件、能力和信誉。</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（1）资质要求：见投标人须知前附表；</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（2）财务要求：见投标人须知前附表；</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（3）业绩要求：见投标人须知前附表；</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（4）信誉要求：见投标人须知前附表；</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（5）项目负责人、设计负责人和施工负责人资格：见投标人须知前附表；</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（6）其他要求：见投标人须知前附表。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需要提交的相关证明材料见本章第3.5款的规定。</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1.4.2 投标人须知前附表规定接受联合体投标的，联合体除应符合本章第1.4.1项和投标人须知前附表的要求外，还应遵守以下规定：</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（1）联合体各方应按招标文件提供的格式签订联合体协议书，明确联合体牵头人和各方权利义务，并承诺就中标项目向招标人承担连带责任；</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（2）由同一专业的单位组成的联合体，按照资质等级较低的单位确定资质等级；</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（3）联合体各方不得再以自己名义单独或参加其他联合体在同一标段中投标；</w:t>
      </w:r>
    </w:p>
    <w:p>
      <w:pPr>
        <w:pStyle w:val="15"/>
        <w:keepNext w:val="0"/>
        <w:keepLines w:val="0"/>
        <w:pageBreakBefore w:val="0"/>
        <w:widowControl w:val="0"/>
        <w:kinsoku w:val="0"/>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Cs w:val="24"/>
          <w:highlight w:val="none"/>
        </w:rPr>
        <w:t>4）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pPr>
        <w:pStyle w:val="15"/>
        <w:keepNext w:val="0"/>
        <w:keepLines w:val="0"/>
        <w:pageBreakBefore w:val="0"/>
        <w:widowControl w:val="0"/>
        <w:kinsoku w:val="0"/>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Cs w:val="24"/>
          <w:highlight w:val="none"/>
        </w:rPr>
        <w:t>5）尽管委任了联合体牵头人，但联合体各成员在投标、签订合同与履行合同过程中，仍负有连带的和各自的法律责任。</w:t>
      </w:r>
    </w:p>
    <w:p>
      <w:pPr>
        <w:pageBreakBefore w:val="0"/>
        <w:tabs>
          <w:tab w:val="left" w:pos="360"/>
          <w:tab w:val="left" w:pos="540"/>
        </w:tabs>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1.4.3 投标人（包括联合体各成员）不得与本标段相关单位存在下列关联关系：</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（1）为招标人不具有独立法人资格的附属机构（单位）；</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（2）与招标人存在利害关系且可能影响招标公正性；</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（3）与本标段的其他投标人同为一个单位负责人；</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（4）与本标段的其他投标人存在控股、管理关系；</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（5）为本标段的初步设计单位、代建单位、监理单位或以上单位的附属单位；</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（6）为本标段的招标代理机构；</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（7）与本标段的监理人或代建人或招标代理机构同为一个法定代表人；</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（8）与本标段的监理人或代建人或招标代理机构存在控股或参股关系；</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（9）法律法规或投标人须知前附表规定的其他情形。</w:t>
      </w:r>
    </w:p>
    <w:p>
      <w:pPr>
        <w:pageBreakBefore w:val="0"/>
        <w:tabs>
          <w:tab w:val="left" w:pos="360"/>
          <w:tab w:val="left" w:pos="540"/>
        </w:tabs>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1.4.4 投标人（包括联合体各成员）不得存在下列不良状况或不良信用记录：</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（1）被省级及以上交通运输主管部门取消招标项目所在地的投标资格且处于有效期内；</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（2）被责令停业，暂扣或吊销执照，或吊销资质证书；</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（3）进入清算程序，或被宣告破产，或其他丧失履约能力的情形；</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（4）在国家企业信用信息公示系统（http://www.gsxt.gov.cn/）中被列入严重违法失信企业名单；</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（5）在</w:t>
      </w:r>
      <w:r>
        <w:rPr>
          <w:rFonts w:hint="eastAsia" w:ascii="宋体" w:hAnsi="宋体" w:eastAsia="宋体" w:cs="宋体"/>
          <w:color w:val="auto"/>
          <w:highlight w:val="none"/>
        </w:rPr>
        <w:t>“</w:t>
      </w:r>
      <w:r>
        <w:rPr>
          <w:rFonts w:hint="default" w:ascii="Times New Roman" w:hAnsi="Times New Roman" w:eastAsia="宋体" w:cs="Times New Roman"/>
          <w:color w:val="auto"/>
          <w:highlight w:val="none"/>
        </w:rPr>
        <w:t>信用中国</w:t>
      </w:r>
      <w:r>
        <w:rPr>
          <w:rFonts w:hint="eastAsia" w:ascii="宋体" w:hAnsi="宋体" w:eastAsia="宋体" w:cs="宋体"/>
          <w:color w:val="auto"/>
          <w:highlight w:val="none"/>
        </w:rPr>
        <w:t>”</w:t>
      </w:r>
      <w:r>
        <w:rPr>
          <w:rFonts w:hint="default" w:ascii="Times New Roman" w:hAnsi="Times New Roman" w:eastAsia="宋体" w:cs="Times New Roman"/>
          <w:color w:val="auto"/>
          <w:highlight w:val="none"/>
        </w:rPr>
        <w:t>网站（http://www.creditchina.gov.cn/）（或中国执行信息公开网 http://zxgk.court.gov.cn/shixin/）中被列入失信被执行人名单；</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（6）投标人或其法定代表人、拟委任的项目负责人、设计负责人和施工负责人在近三年内有行贿犯罪行为的；</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（7）法律法规或投标人须知前附表规定的其他情形。</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kern w:val="0"/>
          <w:highlight w:val="none"/>
        </w:rPr>
        <w:t>1.4.5 根据《关于发布公路工程从业企业资质名录的通知》（厅公路字〔2011〕114号）要求，投标人</w:t>
      </w:r>
      <w:r>
        <w:rPr>
          <w:rFonts w:hint="default" w:ascii="Times New Roman" w:hAnsi="Times New Roman" w:eastAsia="宋体" w:cs="Times New Roman"/>
          <w:color w:val="auto"/>
          <w:highlight w:val="none"/>
        </w:rPr>
        <w:t>（包括联合体各成员）</w:t>
      </w:r>
      <w:r>
        <w:rPr>
          <w:rFonts w:hint="default" w:ascii="Times New Roman" w:hAnsi="Times New Roman" w:eastAsia="宋体" w:cs="Times New Roman"/>
          <w:color w:val="auto"/>
          <w:kern w:val="0"/>
          <w:highlight w:val="none"/>
        </w:rPr>
        <w:t>如为名录范围的施工</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设计</w:t>
      </w:r>
      <w:r>
        <w:rPr>
          <w:rFonts w:hint="default" w:ascii="Times New Roman" w:hAnsi="Times New Roman" w:cs="Times New Roman"/>
          <w:color w:val="auto"/>
          <w:sz w:val="24"/>
          <w:highlight w:val="none"/>
        </w:rPr>
        <w:t>企业</w:t>
      </w:r>
      <w:r>
        <w:rPr>
          <w:rFonts w:hint="default" w:ascii="Times New Roman" w:hAnsi="Times New Roman" w:eastAsia="宋体" w:cs="Times New Roman"/>
          <w:color w:val="auto"/>
          <w:kern w:val="0"/>
          <w:highlight w:val="none"/>
        </w:rPr>
        <w:t>，则应进入交通运输部</w:t>
      </w:r>
      <w:r>
        <w:rPr>
          <w:rFonts w:hint="eastAsia" w:ascii="宋体" w:hAnsi="宋体" w:eastAsia="宋体" w:cs="宋体"/>
          <w:color w:val="auto"/>
          <w:kern w:val="0"/>
          <w:highlight w:val="none"/>
        </w:rPr>
        <w:t>“</w:t>
      </w:r>
      <w:r>
        <w:rPr>
          <w:rFonts w:hint="default" w:ascii="Times New Roman" w:hAnsi="Times New Roman" w:eastAsia="宋体" w:cs="Times New Roman"/>
          <w:color w:val="auto"/>
          <w:kern w:val="0"/>
          <w:highlight w:val="none"/>
        </w:rPr>
        <w:t>全国公路建设市场监督管理系统（https://hwdms.mot.gov.cn/BMWebSite/）</w:t>
      </w:r>
      <w:r>
        <w:rPr>
          <w:rFonts w:hint="eastAsia" w:ascii="宋体" w:hAnsi="宋体" w:eastAsia="宋体" w:cs="宋体"/>
          <w:color w:val="auto"/>
          <w:kern w:val="0"/>
          <w:highlight w:val="none"/>
        </w:rPr>
        <w:t>”</w:t>
      </w:r>
      <w:r>
        <w:rPr>
          <w:rFonts w:hint="default" w:ascii="Times New Roman" w:hAnsi="Times New Roman" w:eastAsia="宋体" w:cs="Times New Roman"/>
          <w:color w:val="auto"/>
          <w:kern w:val="0"/>
          <w:highlight w:val="none"/>
        </w:rPr>
        <w:t>中的公路工程</w:t>
      </w:r>
      <w:r>
        <w:rPr>
          <w:rFonts w:hint="default" w:ascii="Times New Roman" w:hAnsi="Times New Roman" w:cs="Times New Roman"/>
          <w:color w:val="auto"/>
          <w:sz w:val="24"/>
          <w:highlight w:val="none"/>
          <w:lang w:val="en-US" w:eastAsia="zh-CN"/>
        </w:rPr>
        <w:t>设计</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施工</w:t>
      </w:r>
      <w:r>
        <w:rPr>
          <w:rFonts w:hint="default" w:ascii="Times New Roman" w:hAnsi="Times New Roman" w:eastAsia="宋体" w:cs="Times New Roman"/>
          <w:color w:val="auto"/>
          <w:kern w:val="0"/>
          <w:highlight w:val="none"/>
        </w:rPr>
        <w:t>资质企业名录，且投标人名称和资质与该名录中的相应企业名称和资质完全一致</w:t>
      </w:r>
      <w:r>
        <w:rPr>
          <w:rFonts w:hint="default" w:ascii="Times New Roman" w:hAnsi="Times New Roman" w:cs="Times New Roman"/>
          <w:color w:val="auto"/>
          <w:kern w:val="0"/>
          <w:highlight w:val="none"/>
          <w:lang w:eastAsia="zh-CN"/>
        </w:rPr>
        <w:t>。</w:t>
      </w:r>
      <w:r>
        <w:rPr>
          <w:rStyle w:val="45"/>
          <w:rFonts w:hint="default" w:ascii="Times New Roman" w:hAnsi="Times New Roman" w:cs="Times New Roman"/>
          <w:color w:val="auto"/>
          <w:kern w:val="0"/>
          <w:highlight w:val="none"/>
          <w:lang w:eastAsia="zh-CN"/>
        </w:rPr>
        <w:footnoteReference w:id="28"/>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53" w:name="_Toc152042311"/>
      <w:bookmarkStart w:id="154" w:name="_Toc247527559"/>
      <w:bookmarkStart w:id="155" w:name="_Toc152045535"/>
      <w:bookmarkStart w:id="156" w:name="_Toc247513958"/>
      <w:bookmarkStart w:id="157" w:name="_Toc144974503"/>
      <w:bookmarkStart w:id="158" w:name="_Toc300834955"/>
      <w:bookmarkStart w:id="159" w:name="_Toc234832876"/>
      <w:bookmarkStart w:id="160" w:name="_Toc501257066"/>
      <w:bookmarkStart w:id="161" w:name="_Toc23747512"/>
      <w:r>
        <w:rPr>
          <w:rFonts w:hint="default" w:ascii="Times New Roman" w:hAnsi="Times New Roman" w:eastAsia="黑体" w:cs="Times New Roman"/>
          <w:b w:val="0"/>
          <w:color w:val="auto"/>
          <w:sz w:val="24"/>
          <w:szCs w:val="24"/>
          <w:highlight w:val="none"/>
        </w:rPr>
        <w:t>1.5 费用承担</w:t>
      </w:r>
      <w:bookmarkEnd w:id="153"/>
      <w:bookmarkEnd w:id="154"/>
      <w:bookmarkEnd w:id="155"/>
      <w:bookmarkEnd w:id="156"/>
      <w:bookmarkEnd w:id="157"/>
      <w:r>
        <w:rPr>
          <w:rFonts w:hint="default" w:ascii="Times New Roman" w:hAnsi="Times New Roman" w:eastAsia="黑体" w:cs="Times New Roman"/>
          <w:b w:val="0"/>
          <w:color w:val="auto"/>
          <w:sz w:val="24"/>
          <w:szCs w:val="24"/>
          <w:highlight w:val="none"/>
        </w:rPr>
        <w:t>和设计成果补偿</w:t>
      </w:r>
      <w:bookmarkEnd w:id="158"/>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1.5.1 投标人准备和参加投标活动发生的费用自理。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1.5.2 招标人对符合招标文件规定的未中标人的设计成果进行补偿的，按投标人须知前附表规定给予补偿，并有权免费使用未中标人设计成果。</w:t>
      </w:r>
    </w:p>
    <w:bookmarkEnd w:id="159"/>
    <w:bookmarkEnd w:id="160"/>
    <w:bookmarkEnd w:id="161"/>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62" w:name="_Toc23747513"/>
      <w:bookmarkStart w:id="163" w:name="_Toc501257067"/>
      <w:bookmarkStart w:id="164" w:name="_Toc234832877"/>
      <w:r>
        <w:rPr>
          <w:rFonts w:hint="default" w:ascii="Times New Roman" w:hAnsi="Times New Roman" w:eastAsia="黑体" w:cs="Times New Roman"/>
          <w:b w:val="0"/>
          <w:color w:val="auto"/>
          <w:sz w:val="24"/>
          <w:szCs w:val="24"/>
          <w:highlight w:val="none"/>
        </w:rPr>
        <w:t>1.6 保密</w:t>
      </w:r>
      <w:bookmarkEnd w:id="162"/>
      <w:bookmarkEnd w:id="163"/>
      <w:bookmarkEnd w:id="164"/>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参与招标投标活动的各方应对招标文件和投标文件中的商业和技术等秘密保密，否则应承担相应的法律责任。</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65" w:name="_Toc234832878"/>
      <w:bookmarkStart w:id="166" w:name="_Toc23747514"/>
      <w:bookmarkStart w:id="167" w:name="_Toc501257068"/>
      <w:r>
        <w:rPr>
          <w:rFonts w:hint="default" w:ascii="Times New Roman" w:hAnsi="Times New Roman" w:eastAsia="黑体" w:cs="Times New Roman"/>
          <w:b w:val="0"/>
          <w:color w:val="auto"/>
          <w:sz w:val="24"/>
          <w:szCs w:val="24"/>
          <w:highlight w:val="none"/>
        </w:rPr>
        <w:t>1.7 语言文字</w:t>
      </w:r>
      <w:bookmarkEnd w:id="165"/>
      <w:bookmarkEnd w:id="166"/>
      <w:bookmarkEnd w:id="167"/>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招标投标文件使用的语言文字为中文。专用术语使用外文的，应附有中文注释。</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68" w:name="_Toc23747515"/>
      <w:bookmarkStart w:id="169" w:name="_Toc234832879"/>
      <w:bookmarkStart w:id="170" w:name="_Toc501257069"/>
      <w:r>
        <w:rPr>
          <w:rFonts w:hint="default" w:ascii="Times New Roman" w:hAnsi="Times New Roman" w:eastAsia="黑体" w:cs="Times New Roman"/>
          <w:b w:val="0"/>
          <w:color w:val="auto"/>
          <w:sz w:val="24"/>
          <w:szCs w:val="24"/>
          <w:highlight w:val="none"/>
        </w:rPr>
        <w:t>1.8 计量单位</w:t>
      </w:r>
      <w:bookmarkEnd w:id="168"/>
      <w:bookmarkEnd w:id="169"/>
      <w:bookmarkEnd w:id="170"/>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所有计量均采用中华人民共和国法定计量单位。</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71" w:name="_Toc234832880"/>
      <w:bookmarkStart w:id="172" w:name="_Toc501257070"/>
      <w:bookmarkStart w:id="173" w:name="_Toc23747516"/>
      <w:r>
        <w:rPr>
          <w:rFonts w:hint="default" w:ascii="Times New Roman" w:hAnsi="Times New Roman" w:eastAsia="黑体" w:cs="Times New Roman"/>
          <w:b w:val="0"/>
          <w:color w:val="auto"/>
          <w:sz w:val="24"/>
          <w:szCs w:val="24"/>
          <w:highlight w:val="none"/>
        </w:rPr>
        <w:t>1.9 踏勘现场</w:t>
      </w:r>
      <w:bookmarkEnd w:id="171"/>
      <w:bookmarkEnd w:id="172"/>
      <w:bookmarkEnd w:id="173"/>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1.9.1 第一章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招标公告</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规定组织踏勘现场的，招标人按规定的时间、地点组织投标人踏勘项目现场。部分投标人未按时参加踏勘现场的，不影响踏勘现场的正常进行。招标人不得组织单个或部分投标人踏勘项目现场。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1.9.2 投标人踏勘现场发生的费用自理。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1.9.3 除招标人的原因外，投标人自行负责在踏勘现场中所发生的人员伤亡和财产损失。</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1.9.4 招标人在踏勘现场中介绍的工程场地和相关的周边环境情况，供投标人在编制投标文件时参考，招标人不对投标人据此作出的判断和决策负责。</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74" w:name="_Toc501257071"/>
      <w:bookmarkStart w:id="175" w:name="_Toc23747517"/>
      <w:bookmarkStart w:id="176" w:name="_Toc234832881"/>
      <w:r>
        <w:rPr>
          <w:rFonts w:hint="default" w:ascii="Times New Roman" w:hAnsi="Times New Roman" w:eastAsia="黑体" w:cs="Times New Roman"/>
          <w:b w:val="0"/>
          <w:color w:val="auto"/>
          <w:sz w:val="24"/>
          <w:szCs w:val="24"/>
          <w:highlight w:val="none"/>
        </w:rPr>
        <w:t>1.10 投标预备会</w:t>
      </w:r>
      <w:bookmarkEnd w:id="174"/>
      <w:bookmarkEnd w:id="175"/>
      <w:bookmarkEnd w:id="176"/>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1.10.1 第一章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招标公告</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规定召开投标预备会的，招标人按规定的时间和地点召开投标预备会，澄清投标人提出的问题。</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1.10.2 投标人应按投标人须知前附表规定的时间和形式将提出的问题送达招标人，以便招标人在会议期间澄清。</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1.10.3 投标预备会后，招标人将对投标人所提问题的澄清，以本章第2.2款规定的形式通知所有</w:t>
      </w:r>
      <w:r>
        <w:rPr>
          <w:rFonts w:hint="default" w:ascii="Times New Roman" w:hAnsi="Times New Roman" w:cs="Times New Roman"/>
          <w:color w:val="auto"/>
          <w:szCs w:val="24"/>
          <w:highlight w:val="none"/>
          <w:lang w:val="en-US" w:eastAsia="zh-CN"/>
        </w:rPr>
        <w:t>获取</w:t>
      </w:r>
      <w:r>
        <w:rPr>
          <w:rFonts w:hint="default" w:ascii="Times New Roman" w:hAnsi="Times New Roman" w:eastAsia="宋体" w:cs="Times New Roman"/>
          <w:color w:val="auto"/>
          <w:szCs w:val="24"/>
          <w:highlight w:val="none"/>
        </w:rPr>
        <w:t>招标文件的投标人。该澄清内容为招标文件的组成部分。</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77" w:name="_Toc234832882"/>
      <w:bookmarkStart w:id="178" w:name="_Toc23747518"/>
      <w:bookmarkStart w:id="179" w:name="_Toc501257072"/>
      <w:r>
        <w:rPr>
          <w:rFonts w:hint="default" w:ascii="Times New Roman" w:hAnsi="Times New Roman" w:eastAsia="黑体" w:cs="Times New Roman"/>
          <w:b w:val="0"/>
          <w:color w:val="auto"/>
          <w:sz w:val="24"/>
          <w:szCs w:val="24"/>
          <w:highlight w:val="none"/>
        </w:rPr>
        <w:t>1.11 分包</w:t>
      </w:r>
      <w:bookmarkEnd w:id="177"/>
      <w:bookmarkEnd w:id="178"/>
      <w:bookmarkEnd w:id="179"/>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1.11.1 投标人拟在中标后将中标项目的部分工作进行分包的，施工图勘察设计允许分包的范围仅限于工程设计中跨专业或有特殊要求的勘察、设计工作；施工允许分包的应按辽宁省交通运输厅关于印发《辽宁省公路工程施工分包管理实施细则》的通知（辽交公路规〔2025〕1号）要求执行。</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rPr>
        <w:t>1.11.2 中标人不得向他人转让中标项目，接受分包的人不得再次分包。中标人应就分包项目向招标人负责，接受分包的人就分包项目承担连带责任。</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80" w:name="_Toc234832883"/>
      <w:bookmarkStart w:id="181" w:name="_Toc501257073"/>
      <w:bookmarkStart w:id="182" w:name="_Toc23747519"/>
      <w:r>
        <w:rPr>
          <w:rFonts w:hint="default" w:ascii="Times New Roman" w:hAnsi="Times New Roman" w:eastAsia="黑体" w:cs="Times New Roman"/>
          <w:b w:val="0"/>
          <w:color w:val="auto"/>
          <w:sz w:val="24"/>
          <w:szCs w:val="24"/>
          <w:highlight w:val="none"/>
        </w:rPr>
        <w:t xml:space="preserve">1.12 </w:t>
      </w:r>
      <w:bookmarkEnd w:id="180"/>
      <w:r>
        <w:rPr>
          <w:rFonts w:hint="default" w:ascii="Times New Roman" w:hAnsi="Times New Roman" w:eastAsia="黑体" w:cs="Times New Roman"/>
          <w:b w:val="0"/>
          <w:color w:val="auto"/>
          <w:sz w:val="24"/>
          <w:szCs w:val="24"/>
          <w:highlight w:val="none"/>
        </w:rPr>
        <w:t>响应和偏差</w:t>
      </w:r>
      <w:bookmarkEnd w:id="181"/>
      <w:bookmarkEnd w:id="182"/>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1.12.1 投标文件偏离招标文件某些要求，视为投标文件存在偏差。偏差包括重大偏差和细微偏差。</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1.12.2 投标文件应对招标文件的实质性要求和条件作出满足性或更有利于招标人的响应，否则，视为投标文件存在重大偏差，投标人的投标将被否决。</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投标文件存在第三章</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评标办法</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中所列任一否决投标情形的，均属于存在重大偏差。</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1.12.3 投标文件中的下列偏差为细微偏差：</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w:t>
      </w:r>
      <w:r>
        <w:rPr>
          <w:rFonts w:hint="default" w:ascii="Times New Roman" w:hAnsi="Times New Roman" w:eastAsia="宋体" w:cs="Times New Roman"/>
          <w:color w:val="auto"/>
          <w:highlight w:val="none"/>
        </w:rPr>
        <w:t>在按照</w:t>
      </w:r>
      <w:r>
        <w:rPr>
          <w:rFonts w:hint="default" w:ascii="Times New Roman" w:hAnsi="Times New Roman" w:eastAsia="宋体" w:cs="Times New Roman"/>
          <w:color w:val="auto"/>
          <w:szCs w:val="24"/>
          <w:highlight w:val="none"/>
        </w:rPr>
        <w:t>第三章</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评标办法</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的规定对投标价进行其他错误</w:t>
      </w:r>
      <w:r>
        <w:rPr>
          <w:rFonts w:hint="default" w:ascii="Times New Roman" w:hAnsi="Times New Roman" w:eastAsia="宋体" w:cs="Times New Roman"/>
          <w:color w:val="auto"/>
          <w:highlight w:val="none"/>
        </w:rPr>
        <w:t>修正后，最终投标报价未超过最高投标限价（如有）的情况下，出现</w:t>
      </w:r>
      <w:r>
        <w:rPr>
          <w:rFonts w:hint="default" w:ascii="Times New Roman" w:hAnsi="Times New Roman" w:eastAsia="宋体" w:cs="Times New Roman"/>
          <w:color w:val="auto"/>
          <w:szCs w:val="24"/>
          <w:highlight w:val="none"/>
        </w:rPr>
        <w:t>第三章</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评标办法</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规定的投标报价其他错误；</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（2）承包人建议书和承包人实施计划不够完善；</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（3）投标文件个别文字有遗漏错误等不影响投标文件实质性内容的偏差。</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1.12.4 评标委员会对投标文件中的细微偏差按如下规定处理：</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（1）对于本章第1.12.3项（1）目所述的细微偏差，按照第三章</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评标办法</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的规定予以修正并要求投标人进行澄清；</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2）对于本章第1.12.3项（2）目所述的细微偏差，如果采用合理低价法或经评审的最低投标价法评标，应要求投标人对细微偏差进行澄清，只有投标人的澄清文件被评标委员会接受，投标人才能参加评标价的最终评比。如果采用技术评分最低标价法或</w:t>
      </w:r>
      <w:r>
        <w:rPr>
          <w:rFonts w:hint="default" w:ascii="Times New Roman" w:hAnsi="Times New Roman" w:cs="Times New Roman"/>
          <w:color w:val="auto"/>
          <w:szCs w:val="24"/>
          <w:highlight w:val="none"/>
          <w:lang w:eastAsia="zh-CN"/>
        </w:rPr>
        <w:t>综合评分法</w:t>
      </w:r>
      <w:r>
        <w:rPr>
          <w:rFonts w:hint="default" w:ascii="Times New Roman" w:hAnsi="Times New Roman" w:eastAsia="宋体" w:cs="Times New Roman"/>
          <w:color w:val="auto"/>
          <w:szCs w:val="24"/>
          <w:highlight w:val="none"/>
        </w:rPr>
        <w:t>评标，可在相关评分因素的评分中酌情扣分；</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（3）对于本章第1.12.3项（3）目所述的细微偏差，可要求投标人对细微偏差进行澄清。</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1.12.5 投标人应根据招标文件的要求提供承包人建议书和承包人实施计划等内容以对招标文件作出响应。</w:t>
      </w:r>
    </w:p>
    <w:p>
      <w:pPr>
        <w:pStyle w:val="2"/>
        <w:pageBreakBefore w:val="0"/>
        <w:kinsoku/>
        <w:wordWrap w:val="0"/>
        <w:overflowPunct/>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183" w:name="_Toc234832884"/>
      <w:bookmarkStart w:id="184" w:name="_Toc9329"/>
      <w:bookmarkStart w:id="185" w:name="_Toc501257074"/>
      <w:bookmarkStart w:id="186" w:name="_Toc27003"/>
      <w:bookmarkStart w:id="187" w:name="_Toc23747520"/>
      <w:bookmarkStart w:id="188" w:name="_Toc20931"/>
      <w:r>
        <w:rPr>
          <w:rFonts w:hint="default" w:ascii="Times New Roman" w:hAnsi="Times New Roman" w:eastAsia="黑体" w:cs="Times New Roman"/>
          <w:b w:val="0"/>
          <w:color w:val="auto"/>
          <w:sz w:val="28"/>
          <w:szCs w:val="28"/>
          <w:highlight w:val="none"/>
        </w:rPr>
        <w:t>2. 招标文件</w:t>
      </w:r>
      <w:bookmarkEnd w:id="183"/>
      <w:bookmarkEnd w:id="184"/>
      <w:bookmarkEnd w:id="185"/>
      <w:bookmarkEnd w:id="186"/>
      <w:bookmarkEnd w:id="187"/>
      <w:bookmarkEnd w:id="188"/>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89" w:name="_Toc234832885"/>
      <w:bookmarkStart w:id="190" w:name="_Toc501257075"/>
      <w:bookmarkStart w:id="191" w:name="_Toc23747521"/>
      <w:r>
        <w:rPr>
          <w:rFonts w:hint="default" w:ascii="Times New Roman" w:hAnsi="Times New Roman" w:eastAsia="黑体" w:cs="Times New Roman"/>
          <w:b w:val="0"/>
          <w:color w:val="auto"/>
          <w:sz w:val="24"/>
          <w:szCs w:val="24"/>
          <w:highlight w:val="none"/>
        </w:rPr>
        <w:t>2.1 招标文件的组成</w:t>
      </w:r>
      <w:bookmarkEnd w:id="189"/>
      <w:bookmarkEnd w:id="190"/>
      <w:bookmarkEnd w:id="191"/>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本招标文件包括：</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（1）招标公告；</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（2）投标人须知；</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（3）评标办法；</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（4）合同条款及格式；</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（5）发包人要求；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（6）发包人提供的资料和条件；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（7）投标文件格式；</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（8）投标人须知前附表规定的其他资料。</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根据本章第1.10款、第2.2款和第2.3款对招标文件所作的澄清、修改，构成招标文件的组成部分。</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当招标文件、招标文件的澄清或修改等在同一内容的表述上不一致时，以最后发出的书面文件为准。</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92" w:name="_Toc23747522"/>
      <w:bookmarkStart w:id="193" w:name="_Toc234832886"/>
      <w:bookmarkStart w:id="194" w:name="_Toc501257076"/>
      <w:r>
        <w:rPr>
          <w:rFonts w:hint="default" w:ascii="Times New Roman" w:hAnsi="Times New Roman" w:eastAsia="黑体" w:cs="Times New Roman"/>
          <w:b w:val="0"/>
          <w:color w:val="auto"/>
          <w:sz w:val="24"/>
          <w:szCs w:val="24"/>
          <w:highlight w:val="none"/>
        </w:rPr>
        <w:t>2.2 招标文件的澄清</w:t>
      </w:r>
      <w:bookmarkEnd w:id="192"/>
      <w:bookmarkEnd w:id="193"/>
      <w:bookmarkEnd w:id="194"/>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2.2.2 招标文件的澄清以投标人须知前附表规定的形式发给所有</w:t>
      </w:r>
      <w:r>
        <w:rPr>
          <w:rFonts w:hint="default" w:ascii="Times New Roman" w:hAnsi="Times New Roman" w:cs="Times New Roman"/>
          <w:color w:val="auto"/>
          <w:sz w:val="24"/>
          <w:highlight w:val="none"/>
          <w:lang w:val="en-US" w:eastAsia="zh-CN"/>
        </w:rPr>
        <w:t>获取</w:t>
      </w:r>
      <w:r>
        <w:rPr>
          <w:rFonts w:hint="default" w:ascii="Times New Roman" w:hAnsi="Times New Roman" w:eastAsia="宋体" w:cs="Times New Roman"/>
          <w:color w:val="auto"/>
          <w:sz w:val="24"/>
          <w:highlight w:val="none"/>
        </w:rPr>
        <w:t>招标文件的投标人，但不指明澄清问题的来源。澄清发出的时间距本章第4.2.1项规定的投标截止时间不足15日，且澄清内容可能影响投标文件编制的，将相应延长投标截止时间。</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2.2.3 </w:t>
      </w: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lang w:val="en-US" w:eastAsia="zh-CN"/>
        </w:rPr>
        <w:t>应</w:t>
      </w:r>
      <w:r>
        <w:rPr>
          <w:rFonts w:hint="default" w:ascii="Times New Roman" w:hAnsi="Times New Roman" w:cs="Times New Roman"/>
          <w:color w:val="auto"/>
          <w:sz w:val="24"/>
          <w:szCs w:val="24"/>
          <w:highlight w:val="none"/>
        </w:rPr>
        <w:t>按照投标人须知前附表要求及时收悉澄清内容。</w:t>
      </w:r>
      <w:r>
        <w:rPr>
          <w:rFonts w:hint="default" w:ascii="Times New Roman" w:hAnsi="Times New Roman" w:cs="Times New Roman"/>
          <w:color w:val="auto"/>
          <w:sz w:val="24"/>
          <w:highlight w:val="none"/>
        </w:rPr>
        <w:t>投标人应注意及时浏览网上发出的澄清，因投标人自身原因未及时获知澄清内容而导致的任何后果将由投标人自行承担</w:t>
      </w:r>
      <w:r>
        <w:rPr>
          <w:rFonts w:hint="default" w:ascii="Times New Roman" w:hAnsi="Times New Roman" w:eastAsia="宋体" w:cs="Times New Roman"/>
          <w:color w:val="auto"/>
          <w:sz w:val="24"/>
          <w:highlight w:val="none"/>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2.2.4 除非招标人认为确有必要答复，否则，招标人有权拒绝回复投标人在本章第2.2.1项规定的时间后提出的任何澄清要求。</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95" w:name="_Toc23747523"/>
      <w:bookmarkStart w:id="196" w:name="_Toc234832887"/>
      <w:bookmarkStart w:id="197" w:name="_Toc501257077"/>
      <w:r>
        <w:rPr>
          <w:rFonts w:hint="default" w:ascii="Times New Roman" w:hAnsi="Times New Roman" w:eastAsia="黑体" w:cs="Times New Roman"/>
          <w:b w:val="0"/>
          <w:color w:val="auto"/>
          <w:sz w:val="24"/>
          <w:szCs w:val="24"/>
          <w:highlight w:val="none"/>
        </w:rPr>
        <w:t>2.3 招标文件的修改</w:t>
      </w:r>
      <w:bookmarkEnd w:id="195"/>
      <w:bookmarkEnd w:id="196"/>
      <w:bookmarkEnd w:id="197"/>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2.3.1 招标人以投标人须知前附表规定的形式修改招标文件。修改招标文件的时间距本章第4.2.1项规定的投标截止时间不足15日，且修改内容可能影响投标文件编制的，将相应延长投标截止时间。</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bookmarkStart w:id="198" w:name="_Toc501257078"/>
      <w:bookmarkStart w:id="199" w:name="_Toc23747524"/>
      <w:r>
        <w:rPr>
          <w:rFonts w:hint="default" w:ascii="Times New Roman" w:hAnsi="Times New Roman" w:eastAsia="宋体" w:cs="Times New Roman"/>
          <w:color w:val="auto"/>
          <w:sz w:val="24"/>
          <w:highlight w:val="none"/>
        </w:rPr>
        <w:t xml:space="preserve">2.3.2 </w:t>
      </w: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lang w:val="en-US" w:eastAsia="zh-CN"/>
        </w:rPr>
        <w:t>应</w:t>
      </w:r>
      <w:r>
        <w:rPr>
          <w:rFonts w:hint="default" w:ascii="Times New Roman" w:hAnsi="Times New Roman" w:cs="Times New Roman"/>
          <w:color w:val="auto"/>
          <w:sz w:val="24"/>
          <w:szCs w:val="24"/>
          <w:highlight w:val="none"/>
        </w:rPr>
        <w:t>按照投标人须知前附表要求及时收悉</w:t>
      </w:r>
      <w:r>
        <w:rPr>
          <w:rFonts w:hint="default" w:ascii="Times New Roman" w:hAnsi="Times New Roman" w:cs="Times New Roman"/>
          <w:color w:val="auto"/>
          <w:sz w:val="24"/>
          <w:szCs w:val="24"/>
          <w:highlight w:val="none"/>
          <w:lang w:val="en-US" w:eastAsia="zh-CN"/>
        </w:rPr>
        <w:t>修改</w:t>
      </w:r>
      <w:r>
        <w:rPr>
          <w:rFonts w:hint="default" w:ascii="Times New Roman" w:hAnsi="Times New Roman" w:cs="Times New Roman"/>
          <w:color w:val="auto"/>
          <w:sz w:val="24"/>
          <w:szCs w:val="24"/>
          <w:highlight w:val="none"/>
        </w:rPr>
        <w:t>内容</w:t>
      </w:r>
      <w:r>
        <w:rPr>
          <w:rFonts w:hint="default" w:ascii="Times New Roman" w:hAnsi="Times New Roman" w:cs="Times New Roman"/>
          <w:color w:val="auto"/>
          <w:sz w:val="24"/>
          <w:highlight w:val="none"/>
        </w:rPr>
        <w:t>。投标人应注意及时浏览网上发出的修改，因投标人自身原因未及时获知修改内容而导致的任何后果将由投标人自行承担</w:t>
      </w:r>
      <w:r>
        <w:rPr>
          <w:rFonts w:hint="default" w:ascii="Times New Roman" w:hAnsi="Times New Roman" w:eastAsia="宋体" w:cs="Times New Roman"/>
          <w:color w:val="auto"/>
          <w:sz w:val="24"/>
          <w:highlight w:val="none"/>
        </w:rPr>
        <w:t>。</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2.4 招标文件的异议</w:t>
      </w:r>
      <w:bookmarkEnd w:id="198"/>
      <w:bookmarkEnd w:id="199"/>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bookmarkStart w:id="200" w:name="_Toc23747525"/>
      <w:bookmarkStart w:id="201" w:name="_Toc234832888"/>
      <w:bookmarkStart w:id="202" w:name="_Toc501257079"/>
      <w:r>
        <w:rPr>
          <w:rFonts w:hint="default" w:ascii="Times New Roman" w:hAnsi="Times New Roman" w:cs="Times New Roman"/>
          <w:color w:val="auto"/>
          <w:sz w:val="24"/>
          <w:highlight w:val="none"/>
        </w:rPr>
        <w:t>投标人或其他利害关系人对招标文件有异议的，应在投标截止时间10日前以书面形式提出。招标人将在收到异议之日起3日内作出答复；作出答复前，将暂停招标投标活动。</w:t>
      </w:r>
    </w:p>
    <w:p>
      <w:pPr>
        <w:pStyle w:val="2"/>
        <w:pageBreakBefore w:val="0"/>
        <w:kinsoku/>
        <w:wordWrap w:val="0"/>
        <w:overflowPunct/>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203" w:name="_Toc5237"/>
      <w:bookmarkStart w:id="204" w:name="_Toc19023"/>
      <w:bookmarkStart w:id="205" w:name="_Toc32547"/>
      <w:r>
        <w:rPr>
          <w:rFonts w:hint="default" w:ascii="Times New Roman" w:hAnsi="Times New Roman" w:eastAsia="黑体" w:cs="Times New Roman"/>
          <w:b w:val="0"/>
          <w:color w:val="auto"/>
          <w:sz w:val="28"/>
          <w:szCs w:val="28"/>
          <w:highlight w:val="none"/>
        </w:rPr>
        <w:t>3. 投标文件</w:t>
      </w:r>
      <w:bookmarkEnd w:id="200"/>
      <w:bookmarkEnd w:id="201"/>
      <w:bookmarkEnd w:id="202"/>
      <w:bookmarkEnd w:id="203"/>
      <w:bookmarkEnd w:id="204"/>
      <w:bookmarkEnd w:id="205"/>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06" w:name="_Toc501257080"/>
      <w:bookmarkStart w:id="207" w:name="_Toc234832889"/>
      <w:bookmarkStart w:id="208" w:name="_Toc23747526"/>
      <w:r>
        <w:rPr>
          <w:rFonts w:hint="default" w:ascii="Times New Roman" w:hAnsi="Times New Roman" w:eastAsia="黑体" w:cs="Times New Roman"/>
          <w:b w:val="0"/>
          <w:color w:val="auto"/>
          <w:sz w:val="24"/>
          <w:szCs w:val="24"/>
          <w:highlight w:val="none"/>
        </w:rPr>
        <w:t>3.1</w:t>
      </w:r>
      <w:r>
        <w:rPr>
          <w:rFonts w:hint="default" w:ascii="Times New Roman" w:hAnsi="Times New Roman" w:eastAsia="黑体" w:cs="Times New Roman"/>
          <w:b w:val="0"/>
          <w:color w:val="auto"/>
          <w:sz w:val="24"/>
          <w:szCs w:val="24"/>
          <w:highlight w:val="none"/>
        </w:rPr>
        <w:tab/>
      </w:r>
      <w:r>
        <w:rPr>
          <w:rFonts w:hint="default" w:ascii="Times New Roman" w:hAnsi="Times New Roman" w:eastAsia="黑体" w:cs="Times New Roman"/>
          <w:b w:val="0"/>
          <w:color w:val="auto"/>
          <w:sz w:val="24"/>
          <w:szCs w:val="24"/>
          <w:highlight w:val="none"/>
        </w:rPr>
        <w:t>投标文件的组成</w:t>
      </w:r>
      <w:bookmarkEnd w:id="206"/>
      <w:bookmarkEnd w:id="207"/>
      <w:bookmarkEnd w:id="208"/>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根据投标人须知前附表规定的不同形式，投标文件的组成应满足相应条款要求。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投标文件应包括下列内容：</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（1）投标函及投标函附录；</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（2）授权委托书或法定代表人身份证明；</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（3）联合体协议书（如有）；</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（4）投标保证金（如有）；</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（5）承包人建议书；</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（6）承包人实施计划；</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（7）拟分包项目情况表（如有）；</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（8）资格审查资料； </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（9）投标人须知前附表规定的其他资料。</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第二个信封（报价文件）：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（1）投标函；</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（2）价格清单；</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（3）合同用款估算表。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投标人在评标过程中作出的符合法律法规和招标文件规定的澄清确认，构成投标文件的组成部分。</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投标人须知前附表规定不接受联合体投标的，或投标人没有组成联合体的，投标文件不包括本章第3.1.1（3）目所指的联合体协议书。</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投标人须知前附表未要求提交投标保证金的，投标文件不包括本章第3.1.1（4）目所指的投标保证金。</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09" w:name="_Toc501257081"/>
      <w:bookmarkStart w:id="210" w:name="_Toc23747527"/>
      <w:bookmarkStart w:id="211" w:name="_Toc234832890"/>
      <w:r>
        <w:rPr>
          <w:rFonts w:hint="default" w:ascii="Times New Roman" w:hAnsi="Times New Roman" w:eastAsia="黑体" w:cs="Times New Roman"/>
          <w:b w:val="0"/>
          <w:color w:val="auto"/>
          <w:sz w:val="24"/>
          <w:szCs w:val="24"/>
          <w:highlight w:val="none"/>
        </w:rPr>
        <w:t>3.2 投标报价</w:t>
      </w:r>
      <w:bookmarkEnd w:id="209"/>
      <w:bookmarkEnd w:id="210"/>
      <w:bookmarkEnd w:id="211"/>
      <w:r>
        <w:rPr>
          <w:rFonts w:hint="default" w:ascii="Times New Roman" w:hAnsi="Times New Roman" w:eastAsia="黑体" w:cs="Times New Roman"/>
          <w:b w:val="0"/>
          <w:color w:val="auto"/>
          <w:sz w:val="24"/>
          <w:szCs w:val="24"/>
          <w:highlight w:val="none"/>
        </w:rPr>
        <w:t xml:space="preserve"> </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3.2.1 投标人应按第七章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的要求填写价格清单。</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3.2.2 投标人应充分了解施工场地的位置、周边环境、道路、装卸、保管、安装限制以及影响投标报价的其他要素。投标人根据投标设计，结合市场情况进行投标报价。</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投标报价应当包括本项目施工图勘察设计费、建筑安装工程费、设备购置费、缺陷责任期维修费、保险费等。</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3.2.3 投标人在投标截止时间前修改投标函中的投标报价总额，应同时修改投标文件</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价格清单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中的相应报价，投标报价总额为各分项金额之和。此修改须符合本章第4.3款的有关要求。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3.2.4 招标人设有最高投标限价的，投标人的投标报价不得超过最高投标限价，最高投标限价或其计算方法在投标人须知前附表中载明。</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3.2.5 投标报价的其他要求见投标人须知前附表。</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12" w:name="_Toc501257082"/>
      <w:bookmarkStart w:id="213" w:name="_Toc23747528"/>
      <w:bookmarkStart w:id="214" w:name="_Toc234832891"/>
      <w:r>
        <w:rPr>
          <w:rFonts w:hint="default" w:ascii="Times New Roman" w:hAnsi="Times New Roman" w:eastAsia="黑体" w:cs="Times New Roman"/>
          <w:b w:val="0"/>
          <w:color w:val="auto"/>
          <w:sz w:val="24"/>
          <w:szCs w:val="24"/>
          <w:highlight w:val="none"/>
        </w:rPr>
        <w:t>3.3</w:t>
      </w:r>
      <w:r>
        <w:rPr>
          <w:rFonts w:hint="default" w:ascii="Times New Roman" w:hAnsi="Times New Roman" w:eastAsia="黑体" w:cs="Times New Roman"/>
          <w:b w:val="0"/>
          <w:color w:val="auto"/>
          <w:sz w:val="24"/>
          <w:szCs w:val="24"/>
          <w:highlight w:val="none"/>
        </w:rPr>
        <w:tab/>
      </w:r>
      <w:r>
        <w:rPr>
          <w:rFonts w:hint="default" w:ascii="Times New Roman" w:hAnsi="Times New Roman" w:eastAsia="黑体" w:cs="Times New Roman"/>
          <w:b w:val="0"/>
          <w:color w:val="auto"/>
          <w:sz w:val="24"/>
          <w:szCs w:val="24"/>
          <w:highlight w:val="none"/>
        </w:rPr>
        <w:t>投标有效期</w:t>
      </w:r>
      <w:bookmarkEnd w:id="212"/>
      <w:bookmarkEnd w:id="213"/>
      <w:bookmarkEnd w:id="214"/>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3.3.1 除投标人须知前附表另有规定外，投标有效期为120日。</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3.3.2 在投标有效期内，投标人撤销投标文件的，应承担招标文件和法律规定的责任。</w:t>
      </w:r>
      <w:r>
        <w:rPr>
          <w:rFonts w:hint="default" w:ascii="Times New Roman" w:hAnsi="Times New Roman" w:eastAsia="宋体" w:cs="Times New Roman"/>
          <w:color w:val="auto"/>
          <w:sz w:val="24"/>
          <w:highlight w:val="none"/>
        </w:rPr>
        <w:tab/>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3.3.3 出现特殊情况需要延长投标有效期的，招标人</w:t>
      </w:r>
      <w:r>
        <w:rPr>
          <w:rFonts w:hint="default" w:ascii="Times New Roman" w:hAnsi="Times New Roman" w:cs="Times New Roman"/>
          <w:color w:val="auto"/>
          <w:sz w:val="24"/>
          <w:highlight w:val="none"/>
          <w:lang w:val="en-US" w:eastAsia="zh-CN"/>
        </w:rPr>
        <w:t>通过电子交易平台</w:t>
      </w:r>
      <w:r>
        <w:rPr>
          <w:rFonts w:hint="default" w:ascii="Times New Roman" w:hAnsi="Times New Roman" w:eastAsia="宋体" w:cs="Times New Roman"/>
          <w:color w:val="auto"/>
          <w:sz w:val="24"/>
          <w:highlight w:val="none"/>
        </w:rPr>
        <w:t>通知所有投标人延长投标有效期。投标人同意延长的，应相应延长其投标保证金的有效期，但不得要求或被允许修改其投标文件；投标人拒绝延长的，其投标失效，但投标人有权收回其投标保证金及以现金或支票形式递交的投标保证金的银行同期活期存款利息。</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15" w:name="_Toc501257083"/>
      <w:bookmarkStart w:id="216" w:name="_Toc234832892"/>
      <w:bookmarkStart w:id="217" w:name="_Toc23747529"/>
      <w:r>
        <w:rPr>
          <w:rFonts w:hint="default" w:ascii="Times New Roman" w:hAnsi="Times New Roman" w:eastAsia="黑体" w:cs="Times New Roman"/>
          <w:b w:val="0"/>
          <w:color w:val="auto"/>
          <w:sz w:val="24"/>
          <w:szCs w:val="24"/>
          <w:highlight w:val="none"/>
        </w:rPr>
        <w:t>3.4</w:t>
      </w:r>
      <w:r>
        <w:rPr>
          <w:rFonts w:hint="default" w:ascii="Times New Roman" w:hAnsi="Times New Roman" w:eastAsia="黑体" w:cs="Times New Roman"/>
          <w:b w:val="0"/>
          <w:color w:val="auto"/>
          <w:sz w:val="24"/>
          <w:szCs w:val="24"/>
          <w:highlight w:val="none"/>
        </w:rPr>
        <w:tab/>
      </w:r>
      <w:r>
        <w:rPr>
          <w:rFonts w:hint="default" w:ascii="Times New Roman" w:hAnsi="Times New Roman" w:eastAsia="黑体" w:cs="Times New Roman"/>
          <w:b w:val="0"/>
          <w:color w:val="auto"/>
          <w:sz w:val="24"/>
          <w:szCs w:val="24"/>
          <w:highlight w:val="none"/>
        </w:rPr>
        <w:t xml:space="preserve"> 投标保证金</w:t>
      </w:r>
      <w:bookmarkEnd w:id="215"/>
      <w:bookmarkEnd w:id="216"/>
      <w:bookmarkEnd w:id="217"/>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 投标人在递交投标文件的同时，应按投标人须知前附表规定的金额</w:t>
      </w:r>
      <w:r>
        <w:rPr>
          <w:rFonts w:hint="default" w:ascii="Times New Roman" w:hAnsi="Times New Roman" w:eastAsia="宋体" w:cs="Times New Roman"/>
          <w:color w:val="auto"/>
          <w:sz w:val="24"/>
          <w:highlight w:val="none"/>
          <w:vertAlign w:val="superscript"/>
        </w:rPr>
        <w:footnoteReference w:id="29"/>
      </w:r>
      <w:r>
        <w:rPr>
          <w:rFonts w:hint="default" w:ascii="Times New Roman" w:hAnsi="Times New Roman" w:eastAsia="宋体" w:cs="Times New Roman"/>
          <w:color w:val="auto"/>
          <w:sz w:val="24"/>
          <w:highlight w:val="none"/>
        </w:rPr>
        <w:t>和第七章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规定的投标保证金格式递交投标保证金，并作为其投标文件的组成部分。联合体投标的，其投标保证金由牵头人递交，并应符合投标人须知前附表的规定。</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投标保证金应采用现金、支票、银行保函或招标人在投标人须知前附表规定的其他形式。</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若采用现金或支票，投标人应在递交投标文件截止时间之前，将投标保证金由投标人的基本账户转入招标人指定账户并在投标文件中附上投标保证金从基本账户转出的承诺函，否则视为投标保证金无效。招标人指定的开户银行及账号见投标人须知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（2）若采用银行保函，则应由符合投标人须知前附表规定级别的银行开具，并采用招标文件提供的格式。银行保函</w:t>
      </w:r>
      <w:r>
        <w:rPr>
          <w:rFonts w:hint="default" w:ascii="Times New Roman" w:hAnsi="Times New Roman" w:cs="Times New Roman"/>
          <w:color w:val="auto"/>
          <w:sz w:val="24"/>
          <w:highlight w:val="none"/>
          <w:lang w:eastAsia="zh-CN"/>
        </w:rPr>
        <w:t>原件扫描件</w:t>
      </w:r>
      <w:r>
        <w:rPr>
          <w:rFonts w:hint="default" w:ascii="Times New Roman" w:hAnsi="Times New Roman" w:cs="Times New Roman"/>
          <w:color w:val="auto"/>
          <w:sz w:val="24"/>
          <w:highlight w:val="none"/>
          <w:lang w:val="en-US" w:eastAsia="zh-CN"/>
        </w:rPr>
        <w:t>编辑</w:t>
      </w:r>
      <w:r>
        <w:rPr>
          <w:rFonts w:hint="default" w:ascii="Times New Roman" w:hAnsi="Times New Roman" w:eastAsia="宋体" w:cs="Times New Roman"/>
          <w:color w:val="auto"/>
          <w:sz w:val="24"/>
          <w:highlight w:val="none"/>
        </w:rPr>
        <w:t>在投标文件内。</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lang w:eastAsia="zh-CN"/>
        </w:rPr>
        <w:t>）若采用电子保函形式提交，投标人应在投标文件中提供电子保函的扫描件和电子化保函验真渠道。</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无论采取何种形式的投标保证金，投标保证金有效期均应与投标有效期一致。招标人如果按本章第3.3.3项的规定延长了投标有效期，则投标保证金的有效期也相应延长。</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 投标人不按本章第3.4.1项要求提交投标保证金的，评标委员会将否决其投标。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3.4.3 招标人最迟将在中标通知书发出后5日内向中标候选人以外的其他投标人退还投标保证金，与中标人签订合同后5日内向中标人和其他中标候选人退还投标保证金。投标保证金以现金或支票形式递交的，招标人应同时退还投标保证金的银行同期活期存款利息，且退还至投标人的基本账户。</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u w:val="single"/>
        </w:rPr>
      </w:pPr>
      <w:r>
        <w:rPr>
          <w:rFonts w:hint="default" w:ascii="Times New Roman" w:hAnsi="Times New Roman" w:eastAsia="宋体" w:cs="Times New Roman"/>
          <w:color w:val="auto"/>
          <w:sz w:val="24"/>
          <w:highlight w:val="none"/>
        </w:rPr>
        <w:t>利息计算原则见投标人须知前附表。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3.4.4 有下列情形之一的，投标保证金将不予退还：</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（1）投标人在投标有效期内撤销投标文件；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（2）中标人在收到中标通知书后，无正当理由不与招标人订立合同，在签订合同时向招标人提出附加条件，或不按照招标文件要求提交履约保证金；</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（3）发生投标人须知前附表规定的其他不予退还投标保证金的情形。</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18" w:name="_Toc501257085"/>
      <w:bookmarkStart w:id="219" w:name="_Toc234832894"/>
      <w:bookmarkStart w:id="220" w:name="_Toc23747531"/>
      <w:r>
        <w:rPr>
          <w:rFonts w:hint="default" w:ascii="Times New Roman" w:hAnsi="Times New Roman" w:eastAsia="黑体" w:cs="Times New Roman"/>
          <w:b w:val="0"/>
          <w:color w:val="auto"/>
          <w:sz w:val="24"/>
          <w:szCs w:val="24"/>
          <w:highlight w:val="none"/>
        </w:rPr>
        <w:t>3.5</w:t>
      </w:r>
      <w:r>
        <w:rPr>
          <w:rFonts w:hint="default" w:ascii="Times New Roman" w:hAnsi="Times New Roman" w:eastAsia="黑体" w:cs="Times New Roman"/>
          <w:b w:val="0"/>
          <w:color w:val="auto"/>
          <w:sz w:val="24"/>
          <w:szCs w:val="24"/>
          <w:highlight w:val="none"/>
        </w:rPr>
        <w:tab/>
      </w:r>
      <w:r>
        <w:rPr>
          <w:rFonts w:hint="default" w:ascii="Times New Roman" w:hAnsi="Times New Roman" w:eastAsia="黑体" w:cs="Times New Roman"/>
          <w:b w:val="0"/>
          <w:color w:val="auto"/>
          <w:sz w:val="24"/>
          <w:szCs w:val="24"/>
          <w:highlight w:val="none"/>
        </w:rPr>
        <w:t xml:space="preserve"> 资格审查资料</w:t>
      </w:r>
      <w:bookmarkEnd w:id="218"/>
      <w:bookmarkEnd w:id="219"/>
      <w:bookmarkEnd w:id="220"/>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除投标人须知前附表另有规定外，投标人应按下列规定提供资格审查资料，以证明其满足本章第1.4款规定的资质、财务、业绩、信誉等要求。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投标人应在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中建立信用信息档案，并对在系统中所填报内容的真实性、准确性和完整性负责。投标人需要在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中备案或更新的内容，</w:t>
      </w:r>
      <w:r>
        <w:rPr>
          <w:rFonts w:hint="default" w:ascii="Times New Roman" w:hAnsi="Times New Roman" w:cs="Times New Roman"/>
          <w:color w:val="auto"/>
          <w:sz w:val="24"/>
          <w:szCs w:val="24"/>
          <w:highlight w:val="none"/>
          <w:lang w:val="en-US" w:eastAsia="zh-CN"/>
        </w:rPr>
        <w:t>应</w:t>
      </w:r>
      <w:r>
        <w:rPr>
          <w:rFonts w:hint="default" w:ascii="Times New Roman" w:hAnsi="Times New Roman" w:eastAsia="宋体" w:cs="Times New Roman"/>
          <w:color w:val="auto"/>
          <w:sz w:val="24"/>
          <w:szCs w:val="24"/>
          <w:highlight w:val="none"/>
        </w:rPr>
        <w:t>在投标文件递交截止时间之前完成备案或更新，未录入、更新至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的信息数据或已录入、更新至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中但</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投标文件</w:t>
      </w:r>
      <w:r>
        <w:rPr>
          <w:rFonts w:hint="eastAsia" w:ascii="宋体" w:hAnsi="宋体" w:eastAsia="宋体" w:cs="宋体"/>
          <w:color w:val="auto"/>
          <w:sz w:val="24"/>
          <w:szCs w:val="24"/>
          <w:highlight w:val="none"/>
          <w:lang w:eastAsia="zh-CN"/>
        </w:rPr>
        <w:t>”</w:t>
      </w:r>
      <w:r>
        <w:rPr>
          <w:rFonts w:hint="default" w:ascii="Times New Roman" w:hAnsi="Times New Roman" w:eastAsia="宋体" w:cs="Times New Roman"/>
          <w:color w:val="auto"/>
          <w:sz w:val="24"/>
          <w:szCs w:val="24"/>
          <w:highlight w:val="none"/>
        </w:rPr>
        <w:t>中未填报的内容，均不予认可，投标文件中证明资料的</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应从</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val="en-US" w:eastAsia="zh-CN"/>
        </w:rPr>
        <w:t>主体信息库</w:t>
      </w:r>
      <w:r>
        <w:rPr>
          <w:rFonts w:hint="default" w:ascii="Times New Roman" w:hAnsi="Times New Roman" w:eastAsia="宋体" w:cs="Times New Roman"/>
          <w:color w:val="auto"/>
          <w:sz w:val="24"/>
          <w:szCs w:val="24"/>
          <w:highlight w:val="none"/>
        </w:rPr>
        <w:t>中选择并进行超链接</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除投标人须知前附表另有规定外</w:t>
      </w:r>
      <w:r>
        <w:rPr>
          <w:rFonts w:hint="default" w:ascii="Times New Roman" w:hAnsi="Times New Roman" w:eastAsia="宋体" w:cs="Times New Roman"/>
          <w:color w:val="auto"/>
          <w:sz w:val="24"/>
          <w:szCs w:val="24"/>
          <w:highlight w:val="none"/>
        </w:rPr>
        <w:t>招标人不再接受投标人提交相关证明原件作为替代或补充。</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3.5.1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投标人基本情况表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应附营业执照、勘察资质证书、设计资质证书、施工资质证书、安全生产许可证、</w:t>
      </w:r>
      <w:r>
        <w:rPr>
          <w:rFonts w:hint="default" w:ascii="Times New Roman" w:hAnsi="Times New Roman" w:cs="Times New Roman"/>
          <w:color w:val="auto"/>
          <w:sz w:val="24"/>
          <w:szCs w:val="24"/>
          <w:highlight w:val="none"/>
          <w:lang w:eastAsia="zh-CN"/>
        </w:rPr>
        <w:t>基本账户开户许可证</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基本存款账户信息</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，投标人在交通运输部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全国</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公路工程设计、施工资质企业名录中的网页截图</w:t>
      </w:r>
      <w:r>
        <w:rPr>
          <w:rStyle w:val="45"/>
          <w:rFonts w:hint="default" w:ascii="Times New Roman" w:hAnsi="Times New Roman" w:eastAsia="宋体" w:cs="Times New Roman"/>
          <w:color w:val="auto"/>
          <w:sz w:val="24"/>
          <w:highlight w:val="none"/>
        </w:rPr>
        <w:footnoteReference w:id="30"/>
      </w:r>
      <w:r>
        <w:rPr>
          <w:rFonts w:hint="default" w:ascii="Times New Roman" w:hAnsi="Times New Roman" w:eastAsia="宋体" w:cs="Times New Roman"/>
          <w:color w:val="auto"/>
          <w:sz w:val="24"/>
          <w:highlight w:val="none"/>
        </w:rPr>
        <w:t>，以及投标人在国家企业信用信息公示系统中基础信息（体现股东及出资详细信息）的网页截图。</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营业执照、勘察资质证书、设计资质证书、施工资质证书、安全生产许可证</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lang w:eastAsia="zh-CN"/>
        </w:rPr>
        <w:t>基本账户开户许可证</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基本存款账户信息</w:t>
      </w:r>
      <w:r>
        <w:rPr>
          <w:rFonts w:hint="default" w:ascii="Times New Roman" w:hAnsi="Times New Roman" w:eastAsia="宋体" w:cs="Times New Roman"/>
          <w:color w:val="auto"/>
          <w:sz w:val="24"/>
          <w:highlight w:val="none"/>
        </w:rPr>
        <w:t>的</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应提供全本（证书封面、封底、空白页除外），应包括投标人名称、投标人其他相关信息、颁发机构名称、投标人信息变更情况等关键页在内。</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3.5.2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财务状况表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应附经会计师事务所或审计机构审计的财务会计报表，包括资产负债表、现金流量表、利润表和财务情况说明书的</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，具体年份要求见投标人须知前附表。投标人的成立时间少于投标人须知前附表规定年份的，应提供成立以来的财务状况表。</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3.5.3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近年完成的类似项目</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具体时间要求见投标人须知前附表。</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投标人应在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辽宁省公共资源交易一张网电子化平台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lang w:eastAsia="zh-CN"/>
        </w:rPr>
        <w:t>主体信息库</w:t>
      </w:r>
      <w:r>
        <w:rPr>
          <w:rFonts w:hint="default" w:ascii="Times New Roman" w:hAnsi="Times New Roman" w:eastAsia="宋体" w:cs="Times New Roman"/>
          <w:color w:val="auto"/>
          <w:sz w:val="24"/>
          <w:highlight w:val="none"/>
        </w:rPr>
        <w:t>中选择并进行超链接。</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3.5.4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投标人的信誉情况表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应附投标人在国家企业信用信息公示系统中未被列入严重违法失信企业名单、在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信用中国（或中国执行信息公开网）</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网站中未被列入失信被执行人名单的网页截图，以及</w:t>
      </w:r>
      <w:r>
        <w:rPr>
          <w:rFonts w:hint="default" w:ascii="Times New Roman" w:hAnsi="Times New Roman" w:cs="Times New Roman"/>
          <w:color w:val="auto"/>
          <w:sz w:val="24"/>
          <w:szCs w:val="24"/>
          <w:highlight w:val="none"/>
          <w:lang w:val="en-US" w:eastAsia="zh-CN"/>
        </w:rPr>
        <w:t>近三年内（以投标截止日期为截止日、往前推算3个年度）投标人单位、个人（指项目负责人、设计负责人和施工负责人）均无行贿犯罪行为的书面承诺</w:t>
      </w:r>
      <w:r>
        <w:rPr>
          <w:rFonts w:hint="eastAsia" w:ascii="宋体" w:hAnsi="宋体" w:cs="宋体"/>
          <w:color w:val="auto"/>
          <w:sz w:val="24"/>
          <w:szCs w:val="24"/>
          <w:highlight w:val="none"/>
          <w:lang w:val="en-US" w:eastAsia="zh-CN"/>
        </w:rPr>
        <w:t>“原件扫描件”</w:t>
      </w:r>
      <w:r>
        <w:rPr>
          <w:rFonts w:hint="default" w:ascii="Times New Roman" w:hAnsi="Times New Roman" w:cs="Times New Roman"/>
          <w:color w:val="auto"/>
          <w:sz w:val="24"/>
          <w:szCs w:val="24"/>
          <w:highlight w:val="none"/>
          <w:lang w:val="en-US" w:eastAsia="zh-CN"/>
        </w:rPr>
        <w:t>（格式详见招标文件第七章）</w:t>
      </w:r>
      <w:r>
        <w:rPr>
          <w:rFonts w:hint="default" w:ascii="Times New Roman" w:hAnsi="Times New Roman" w:eastAsia="宋体" w:cs="Times New Roman"/>
          <w:color w:val="auto"/>
          <w:sz w:val="24"/>
          <w:highlight w:val="none"/>
        </w:rPr>
        <w:t>。</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3.5.5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拟委任的项目负责人、设计负责人和施工负责人资历表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应附项目负责人、设计负责人和施工负责人身份证、职称资格证书以及资格审查条件所要求的其他相关证书（如建造师注册证书、安全生产考核合格证书等）的</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建造师注册证书、安全生产考核合格证书在政府相关部门网站上公开信息的网页截图，以及在社保系统打印的拟委任的项目负责人、设计负责人和施工负责人的缴费明细或其他能够证明拟委任的项目负责人、设计负责人和施工负责人参加社保的有效证明材料</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如项目负责人和施工负责人目前仍在其他项目上任职，则投标人应出具上述人员能够从该项目撤离的书</w:t>
      </w:r>
      <w:r>
        <w:rPr>
          <w:rFonts w:hint="default" w:ascii="Times New Roman" w:hAnsi="Times New Roman" w:cs="Times New Roman"/>
          <w:color w:val="auto"/>
          <w:sz w:val="24"/>
          <w:highlight w:val="none"/>
          <w:lang w:val="en-US" w:eastAsia="zh-CN"/>
        </w:rPr>
        <w:t>面</w:t>
      </w:r>
      <w:r>
        <w:rPr>
          <w:rFonts w:hint="default" w:ascii="Times New Roman" w:hAnsi="Times New Roman" w:eastAsia="宋体" w:cs="Times New Roman"/>
          <w:color w:val="auto"/>
          <w:sz w:val="24"/>
          <w:highlight w:val="none"/>
        </w:rPr>
        <w:t>承诺</w:t>
      </w:r>
      <w:r>
        <w:rPr>
          <w:rFonts w:hint="default" w:ascii="Times New Roman" w:hAnsi="Times New Roman" w:cs="Times New Roman"/>
          <w:color w:val="auto"/>
          <w:sz w:val="24"/>
          <w:highlight w:val="none"/>
          <w:lang w:eastAsia="zh-CN"/>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3.5.6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拟委任的其他管理和技术人员汇总表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（如有）应填报满足投标人须知前附表附录6规定的其他人员的相关信息。</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拟委任的其他管理和技术人员资历表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（如有）中相关人员应附身份证、职称资格证书以及资格审查条件所要求的其他相关证书的</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，相关业绩证明材料</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，以及在社保系统打印的拟委任的其他管理和技术人员的缴费明细或其他能够证明其参加社保的有效证明材料</w:t>
      </w:r>
      <w:r>
        <w:rPr>
          <w:rFonts w:hint="default" w:ascii="Times New Roman" w:hAnsi="Times New Roman" w:cs="Times New Roman"/>
          <w:color w:val="auto"/>
          <w:sz w:val="24"/>
          <w:highlight w:val="none"/>
          <w:lang w:eastAsia="zh-CN"/>
        </w:rPr>
        <w:t>原件扫描件</w:t>
      </w:r>
      <w:r>
        <w:rPr>
          <w:rFonts w:hint="default" w:ascii="Times New Roman" w:hAnsi="Times New Roman" w:eastAsia="宋体" w:cs="Times New Roman"/>
          <w:color w:val="auto"/>
          <w:sz w:val="24"/>
          <w:highlight w:val="none"/>
        </w:rPr>
        <w:t>。</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3.5.7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拟投入本标段的主要施工机械表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拟配备本标段的主要材料试验、测量、质检仪器设备表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（如有）应填报满足投标人须知前附表附录7规定的机械设备和试验检测设备。</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3.5.8 投标人须知前附表规定接受联合体投标的，本章第3.5.1项至第3.5.7项规定的表格和资料应包括联合体各方相关情况。</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3.5.9 除合同条款约定的特殊情形外，投标人在投标文件中填报的项目负责人、设计负责人和施工负责人不允许更换。</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3.5.10 投标人应根据本单位实际情况及时完成相关信息的申报、录入和动态更新，并对相关信息的真实性、完整性和准确性负责。</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3.5.11 招标人有权核查投标人在投标文件中提供的资料，若在评标期间发现投标人提供了虚假资料，其投标将被否决；若在签订合同前发现作为中标候选人的投标人提供了虚假资料，招标人有权取消其中标资格；若在合同实施期间发现投标人提供了虚假资料，招标人有权从工程支付款或履约保证金中扣除不超过10％签约合同价的金额作为违约金。同时招标人将投标人上述弄虚作假行为上报省级交通运输主管部门，作为不良记录纳入</w:t>
      </w:r>
      <w:r>
        <w:rPr>
          <w:rFonts w:hint="default" w:ascii="Times New Roman" w:hAnsi="Times New Roman" w:cs="Times New Roman"/>
          <w:color w:val="auto"/>
          <w:sz w:val="24"/>
          <w:highlight w:val="none"/>
          <w:lang w:eastAsia="zh-CN"/>
        </w:rPr>
        <w:t>全国公路建设市场监督管理系统</w:t>
      </w:r>
      <w:r>
        <w:rPr>
          <w:rFonts w:hint="default" w:ascii="Times New Roman" w:hAnsi="Times New Roman" w:eastAsia="宋体" w:cs="Times New Roman"/>
          <w:color w:val="auto"/>
          <w:sz w:val="24"/>
          <w:highlight w:val="none"/>
        </w:rPr>
        <w:t>。</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21" w:name="_Toc501257086"/>
      <w:bookmarkStart w:id="222" w:name="_Toc234832895"/>
      <w:bookmarkStart w:id="223" w:name="_Toc23747532"/>
      <w:r>
        <w:rPr>
          <w:rFonts w:hint="default" w:ascii="Times New Roman" w:hAnsi="Times New Roman" w:eastAsia="黑体" w:cs="Times New Roman"/>
          <w:b w:val="0"/>
          <w:color w:val="auto"/>
          <w:sz w:val="24"/>
          <w:szCs w:val="24"/>
          <w:highlight w:val="none"/>
        </w:rPr>
        <w:t>3.6 备选投标方案</w:t>
      </w:r>
      <w:bookmarkEnd w:id="221"/>
      <w:bookmarkEnd w:id="222"/>
      <w:bookmarkEnd w:id="223"/>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 除投标人须知前附表规定允许外，投标人不得递交备选投标方案，否则其投标将被否决。</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3.6.3 投标人提供两个或两个以上投标报价，或在投标文件中提供一个报价，但同时提供两个或两个以上</w:t>
      </w:r>
      <w:bookmarkStart w:id="224" w:name="_Toc369531538"/>
      <w:bookmarkStart w:id="225" w:name="_Toc152042326"/>
      <w:bookmarkStart w:id="226" w:name="_Toc300834971"/>
      <w:bookmarkStart w:id="227" w:name="_Toc152045550"/>
      <w:bookmarkStart w:id="228" w:name="_Toc144974518"/>
      <w:bookmarkStart w:id="229" w:name="_Toc29902"/>
      <w:bookmarkStart w:id="230" w:name="_Toc352691495"/>
      <w:bookmarkStart w:id="231" w:name="_Toc247527575"/>
      <w:bookmarkStart w:id="232" w:name="_Toc384308232"/>
      <w:bookmarkStart w:id="233" w:name="_Toc361508607"/>
      <w:bookmarkStart w:id="234" w:name="_Toc247513974"/>
      <w:r>
        <w:rPr>
          <w:rFonts w:hint="default" w:ascii="Times New Roman" w:hAnsi="Times New Roman" w:eastAsia="宋体" w:cs="Times New Roman"/>
          <w:color w:val="auto"/>
          <w:sz w:val="24"/>
          <w:highlight w:val="none"/>
        </w:rPr>
        <w:t>承包人建议书和承包人实施计划的</w:t>
      </w:r>
      <w:bookmarkEnd w:id="224"/>
      <w:bookmarkEnd w:id="225"/>
      <w:bookmarkEnd w:id="226"/>
      <w:bookmarkEnd w:id="227"/>
      <w:bookmarkEnd w:id="228"/>
      <w:bookmarkEnd w:id="229"/>
      <w:bookmarkEnd w:id="230"/>
      <w:bookmarkEnd w:id="231"/>
      <w:bookmarkEnd w:id="232"/>
      <w:bookmarkEnd w:id="233"/>
      <w:bookmarkEnd w:id="234"/>
      <w:r>
        <w:rPr>
          <w:rFonts w:hint="default" w:ascii="Times New Roman" w:hAnsi="Times New Roman" w:eastAsia="宋体" w:cs="Times New Roman"/>
          <w:color w:val="auto"/>
          <w:sz w:val="24"/>
          <w:highlight w:val="none"/>
        </w:rPr>
        <w:t>，视为提供备选方案。</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35" w:name="_Toc23747533"/>
      <w:bookmarkStart w:id="236" w:name="_Toc501257087"/>
      <w:bookmarkStart w:id="237" w:name="_Toc234832896"/>
      <w:r>
        <w:rPr>
          <w:rFonts w:hint="default" w:ascii="Times New Roman" w:hAnsi="Times New Roman" w:eastAsia="黑体" w:cs="Times New Roman"/>
          <w:b w:val="0"/>
          <w:color w:val="auto"/>
          <w:sz w:val="24"/>
          <w:szCs w:val="24"/>
          <w:highlight w:val="none"/>
        </w:rPr>
        <w:t>3.7 投标文件的编制</w:t>
      </w:r>
      <w:bookmarkEnd w:id="235"/>
      <w:bookmarkEnd w:id="236"/>
      <w:bookmarkEnd w:id="237"/>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3.7.1 投标文件应按第七章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进行编写，如有必要，可以增加附页，作为投标文件的组成部分。其中，投标函附录在满足招标文件实质性要求的基础上，可以提出比招标文件要求更有利于招标人的承诺。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3.7.2 投标文件应对招标文件有关招标范围、投标有效期、工期、质量要求、安全目标、发包人要求等实质性内容作出响应。</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3.7.3 投标文件的制作应满足以下规定：</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（1）投标文件由投标人使用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自带的</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制作生成。</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（2）投标人在编制投标文件时应建立分级目录，并按照标签提示导入相关内容。</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（3）投标文件中证明资料的</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，应从</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eastAsia="zh-CN"/>
        </w:rPr>
        <w:t>主体信息库</w:t>
      </w:r>
      <w:r>
        <w:rPr>
          <w:rFonts w:hint="default" w:ascii="Times New Roman" w:hAnsi="Times New Roman" w:cs="Times New Roman"/>
          <w:color w:val="auto"/>
          <w:sz w:val="24"/>
          <w:szCs w:val="24"/>
          <w:highlight w:val="none"/>
        </w:rPr>
        <w:t>中选择并进行超链接，未标示</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的证明资料均应直接制作生成。</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（4）投标文件中的已标价报价清单数据文件应与招标人提供的报价清单数据文件格式一致。</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（5）第</w:t>
      </w:r>
      <w:r>
        <w:rPr>
          <w:rFonts w:hint="default" w:ascii="Times New Roman" w:hAnsi="Times New Roman" w:cs="Times New Roman"/>
          <w:color w:val="auto"/>
          <w:sz w:val="24"/>
          <w:szCs w:val="24"/>
          <w:highlight w:val="none"/>
          <w:lang w:val="en-US" w:eastAsia="zh-CN"/>
        </w:rPr>
        <w:t>七</w:t>
      </w:r>
      <w:r>
        <w:rPr>
          <w:rFonts w:hint="default" w:ascii="Times New Roman" w:hAnsi="Times New Roman" w:cs="Times New Roman"/>
          <w:color w:val="auto"/>
          <w:sz w:val="24"/>
          <w:szCs w:val="24"/>
          <w:highlight w:val="none"/>
        </w:rPr>
        <w:t>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投标文件格式</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中要求盖单位章和（或）签字的地方，投标人均应使用CA 数字证书加盖投标人的单位电子印章和（或）</w:t>
      </w:r>
      <w:r>
        <w:rPr>
          <w:rFonts w:hint="eastAsia" w:cs="Times New Roman"/>
          <w:color w:val="auto"/>
          <w:sz w:val="24"/>
          <w:szCs w:val="24"/>
          <w:highlight w:val="none"/>
          <w:lang w:eastAsia="zh-CN"/>
        </w:rPr>
        <w:t>法定代表人或其委托代理人</w:t>
      </w:r>
      <w:r>
        <w:rPr>
          <w:rFonts w:hint="default" w:ascii="Times New Roman" w:hAnsi="Times New Roman" w:cs="Times New Roman"/>
          <w:color w:val="auto"/>
          <w:sz w:val="24"/>
          <w:szCs w:val="24"/>
          <w:highlight w:val="none"/>
        </w:rPr>
        <w:t>的个人电子印章或电子签名。联合体投标的，投标文件由联合体牵头人按上述规定加盖联合体牵头人单位电子印章和（或）</w:t>
      </w:r>
      <w:r>
        <w:rPr>
          <w:rFonts w:hint="eastAsia" w:cs="Times New Roman"/>
          <w:color w:val="auto"/>
          <w:sz w:val="24"/>
          <w:szCs w:val="24"/>
          <w:highlight w:val="none"/>
          <w:lang w:eastAsia="zh-CN"/>
        </w:rPr>
        <w:t>法定代表人或其委托代理人</w:t>
      </w:r>
      <w:r>
        <w:rPr>
          <w:rFonts w:hint="default" w:ascii="Times New Roman" w:hAnsi="Times New Roman" w:cs="Times New Roman"/>
          <w:color w:val="auto"/>
          <w:sz w:val="24"/>
          <w:szCs w:val="24"/>
          <w:highlight w:val="none"/>
        </w:rPr>
        <w:t>的个人电子印章或电子签名。</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（6）投标文件制作完成后，投标人应使用CA 数字证书对投标文件进行文件加密，形成加密的投标文件。</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（7）投标文件制作的具体方法详见</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中的</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操作指南</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rPr>
        <w:t>。</w:t>
      </w:r>
    </w:p>
    <w:p>
      <w:pPr>
        <w:pageBreakBefore w:val="0"/>
        <w:kinsoku/>
        <w:wordWrap w:val="0"/>
        <w:bidi w:val="0"/>
        <w:spacing w:line="400" w:lineRule="exact"/>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3.7.4 因投标人自身原因而导致投标文件无法导入</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电子开标、评标系统，该投标视为无效投标，投标人自行承担由此导致的全部责任</w:t>
      </w:r>
      <w:r>
        <w:rPr>
          <w:rFonts w:hint="default" w:ascii="Times New Roman" w:hAnsi="Times New Roman" w:cs="Times New Roman"/>
          <w:color w:val="auto"/>
          <w:sz w:val="24"/>
          <w:szCs w:val="24"/>
          <w:highlight w:val="none"/>
          <w:lang w:eastAsia="zh-CN"/>
        </w:rPr>
        <w:t>。</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 xml:space="preserve">3.7.5 </w:t>
      </w:r>
      <w:r>
        <w:rPr>
          <w:rFonts w:hint="default" w:ascii="Times New Roman" w:hAnsi="Times New Roman" w:cs="Times New Roman"/>
          <w:color w:val="auto"/>
          <w:sz w:val="24"/>
          <w:szCs w:val="24"/>
          <w:highlight w:val="none"/>
        </w:rPr>
        <w:t>投标文件上传的要求</w:t>
      </w:r>
      <w:r>
        <w:rPr>
          <w:rFonts w:hint="default" w:ascii="Times New Roman" w:hAnsi="Times New Roman" w:cs="Times New Roman"/>
          <w:color w:val="auto"/>
          <w:sz w:val="24"/>
          <w:szCs w:val="24"/>
          <w:highlight w:val="none"/>
          <w:lang w:val="en-US" w:eastAsia="zh-CN"/>
        </w:rPr>
        <w:t>：见投标人须知前附表。</w:t>
      </w:r>
    </w:p>
    <w:p>
      <w:pPr>
        <w:pStyle w:val="15"/>
        <w:pageBreakBefore w:val="0"/>
        <w:kinsoku/>
        <w:wordWrap w:val="0"/>
        <w:overflowPunct/>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6 投标文件其他要求</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见投标人须知前附表。</w:t>
      </w:r>
    </w:p>
    <w:p>
      <w:pPr>
        <w:pStyle w:val="2"/>
        <w:pageBreakBefore w:val="0"/>
        <w:kinsoku/>
        <w:wordWrap w:val="0"/>
        <w:overflowPunct/>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238" w:name="_Toc234832897"/>
      <w:bookmarkStart w:id="239" w:name="_Toc31665"/>
      <w:bookmarkStart w:id="240" w:name="_Toc501257088"/>
      <w:bookmarkStart w:id="241" w:name="_Toc23747534"/>
      <w:bookmarkStart w:id="242" w:name="_Toc1112"/>
      <w:bookmarkStart w:id="243" w:name="_Toc17668"/>
      <w:r>
        <w:rPr>
          <w:rFonts w:hint="default" w:ascii="Times New Roman" w:hAnsi="Times New Roman" w:eastAsia="黑体" w:cs="Times New Roman"/>
          <w:b w:val="0"/>
          <w:color w:val="auto"/>
          <w:sz w:val="28"/>
          <w:szCs w:val="28"/>
          <w:highlight w:val="none"/>
        </w:rPr>
        <w:t>4. 投标</w:t>
      </w:r>
      <w:bookmarkEnd w:id="238"/>
      <w:bookmarkEnd w:id="239"/>
      <w:bookmarkEnd w:id="240"/>
      <w:bookmarkEnd w:id="241"/>
      <w:bookmarkEnd w:id="242"/>
      <w:bookmarkEnd w:id="243"/>
      <w:r>
        <w:rPr>
          <w:rFonts w:hint="default" w:ascii="Times New Roman" w:hAnsi="Times New Roman" w:eastAsia="黑体" w:cs="Times New Roman"/>
          <w:b w:val="0"/>
          <w:color w:val="auto"/>
          <w:sz w:val="28"/>
          <w:szCs w:val="28"/>
          <w:highlight w:val="none"/>
        </w:rPr>
        <w:tab/>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44" w:name="_Toc23747535"/>
      <w:bookmarkStart w:id="245" w:name="_Toc234832898"/>
      <w:bookmarkStart w:id="246" w:name="_Toc501257089"/>
      <w:r>
        <w:rPr>
          <w:rFonts w:hint="default" w:ascii="Times New Roman" w:hAnsi="Times New Roman" w:eastAsia="黑体" w:cs="Times New Roman"/>
          <w:b w:val="0"/>
          <w:color w:val="auto"/>
          <w:sz w:val="24"/>
          <w:szCs w:val="24"/>
          <w:highlight w:val="none"/>
        </w:rPr>
        <w:t>4.1 投标文件的密封和标识</w:t>
      </w:r>
      <w:bookmarkEnd w:id="244"/>
      <w:bookmarkEnd w:id="245"/>
      <w:bookmarkEnd w:id="246"/>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投标文件应按照本章第3.7.3项要求制作并加密，未按要求加密的投标文件，招标人（</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）将拒绝接收并提示。</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47" w:name="_Toc501257090"/>
      <w:bookmarkStart w:id="248" w:name="_Toc23747536"/>
      <w:bookmarkStart w:id="249" w:name="_Toc234832899"/>
      <w:r>
        <w:rPr>
          <w:rFonts w:hint="default" w:ascii="Times New Roman" w:hAnsi="Times New Roman" w:eastAsia="黑体" w:cs="Times New Roman"/>
          <w:b w:val="0"/>
          <w:color w:val="auto"/>
          <w:sz w:val="24"/>
          <w:szCs w:val="24"/>
          <w:highlight w:val="none"/>
        </w:rPr>
        <w:t>4.2</w:t>
      </w:r>
      <w:r>
        <w:rPr>
          <w:rFonts w:hint="default" w:ascii="Times New Roman" w:hAnsi="Times New Roman" w:eastAsia="黑体" w:cs="Times New Roman"/>
          <w:b w:val="0"/>
          <w:color w:val="auto"/>
          <w:sz w:val="24"/>
          <w:szCs w:val="24"/>
          <w:highlight w:val="none"/>
        </w:rPr>
        <w:tab/>
      </w:r>
      <w:r>
        <w:rPr>
          <w:rFonts w:hint="default" w:ascii="Times New Roman" w:hAnsi="Times New Roman" w:eastAsia="黑体" w:cs="Times New Roman"/>
          <w:b w:val="0"/>
          <w:color w:val="auto"/>
          <w:sz w:val="24"/>
          <w:szCs w:val="24"/>
          <w:highlight w:val="none"/>
        </w:rPr>
        <w:t xml:space="preserve"> 投标文件的递交</w:t>
      </w:r>
      <w:bookmarkEnd w:id="247"/>
      <w:bookmarkEnd w:id="248"/>
      <w:bookmarkEnd w:id="249"/>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4.2.1 投标人应在第一章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招标公告</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规定的投标截止时间前，通过互联网使用CA数字证书登录</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cs="Times New Roman"/>
          <w:color w:val="auto"/>
          <w:sz w:val="24"/>
          <w:szCs w:val="24"/>
          <w:highlight w:val="none"/>
        </w:rPr>
        <w:t>4.2.2 根据本章第4.1款的规定，投标人递交的投标文件，只要出现应当拒收的情形，其投标文件予以拒收。</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50" w:name="_Toc501257091"/>
      <w:bookmarkStart w:id="251" w:name="_Toc23747537"/>
      <w:bookmarkStart w:id="252" w:name="_Toc234832900"/>
      <w:r>
        <w:rPr>
          <w:rFonts w:hint="default" w:ascii="Times New Roman" w:hAnsi="Times New Roman" w:eastAsia="黑体" w:cs="Times New Roman"/>
          <w:b w:val="0"/>
          <w:color w:val="auto"/>
          <w:sz w:val="24"/>
          <w:szCs w:val="24"/>
          <w:highlight w:val="none"/>
        </w:rPr>
        <w:t>4.3 投标文件的修改与撤回</w:t>
      </w:r>
      <w:bookmarkEnd w:id="250"/>
      <w:bookmarkEnd w:id="251"/>
      <w:bookmarkEnd w:id="252"/>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4.3.1 在本章第4.2.1项规定的投标截止时间前，投标人可以修改或撤回已递交的投标文件。投标人对加密的投标文件进行撤回的，应在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直接进行撤回操作；投标人对加密的投标文件进行修改的，应在投标截止时间前完成上传。</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4.3.2 投标人修改投标文件的，应使用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制作成完整的投标文件，并按照本章第3条、第4条规定进行编制、加密和递交。对采用网上递交的加密的投标文件，以投标截止时间前最后完成上传的文件为准。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4.3.3 投标人撤回投标文件的，招标人自收到投标人书面撤回通知之日起5日内退还已收取的投标保证金。</w:t>
      </w:r>
    </w:p>
    <w:p>
      <w:pPr>
        <w:pStyle w:val="2"/>
        <w:pageBreakBefore w:val="0"/>
        <w:kinsoku/>
        <w:wordWrap w:val="0"/>
        <w:overflowPunct/>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253" w:name="_Toc14580"/>
      <w:bookmarkStart w:id="254" w:name="_Toc18657"/>
      <w:bookmarkStart w:id="255" w:name="_Toc501257092"/>
      <w:bookmarkStart w:id="256" w:name="_Toc17642"/>
      <w:bookmarkStart w:id="257" w:name="_Toc23747538"/>
      <w:bookmarkStart w:id="258" w:name="_Toc234832901"/>
      <w:r>
        <w:rPr>
          <w:rFonts w:hint="default" w:ascii="Times New Roman" w:hAnsi="Times New Roman" w:eastAsia="黑体" w:cs="Times New Roman"/>
          <w:b w:val="0"/>
          <w:color w:val="auto"/>
          <w:sz w:val="28"/>
          <w:szCs w:val="28"/>
          <w:highlight w:val="none"/>
        </w:rPr>
        <w:t>5. 开标</w:t>
      </w:r>
      <w:bookmarkEnd w:id="253"/>
      <w:bookmarkEnd w:id="254"/>
      <w:bookmarkEnd w:id="255"/>
      <w:bookmarkEnd w:id="256"/>
      <w:bookmarkEnd w:id="257"/>
      <w:bookmarkEnd w:id="258"/>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59" w:name="_Toc501257093"/>
      <w:bookmarkStart w:id="260" w:name="_Toc23747539"/>
      <w:bookmarkStart w:id="261" w:name="_Toc234832902"/>
      <w:r>
        <w:rPr>
          <w:rFonts w:hint="default" w:ascii="Times New Roman" w:hAnsi="Times New Roman" w:eastAsia="黑体" w:cs="Times New Roman"/>
          <w:b w:val="0"/>
          <w:color w:val="auto"/>
          <w:sz w:val="24"/>
          <w:szCs w:val="24"/>
          <w:highlight w:val="none"/>
        </w:rPr>
        <w:t>5.1 开标时间和地点</w:t>
      </w:r>
      <w:bookmarkEnd w:id="259"/>
      <w:bookmarkEnd w:id="260"/>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5.1.1 招标人在投标人须知前附表规定的投标截止时间</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开标时间</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和地点在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辽宁省公共资源交易中心不见面开标大厅</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（以下简称</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不见面开标大厅</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）上公开进行第一个信封（商务及技术文件）开标，所有投标人均应当准时在线参加开标。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招标人还将在投标人须知前附表规定的时间和地点对投标文件第二个信封（报价文件）在</w:t>
      </w:r>
      <w:r>
        <w:rPr>
          <w:rFonts w:hint="eastAsia" w:ascii="宋体" w:hAnsi="宋体" w:eastAsia="宋体" w:cs="宋体"/>
          <w:color w:val="auto"/>
          <w:sz w:val="24"/>
          <w:highlight w:val="none"/>
        </w:rPr>
        <w:t>“不见面开标大厅”</w:t>
      </w:r>
      <w:r>
        <w:rPr>
          <w:rFonts w:hint="default" w:ascii="Times New Roman" w:hAnsi="Times New Roman" w:eastAsia="宋体" w:cs="Times New Roman"/>
          <w:color w:val="auto"/>
          <w:sz w:val="24"/>
          <w:highlight w:val="none"/>
        </w:rPr>
        <w:t>进行公开开标，并邀请所有投标人代表准时参加。</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投标人代表应按时参加第一个信封（商务及技术文件）及第二个信封（报价文件）开标会。</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5.1.2 投标人应当在能够保证设施设备可靠、互联网畅通的任意地点，通过互联网在线参加开标，并实时在线关注招标人的操作情况。</w:t>
      </w:r>
    </w:p>
    <w:bookmarkEnd w:id="261"/>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62" w:name="_Toc501257095"/>
      <w:bookmarkStart w:id="263" w:name="_Toc23747541"/>
      <w:bookmarkStart w:id="264" w:name="_Toc234832905"/>
      <w:r>
        <w:rPr>
          <w:rFonts w:hint="default" w:ascii="Times New Roman" w:hAnsi="Times New Roman" w:eastAsia="黑体" w:cs="Times New Roman"/>
          <w:b w:val="0"/>
          <w:color w:val="auto"/>
          <w:sz w:val="24"/>
          <w:szCs w:val="24"/>
          <w:highlight w:val="none"/>
        </w:rPr>
        <w:t>5.2</w:t>
      </w:r>
      <w:r>
        <w:rPr>
          <w:rFonts w:hint="default" w:ascii="Times New Roman" w:hAnsi="Times New Roman" w:eastAsia="黑体" w:cs="Times New Roman"/>
          <w:b w:val="0"/>
          <w:color w:val="auto"/>
          <w:sz w:val="24"/>
          <w:szCs w:val="24"/>
          <w:highlight w:val="none"/>
        </w:rPr>
        <w:tab/>
      </w:r>
      <w:r>
        <w:rPr>
          <w:rFonts w:hint="default" w:ascii="Times New Roman" w:hAnsi="Times New Roman" w:eastAsia="黑体" w:cs="Times New Roman"/>
          <w:b w:val="0"/>
          <w:color w:val="auto"/>
          <w:sz w:val="24"/>
          <w:szCs w:val="24"/>
          <w:highlight w:val="none"/>
        </w:rPr>
        <w:t>开标程序</w:t>
      </w:r>
      <w:bookmarkEnd w:id="262"/>
      <w:bookmarkEnd w:id="263"/>
      <w:bookmarkEnd w:id="264"/>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5.2.1 主持人按下列程序对投标文件第一个信封（商务及技术文件）进行开标：</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（1）宣布开标纪律；</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（2）公布在投标截止时间前递交</w:t>
      </w:r>
      <w:r>
        <w:rPr>
          <w:rFonts w:hint="default" w:ascii="Times New Roman" w:hAnsi="Times New Roman" w:cs="Times New Roman"/>
          <w:color w:val="auto"/>
          <w:sz w:val="24"/>
          <w:szCs w:val="24"/>
          <w:highlight w:val="none"/>
          <w:lang w:val="en-US" w:eastAsia="zh-CN"/>
        </w:rPr>
        <w:t>至</w:t>
      </w:r>
      <w:r>
        <w:rPr>
          <w:rFonts w:hint="eastAsia" w:ascii="宋体" w:hAnsi="宋体" w:eastAsia="宋体" w:cs="宋体"/>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电子交易平台</w:t>
      </w:r>
      <w:r>
        <w:rPr>
          <w:rFonts w:hint="eastAsia" w:ascii="宋体" w:hAnsi="宋体" w:eastAsia="宋体" w:cs="宋体"/>
          <w:color w:val="auto"/>
          <w:sz w:val="24"/>
          <w:szCs w:val="24"/>
          <w:highlight w:val="none"/>
          <w:lang w:val="en-US" w:eastAsia="zh-CN"/>
        </w:rPr>
        <w:t>”</w:t>
      </w:r>
      <w:r>
        <w:rPr>
          <w:rFonts w:hint="default" w:ascii="Times New Roman" w:hAnsi="Times New Roman" w:cs="Times New Roman"/>
          <w:color w:val="auto"/>
          <w:sz w:val="24"/>
          <w:szCs w:val="24"/>
          <w:highlight w:val="none"/>
        </w:rPr>
        <w:t>投标文件的投标人数量；</w:t>
      </w:r>
    </w:p>
    <w:p>
      <w:pPr>
        <w:pageBreakBefore w:val="0"/>
        <w:kinsoku/>
        <w:wordWrap w:val="0"/>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（3）投标人代表</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“不见面开标大厅”</w:t>
      </w:r>
      <w:r>
        <w:rPr>
          <w:rFonts w:hint="default" w:ascii="Times New Roman" w:hAnsi="Times New Roman" w:cs="Times New Roman"/>
          <w:color w:val="auto"/>
          <w:sz w:val="24"/>
          <w:highlight w:val="none"/>
          <w:lang w:val="en-US" w:eastAsia="zh-CN"/>
        </w:rPr>
        <w:t>在投标人须知前附表规定的时间内</w:t>
      </w:r>
      <w:r>
        <w:rPr>
          <w:rFonts w:hint="default" w:ascii="Times New Roman" w:hAnsi="Times New Roman" w:cs="Times New Roman"/>
          <w:color w:val="auto"/>
          <w:sz w:val="24"/>
          <w:szCs w:val="24"/>
          <w:highlight w:val="none"/>
        </w:rPr>
        <w:t>解密加密的投标文件</w:t>
      </w:r>
      <w:r>
        <w:rPr>
          <w:rFonts w:hint="default" w:ascii="Times New Roman" w:hAnsi="Times New Roman" w:cs="Times New Roman"/>
          <w:color w:val="auto"/>
          <w:sz w:val="24"/>
          <w:szCs w:val="24"/>
          <w:highlight w:val="none"/>
          <w:lang w:val="en-US" w:eastAsia="zh-CN"/>
        </w:rPr>
        <w:t>第一个信封</w:t>
      </w:r>
      <w:r>
        <w:rPr>
          <w:rFonts w:hint="default" w:ascii="Times New Roman" w:hAnsi="Times New Roman" w:cs="Times New Roman"/>
          <w:color w:val="auto"/>
          <w:sz w:val="24"/>
          <w:szCs w:val="24"/>
          <w:highlight w:val="none"/>
        </w:rPr>
        <w:t>（商务及技术文件）；</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）招标人对未成功解密的投标文件进行退回并按本章第5.3款进行补救处理；</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）导入并读取所有解密成功的投标文件第一个信封（商务及技术文件）的内容；</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）公布标段名称、投标人名称的递交情况、</w:t>
      </w:r>
      <w:r>
        <w:rPr>
          <w:rFonts w:hint="default" w:ascii="Times New Roman" w:hAnsi="Times New Roman" w:cs="Times New Roman"/>
          <w:color w:val="auto"/>
          <w:sz w:val="24"/>
          <w:szCs w:val="24"/>
          <w:highlight w:val="none"/>
          <w:lang w:val="en-US" w:eastAsia="zh-CN"/>
        </w:rPr>
        <w:t>工期</w:t>
      </w:r>
      <w:r>
        <w:rPr>
          <w:rFonts w:hint="default" w:ascii="Times New Roman" w:hAnsi="Times New Roman" w:cs="Times New Roman"/>
          <w:color w:val="auto"/>
          <w:sz w:val="24"/>
          <w:szCs w:val="24"/>
          <w:highlight w:val="none"/>
        </w:rPr>
        <w:t>及其他内容，并记录在案；</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）投标人代表对开标记录进行确认。投标人代表对开标结果有异议的应在</w:t>
      </w:r>
      <w:r>
        <w:rPr>
          <w:rFonts w:hint="default" w:ascii="Times New Roman" w:hAnsi="Times New Roman" w:cs="Times New Roman"/>
          <w:color w:val="auto"/>
          <w:sz w:val="24"/>
          <w:szCs w:val="24"/>
          <w:highlight w:val="none"/>
          <w:lang w:val="en-US" w:eastAsia="zh-CN"/>
        </w:rPr>
        <w:t>规定时间内通过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提出，否则视为无异议；</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）开标结束</w:t>
      </w:r>
      <w:r>
        <w:rPr>
          <w:rFonts w:hint="default" w:ascii="Times New Roman" w:hAnsi="Times New Roman" w:eastAsia="宋体" w:cs="Times New Roman"/>
          <w:color w:val="auto"/>
          <w:sz w:val="24"/>
          <w:highlight w:val="none"/>
        </w:rPr>
        <w:t>。</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5.2.2 投标文件第二个信封（报价文件）在投标文件第一个信封（商务及技术文件）完成评审前，</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的开标评标系统将不进行读取。</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5.2.3 招标人将按照本章第5.1款规定的时间和地点对投标文件第二个信封（报价文件）进行开标。主持人按下列程序进行开标：</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（1）宣布开标纪律；</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（2）当众宣布通过投标文件第一个信封（商务及技术文件）评审的投标人名单；</w:t>
      </w:r>
    </w:p>
    <w:p>
      <w:pPr>
        <w:pageBreakBefore w:val="0"/>
        <w:kinsoku/>
        <w:wordWrap w:val="0"/>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）通过投标文件第一个信封（商务及技术文件）评审的投标人代表</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“不见面开标大厅”</w:t>
      </w:r>
      <w:r>
        <w:rPr>
          <w:rFonts w:hint="default" w:ascii="Times New Roman" w:hAnsi="Times New Roman" w:cs="Times New Roman"/>
          <w:color w:val="auto"/>
          <w:sz w:val="24"/>
          <w:highlight w:val="none"/>
          <w:lang w:val="en-US" w:eastAsia="zh-CN"/>
        </w:rPr>
        <w:t>在投标人须知前附表规定的时间内</w:t>
      </w:r>
      <w:r>
        <w:rPr>
          <w:rFonts w:hint="default" w:ascii="Times New Roman" w:hAnsi="Times New Roman" w:cs="Times New Roman"/>
          <w:color w:val="auto"/>
          <w:sz w:val="24"/>
          <w:szCs w:val="24"/>
          <w:highlight w:val="none"/>
        </w:rPr>
        <w:t>解密加密的投标文件第二个信封（报价文件）；</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）招标人对未成功解密的投标文件进行退回并按本章第5.3款进行补救处理；</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）导入并读取所有通过投标文件第一个信封（商务及技术文件）评审的解密成功的投标文件第二个信封（报价文件）的内容；</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 xml:space="preserve">）公布标段名称、投标人名称、投标报价及其他内容，并记录在案； </w:t>
      </w:r>
    </w:p>
    <w:p>
      <w:pPr>
        <w:pageBreakBefore w:val="0"/>
        <w:kinsoku/>
        <w:wordWrap w:val="0"/>
        <w:bidi w:val="0"/>
        <w:spacing w:line="400" w:lineRule="exact"/>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随机抽取评标基准价计算方法、评标基准价系数</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（如有）</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）投标人代表对开标记录进行确认。投标人代表对开标结果有异议的应在</w:t>
      </w:r>
      <w:r>
        <w:rPr>
          <w:rFonts w:hint="default" w:ascii="Times New Roman" w:hAnsi="Times New Roman" w:cs="Times New Roman"/>
          <w:color w:val="auto"/>
          <w:sz w:val="24"/>
          <w:szCs w:val="24"/>
          <w:highlight w:val="none"/>
          <w:lang w:val="en-US" w:eastAsia="zh-CN"/>
        </w:rPr>
        <w:t>规定时间内通过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提出，否则视为无异议；</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9</w:t>
      </w:r>
      <w:r>
        <w:rPr>
          <w:rFonts w:hint="default" w:ascii="Times New Roman" w:hAnsi="Times New Roman" w:cs="Times New Roman"/>
          <w:color w:val="auto"/>
          <w:sz w:val="24"/>
          <w:szCs w:val="24"/>
          <w:highlight w:val="none"/>
        </w:rPr>
        <w:t>）开标结束。</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5.2.4 在投标文件第二个信封（报价文件）开标现场，招标人将按第三章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规定的原则计算并宣布评标基准价。若招标人发现投标文件出现以下任一情况，其投标报价将不再参加评标基准价的计算：</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（1）未按要求在投标函上填写投标总价；</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（2）投标报价超出招标人公布的最高投标限价</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如有</w:t>
      </w:r>
      <w:r>
        <w:rPr>
          <w:rFonts w:hint="default" w:ascii="Times New Roman" w:hAnsi="Times New Roman" w:cs="Times New Roman"/>
          <w:color w:val="auto"/>
          <w:sz w:val="24"/>
          <w:highlight w:val="none"/>
          <w:lang w:eastAsia="zh-CN"/>
        </w:rPr>
        <w:t>），或低于招标人公布的最高投标限价（</w:t>
      </w:r>
      <w:r>
        <w:rPr>
          <w:rFonts w:hint="default" w:ascii="Times New Roman" w:hAnsi="Times New Roman" w:cs="Times New Roman"/>
          <w:color w:val="auto"/>
          <w:sz w:val="24"/>
          <w:highlight w:val="none"/>
          <w:lang w:val="en-US" w:eastAsia="zh-CN"/>
        </w:rPr>
        <w:t>如有</w:t>
      </w:r>
      <w:r>
        <w:rPr>
          <w:rFonts w:hint="default" w:ascii="Times New Roman" w:hAnsi="Times New Roman" w:cs="Times New Roman"/>
          <w:color w:val="auto"/>
          <w:sz w:val="24"/>
          <w:highlight w:val="none"/>
          <w:lang w:eastAsia="zh-CN"/>
        </w:rPr>
        <w:t xml:space="preserve">）的 G </w:t>
      </w:r>
      <w:r>
        <w:rPr>
          <w:rStyle w:val="45"/>
          <w:rFonts w:hint="default" w:ascii="Times New Roman" w:hAnsi="Times New Roman" w:cs="Times New Roman"/>
          <w:color w:val="auto"/>
          <w:sz w:val="24"/>
          <w:highlight w:val="none"/>
          <w:lang w:eastAsia="zh-CN"/>
        </w:rPr>
        <w:footnoteReference w:id="31"/>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（3）无法确定投标报价具体数值；</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（4）投标函上填写的标段号与上传的对应项目标段号不一致（如分标段）。</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如果投标人认为某一标段的评标基准价计算有误，有权在开标现场提出，经招标人当场核实确认之后，可重新宣布评标基准价。开标现场宣布的评标基准价除计算有误经评标委员会修正外，在整个评标期间保持不变，不随任何因素发生变化。</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5.2.5 在投标文件第一个信封（商务及技术文件）或第二个信封（报价文件）开标过程中，若</w:t>
      </w:r>
      <w:r>
        <w:rPr>
          <w:rFonts w:hint="default" w:ascii="Times New Roman" w:hAnsi="Times New Roman" w:cs="Times New Roman"/>
          <w:color w:val="auto"/>
          <w:sz w:val="24"/>
          <w:szCs w:val="24"/>
          <w:highlight w:val="none"/>
          <w:lang w:val="en-US" w:eastAsia="zh-CN"/>
        </w:rPr>
        <w:t>开标现场公布</w:t>
      </w:r>
      <w:r>
        <w:rPr>
          <w:rFonts w:hint="default" w:ascii="Times New Roman" w:hAnsi="Times New Roman" w:cs="Times New Roman"/>
          <w:color w:val="auto"/>
          <w:sz w:val="24"/>
          <w:szCs w:val="24"/>
          <w:highlight w:val="none"/>
        </w:rPr>
        <w:t>的内容与投标文件不符，投标人有权在开标现场提出疑问，经招标人当场核查确认之后，可重新</w:t>
      </w:r>
      <w:r>
        <w:rPr>
          <w:rFonts w:hint="default" w:ascii="Times New Roman" w:hAnsi="Times New Roman"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其</w:t>
      </w:r>
      <w:r>
        <w:rPr>
          <w:rFonts w:hint="default" w:ascii="Times New Roman" w:hAnsi="Times New Roman" w:cs="Times New Roman"/>
          <w:color w:val="auto"/>
          <w:sz w:val="24"/>
          <w:szCs w:val="24"/>
          <w:highlight w:val="none"/>
          <w:lang w:val="en-US" w:eastAsia="zh-CN"/>
        </w:rPr>
        <w:t>内容</w:t>
      </w:r>
      <w:r>
        <w:rPr>
          <w:rFonts w:hint="default" w:ascii="Times New Roman" w:hAnsi="Times New Roman" w:cs="Times New Roman"/>
          <w:color w:val="auto"/>
          <w:sz w:val="24"/>
          <w:szCs w:val="24"/>
          <w:highlight w:val="none"/>
        </w:rPr>
        <w:t>。若投标人现场未提出疑问，则认为投标人已确认</w:t>
      </w:r>
      <w:r>
        <w:rPr>
          <w:rFonts w:hint="default" w:ascii="Times New Roman" w:hAnsi="Times New Roman" w:cs="Times New Roman"/>
          <w:color w:val="auto"/>
          <w:sz w:val="24"/>
          <w:szCs w:val="24"/>
          <w:highlight w:val="none"/>
          <w:lang w:val="en-US" w:eastAsia="zh-CN"/>
        </w:rPr>
        <w:t>开标现场公布</w:t>
      </w:r>
      <w:r>
        <w:rPr>
          <w:rFonts w:hint="default" w:ascii="Times New Roman" w:hAnsi="Times New Roman" w:cs="Times New Roman"/>
          <w:color w:val="auto"/>
          <w:sz w:val="24"/>
          <w:szCs w:val="24"/>
          <w:highlight w:val="none"/>
        </w:rPr>
        <w:t>的内容。</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65" w:name="_Toc20310"/>
      <w:bookmarkStart w:id="266" w:name="_Toc501257097"/>
      <w:bookmarkStart w:id="267" w:name="_Toc23747543"/>
      <w:r>
        <w:rPr>
          <w:rFonts w:hint="default" w:ascii="Times New Roman" w:hAnsi="Times New Roman" w:eastAsia="黑体" w:cs="Times New Roman"/>
          <w:b w:val="0"/>
          <w:color w:val="auto"/>
          <w:sz w:val="24"/>
          <w:szCs w:val="24"/>
          <w:highlight w:val="none"/>
        </w:rPr>
        <w:t>5.3 开标补救措施</w:t>
      </w:r>
      <w:bookmarkEnd w:id="265"/>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5.3.1 开标过程中因本章第5.3.2项、第5.3.3项所列原因，导致系统无法正常运行，将按投标人须知前附表的规定采取补救措施。</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5.3.2 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系统故障导致投标人无法正常上传加密的投标文件，投标人应打印并递交电子交易平台自动生成的上传失败的异常记录单。</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5.3.3 当出现以下情况时，应对未开标的中止电子开标，并在恢复正常后及时安排时间开标：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（1）系统服务器发生故障，无法访问或无法使用系统；</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（2）系统的软件或数据库出现错误，不能进行正常操作；</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（3）系统发现有安全漏洞，有潜在的泄密危险；</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（4）出现断电事故且短时间内无法恢复供电；</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（5）其他无法保证招投标过程正常进行的情形。</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宋体" w:cs="Times New Roman"/>
          <w:color w:val="auto"/>
          <w:sz w:val="24"/>
          <w:highlight w:val="none"/>
        </w:rPr>
        <w:t>5.3.4 采取补救措施时，必须对原有资料及信息作出妥善保密处理。</w:t>
      </w:r>
    </w:p>
    <w:bookmarkEnd w:id="266"/>
    <w:bookmarkEnd w:id="267"/>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68" w:name="_Toc28876"/>
      <w:r>
        <w:rPr>
          <w:rFonts w:hint="default" w:ascii="Times New Roman" w:hAnsi="Times New Roman" w:eastAsia="黑体" w:cs="Times New Roman"/>
          <w:b w:val="0"/>
          <w:color w:val="auto"/>
          <w:sz w:val="24"/>
          <w:szCs w:val="24"/>
          <w:highlight w:val="none"/>
        </w:rPr>
        <w:t>5.4</w:t>
      </w:r>
      <w:r>
        <w:rPr>
          <w:rFonts w:hint="default" w:ascii="Times New Roman" w:hAnsi="Times New Roman" w:eastAsia="黑体" w:cs="Times New Roman"/>
          <w:b w:val="0"/>
          <w:color w:val="auto"/>
          <w:sz w:val="24"/>
          <w:szCs w:val="24"/>
          <w:highlight w:val="none"/>
        </w:rPr>
        <w:tab/>
      </w:r>
      <w:r>
        <w:rPr>
          <w:rFonts w:hint="default" w:ascii="Times New Roman" w:hAnsi="Times New Roman" w:eastAsia="黑体" w:cs="Times New Roman"/>
          <w:b w:val="0"/>
          <w:color w:val="auto"/>
          <w:sz w:val="24"/>
          <w:szCs w:val="24"/>
          <w:highlight w:val="none"/>
        </w:rPr>
        <w:t xml:space="preserve"> 开标异议</w:t>
      </w:r>
      <w:bookmarkEnd w:id="268"/>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u w:val="single"/>
        </w:rPr>
      </w:pPr>
      <w:r>
        <w:rPr>
          <w:rFonts w:hint="default" w:ascii="Times New Roman" w:hAnsi="Times New Roman" w:cs="Times New Roman"/>
          <w:color w:val="auto"/>
          <w:sz w:val="24"/>
          <w:szCs w:val="24"/>
          <w:highlight w:val="none"/>
        </w:rPr>
        <w:t>投标人对开标有异议的，应在开标现场</w:t>
      </w:r>
      <w:r>
        <w:rPr>
          <w:rFonts w:hint="default" w:ascii="Times New Roman" w:hAnsi="Times New Roman" w:cs="Times New Roman"/>
          <w:color w:val="auto"/>
          <w:sz w:val="24"/>
          <w:szCs w:val="24"/>
          <w:highlight w:val="none"/>
          <w:lang w:val="en-US" w:eastAsia="zh-CN"/>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提出，招标人当场作出答复，并制作记录</w:t>
      </w:r>
      <w:r>
        <w:rPr>
          <w:rFonts w:hint="default" w:ascii="Times New Roman" w:hAnsi="Times New Roman" w:eastAsia="宋体" w:cs="Times New Roman"/>
          <w:color w:val="auto"/>
          <w:sz w:val="24"/>
          <w:highlight w:val="none"/>
        </w:rPr>
        <w:t>。</w:t>
      </w:r>
    </w:p>
    <w:p>
      <w:pPr>
        <w:pStyle w:val="2"/>
        <w:pageBreakBefore w:val="0"/>
        <w:kinsoku/>
        <w:wordWrap w:val="0"/>
        <w:overflowPunct/>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269" w:name="_Toc23747544"/>
      <w:bookmarkStart w:id="270" w:name="_Toc19149"/>
      <w:bookmarkStart w:id="271" w:name="_Toc501257098"/>
      <w:bookmarkStart w:id="272" w:name="_Toc1473"/>
      <w:bookmarkStart w:id="273" w:name="_Toc234832906"/>
      <w:bookmarkStart w:id="274" w:name="_Toc14175"/>
      <w:r>
        <w:rPr>
          <w:rFonts w:hint="default" w:ascii="Times New Roman" w:hAnsi="Times New Roman" w:eastAsia="黑体" w:cs="Times New Roman"/>
          <w:b w:val="0"/>
          <w:color w:val="auto"/>
          <w:sz w:val="28"/>
          <w:szCs w:val="28"/>
          <w:highlight w:val="none"/>
        </w:rPr>
        <w:t>6. 评标</w:t>
      </w:r>
      <w:bookmarkEnd w:id="269"/>
      <w:bookmarkEnd w:id="270"/>
      <w:bookmarkEnd w:id="271"/>
      <w:bookmarkEnd w:id="272"/>
      <w:bookmarkEnd w:id="273"/>
      <w:bookmarkEnd w:id="274"/>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75" w:name="_Toc234832907"/>
      <w:bookmarkStart w:id="276" w:name="_Toc23747545"/>
      <w:bookmarkStart w:id="277" w:name="_Toc501257099"/>
      <w:r>
        <w:rPr>
          <w:rFonts w:hint="default" w:ascii="Times New Roman" w:hAnsi="Times New Roman" w:eastAsia="黑体" w:cs="Times New Roman"/>
          <w:b w:val="0"/>
          <w:color w:val="auto"/>
          <w:sz w:val="24"/>
          <w:szCs w:val="24"/>
          <w:highlight w:val="none"/>
        </w:rPr>
        <w:t>6.1</w:t>
      </w:r>
      <w:r>
        <w:rPr>
          <w:rFonts w:hint="default" w:ascii="Times New Roman" w:hAnsi="Times New Roman" w:eastAsia="黑体" w:cs="Times New Roman"/>
          <w:b w:val="0"/>
          <w:color w:val="auto"/>
          <w:sz w:val="24"/>
          <w:szCs w:val="24"/>
          <w:highlight w:val="none"/>
        </w:rPr>
        <w:tab/>
      </w:r>
      <w:r>
        <w:rPr>
          <w:rFonts w:hint="default" w:ascii="Times New Roman" w:hAnsi="Times New Roman" w:eastAsia="黑体" w:cs="Times New Roman"/>
          <w:b w:val="0"/>
          <w:color w:val="auto"/>
          <w:sz w:val="24"/>
          <w:szCs w:val="24"/>
          <w:highlight w:val="none"/>
        </w:rPr>
        <w:t xml:space="preserve"> 评标委员会</w:t>
      </w:r>
      <w:bookmarkEnd w:id="275"/>
      <w:bookmarkEnd w:id="276"/>
      <w:bookmarkEnd w:id="277"/>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6.1.1 评标由招标人依法组建的评标委员会负责。评标委员会由招标人或其委托熟悉相关业务的代表，以及有关技术、经济等方面的专家组成。评标委员会成员人数以及技术、经济等方面专家的确定方式见投标人须知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6.1.2 评标委员会成员有下列情形之一的，应主动提出回避：</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（1）为负责招标项目监督管理的交通运输主管部门的工作人员；</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（2）与投标人法定代表人或其委托代理人有近亲属关系；</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（3）为投标人的工作人员或退休人员；</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（4）与投标人有其他利害关系，可能影响评标活动公正性；</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（5）在与招标投标有关的活动中有过违法违规行为、曾受过行政处罚或刑事处罚。</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招标人及其子公司、招标人下属单位、招标人的上级主管部门或者控股公司、招标代理机构的工作人员或者退休人员不得以专家身份参与本单位招标或者招标代理项目的评标。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6.1.3 评标过程中，评标委员会成员有回避事由、擅离职守或因健康等原因不能继续评标的，招标人有权更换。被更换的评标委员会成员作出的评审结论无效，由更换后的评标委员会成员重新进行评审。</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78" w:name="_Toc234832908"/>
      <w:bookmarkStart w:id="279" w:name="_Toc23747546"/>
      <w:bookmarkStart w:id="280" w:name="_Toc501257100"/>
      <w:r>
        <w:rPr>
          <w:rFonts w:hint="default" w:ascii="Times New Roman" w:hAnsi="Times New Roman" w:eastAsia="黑体" w:cs="Times New Roman"/>
          <w:b w:val="0"/>
          <w:color w:val="auto"/>
          <w:sz w:val="24"/>
          <w:szCs w:val="24"/>
          <w:highlight w:val="none"/>
        </w:rPr>
        <w:t>6.2 评标原则</w:t>
      </w:r>
      <w:bookmarkEnd w:id="278"/>
      <w:bookmarkEnd w:id="279"/>
      <w:bookmarkEnd w:id="280"/>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评标活动遵循公平、公正、科学和择优的原则。</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81" w:name="_Toc501257101"/>
      <w:bookmarkStart w:id="282" w:name="_Toc234832909"/>
      <w:bookmarkStart w:id="283" w:name="_Toc23747547"/>
      <w:r>
        <w:rPr>
          <w:rFonts w:hint="default" w:ascii="Times New Roman" w:hAnsi="Times New Roman" w:eastAsia="黑体" w:cs="Times New Roman"/>
          <w:b w:val="0"/>
          <w:color w:val="auto"/>
          <w:sz w:val="24"/>
          <w:szCs w:val="24"/>
          <w:highlight w:val="none"/>
        </w:rPr>
        <w:t>6.3 评标</w:t>
      </w:r>
      <w:bookmarkEnd w:id="281"/>
      <w:bookmarkEnd w:id="282"/>
      <w:bookmarkEnd w:id="283"/>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6.3.1 评标委员会按照第三章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规定的方法、评审因素、标准和程序对投标文件进行评审。第三章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没有规定的方法、评审因素和标准，不作为评标依据。</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6.3.2评标及补救措施</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按照本章第6.3.1项的规定在电子评标系统上开展评审工作。如果评标过程中出现异常情况，导致无法继续评审工作的，可暂停评标，对原有资料及信息作出妥善保密处理，待电子评标系统恢复正常之后，应重新组织评审。</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评标完成后，评标委员会应当向招标人提交书面评标报告和中标候选人名单。评标委员会推荐中标</w:t>
      </w:r>
      <w:bookmarkStart w:id="284" w:name="_Toc300834979"/>
      <w:bookmarkStart w:id="285" w:name="_Toc152045558"/>
      <w:bookmarkStart w:id="286" w:name="_Toc352691502"/>
      <w:bookmarkStart w:id="287" w:name="_Toc12259"/>
      <w:bookmarkStart w:id="288" w:name="_Toc152042334"/>
      <w:bookmarkStart w:id="289" w:name="_Toc384308240"/>
      <w:bookmarkStart w:id="290" w:name="_Toc247527583"/>
      <w:bookmarkStart w:id="291" w:name="_Toc247513982"/>
      <w:bookmarkStart w:id="292" w:name="_Toc361508615"/>
      <w:bookmarkStart w:id="293" w:name="_Toc144974526"/>
      <w:bookmarkStart w:id="294" w:name="_Toc369531546"/>
      <w:r>
        <w:rPr>
          <w:rFonts w:hint="default" w:ascii="Times New Roman" w:hAnsi="Times New Roman" w:cs="Times New Roman"/>
          <w:color w:val="auto"/>
          <w:sz w:val="24"/>
          <w:szCs w:val="24"/>
          <w:highlight w:val="none"/>
        </w:rPr>
        <w:t>候选人的人数见投标人须知前附</w:t>
      </w:r>
      <w:bookmarkEnd w:id="284"/>
      <w:bookmarkEnd w:id="285"/>
      <w:bookmarkEnd w:id="286"/>
      <w:bookmarkEnd w:id="287"/>
      <w:bookmarkEnd w:id="288"/>
      <w:bookmarkEnd w:id="289"/>
      <w:bookmarkEnd w:id="290"/>
      <w:bookmarkEnd w:id="291"/>
      <w:bookmarkEnd w:id="292"/>
      <w:bookmarkEnd w:id="293"/>
      <w:bookmarkEnd w:id="294"/>
      <w:r>
        <w:rPr>
          <w:rFonts w:hint="default" w:ascii="Times New Roman" w:hAnsi="Times New Roman" w:cs="Times New Roman"/>
          <w:color w:val="auto"/>
          <w:sz w:val="24"/>
          <w:szCs w:val="24"/>
          <w:highlight w:val="none"/>
        </w:rPr>
        <w:t>表</w:t>
      </w:r>
      <w:r>
        <w:rPr>
          <w:rFonts w:hint="default" w:ascii="Times New Roman" w:hAnsi="Times New Roman" w:eastAsia="宋体" w:cs="Times New Roman"/>
          <w:color w:val="auto"/>
          <w:sz w:val="24"/>
          <w:highlight w:val="none"/>
        </w:rPr>
        <w:t>。</w:t>
      </w:r>
    </w:p>
    <w:p>
      <w:pPr>
        <w:pStyle w:val="2"/>
        <w:pageBreakBefore w:val="0"/>
        <w:kinsoku/>
        <w:wordWrap w:val="0"/>
        <w:overflowPunct/>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295" w:name="_Toc8741"/>
      <w:bookmarkStart w:id="296" w:name="_Toc23747548"/>
      <w:bookmarkStart w:id="297" w:name="_Toc8229"/>
      <w:bookmarkStart w:id="298" w:name="_Toc256"/>
      <w:bookmarkStart w:id="299" w:name="_Toc234832910"/>
      <w:bookmarkStart w:id="300" w:name="_Toc501257102"/>
      <w:r>
        <w:rPr>
          <w:rFonts w:hint="default" w:ascii="Times New Roman" w:hAnsi="Times New Roman" w:eastAsia="黑体" w:cs="Times New Roman"/>
          <w:b w:val="0"/>
          <w:color w:val="auto"/>
          <w:sz w:val="28"/>
          <w:szCs w:val="28"/>
          <w:highlight w:val="none"/>
        </w:rPr>
        <w:t>7. 合同授予</w:t>
      </w:r>
      <w:bookmarkEnd w:id="295"/>
      <w:bookmarkEnd w:id="296"/>
      <w:bookmarkEnd w:id="297"/>
      <w:bookmarkEnd w:id="298"/>
      <w:bookmarkEnd w:id="299"/>
      <w:bookmarkEnd w:id="300"/>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01" w:name="_Toc23747549"/>
      <w:bookmarkStart w:id="302" w:name="_Toc501257103"/>
      <w:bookmarkStart w:id="303" w:name="_Toc234832911"/>
      <w:r>
        <w:rPr>
          <w:rFonts w:hint="default" w:ascii="Times New Roman" w:hAnsi="Times New Roman" w:eastAsia="黑体" w:cs="Times New Roman"/>
          <w:b w:val="0"/>
          <w:color w:val="auto"/>
          <w:sz w:val="24"/>
          <w:szCs w:val="24"/>
          <w:highlight w:val="none"/>
        </w:rPr>
        <w:t>7.1 中标候选人公示</w:t>
      </w:r>
      <w:bookmarkEnd w:id="301"/>
      <w:bookmarkEnd w:id="302"/>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招标人在收到评标报告之日起3日内，按照投标人须知前附表规定的公示媒介和期限公示中标候选人，公示期不得少于3日，公示内容包括：</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（1）中标候选人排序、名称、投标报价，对工程质量要求、安全目标和工期的响应情况；</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（2）中标候选人在投标文件中承诺的项目负责人、设计负责人和施工负责人姓名、个人业绩、相关证书名称和编号；</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（3）中标候选人在投标文件中填报的项目业绩；</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（4）被否决投标的投标人名称、否决依据和原因；</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（5）提出异议的渠道和方式；</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（6）投标人须知前附表规定公示的其他内容。</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04" w:name="_Toc23747550"/>
      <w:bookmarkStart w:id="305" w:name="_Toc501257104"/>
      <w:r>
        <w:rPr>
          <w:rFonts w:hint="default" w:ascii="Times New Roman" w:hAnsi="Times New Roman" w:eastAsia="黑体" w:cs="Times New Roman"/>
          <w:b w:val="0"/>
          <w:color w:val="auto"/>
          <w:sz w:val="24"/>
          <w:szCs w:val="24"/>
          <w:highlight w:val="none"/>
        </w:rPr>
        <w:t>7.2 评标结果异议</w:t>
      </w:r>
      <w:bookmarkEnd w:id="304"/>
      <w:bookmarkEnd w:id="305"/>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投标人或其他利害关系人对依法必须进行招标的项目的评标结果有异议的，应在中标候选人公示期间提出。招标人将在收到异议之日起3日内作出答复；作出答复前，将暂停招标投标活动。</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06" w:name="_Toc501257105"/>
      <w:bookmarkStart w:id="307" w:name="_Toc23747551"/>
      <w:r>
        <w:rPr>
          <w:rFonts w:hint="default" w:ascii="Times New Roman" w:hAnsi="Times New Roman" w:eastAsia="黑体" w:cs="Times New Roman"/>
          <w:b w:val="0"/>
          <w:color w:val="auto"/>
          <w:sz w:val="24"/>
          <w:szCs w:val="24"/>
          <w:highlight w:val="none"/>
        </w:rPr>
        <w:t>7.3 中标候选人履约能力审查</w:t>
      </w:r>
      <w:bookmarkEnd w:id="306"/>
      <w:bookmarkEnd w:id="307"/>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中标候选人的经营、财务状况发生较大变化或存在违法行为，招标人认为可能影响其履约能力的，将在发出中标通知书前提请原评标委员会按照招标文件规定的标准和方法进行审查确认。</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08" w:name="_Toc23747552"/>
      <w:bookmarkStart w:id="309" w:name="_Toc501257106"/>
      <w:r>
        <w:rPr>
          <w:rFonts w:hint="default" w:ascii="Times New Roman" w:hAnsi="Times New Roman" w:eastAsia="黑体" w:cs="Times New Roman"/>
          <w:b w:val="0"/>
          <w:color w:val="auto"/>
          <w:sz w:val="24"/>
          <w:szCs w:val="24"/>
          <w:highlight w:val="none"/>
        </w:rPr>
        <w:t>7.4 定标</w:t>
      </w:r>
      <w:bookmarkEnd w:id="303"/>
      <w:bookmarkEnd w:id="308"/>
      <w:bookmarkEnd w:id="309"/>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lang w:val="en-US" w:eastAsia="zh-CN"/>
        </w:rPr>
        <w:t>7.4.1</w:t>
      </w:r>
      <w:r>
        <w:rPr>
          <w:rFonts w:hint="default" w:ascii="Times New Roman" w:hAnsi="Times New Roman" w:eastAsia="宋体" w:cs="Times New Roman"/>
          <w:color w:val="auto"/>
          <w:sz w:val="24"/>
          <w:highlight w:val="none"/>
        </w:rPr>
        <w:t>按照投标人须知前附表的规定，招标人或招标人授权的评标委员会依法确定中标人。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lang w:val="en-US" w:eastAsia="zh-CN"/>
        </w:rPr>
        <w:t>7.4.2招标人依据投标须知前附表的</w:t>
      </w:r>
      <w:r>
        <w:rPr>
          <w:rFonts w:hint="default" w:ascii="Times New Roman" w:hAnsi="Times New Roman" w:cs="Times New Roman"/>
          <w:color w:val="auto"/>
          <w:sz w:val="24"/>
          <w:szCs w:val="24"/>
          <w:highlight w:val="none"/>
          <w:lang w:val="en-US" w:eastAsia="zh-CN"/>
        </w:rPr>
        <w:t>定标规则</w:t>
      </w:r>
      <w:r>
        <w:rPr>
          <w:rFonts w:hint="default" w:ascii="Times New Roman" w:hAnsi="Times New Roman" w:cs="Times New Roman"/>
          <w:color w:val="auto"/>
          <w:sz w:val="24"/>
          <w:highlight w:val="none"/>
          <w:lang w:val="en-US" w:eastAsia="zh-CN"/>
        </w:rPr>
        <w:t>，在评标委员会推荐的中标候选人中确定中标人</w:t>
      </w:r>
      <w:r>
        <w:rPr>
          <w:rFonts w:hint="default" w:ascii="Times New Roman" w:hAnsi="Times New Roman" w:eastAsia="宋体" w:cs="Times New Roman"/>
          <w:color w:val="auto"/>
          <w:sz w:val="24"/>
          <w:highlight w:val="none"/>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lang w:val="en-US" w:eastAsia="zh-CN"/>
        </w:rPr>
        <w:t>7.4.3招标人授权评标委员会按前附表7.4.2项规定的规则直接定标。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10" w:name="_Toc501257107"/>
      <w:bookmarkStart w:id="311" w:name="_Toc23747553"/>
      <w:bookmarkStart w:id="312" w:name="_Toc234832912"/>
      <w:r>
        <w:rPr>
          <w:rFonts w:hint="default" w:ascii="Times New Roman" w:hAnsi="Times New Roman" w:eastAsia="黑体" w:cs="Times New Roman"/>
          <w:b w:val="0"/>
          <w:color w:val="auto"/>
          <w:sz w:val="24"/>
          <w:szCs w:val="24"/>
          <w:highlight w:val="none"/>
        </w:rPr>
        <w:t>7.5 中标通知</w:t>
      </w:r>
      <w:bookmarkEnd w:id="310"/>
      <w:bookmarkEnd w:id="311"/>
      <w:bookmarkEnd w:id="312"/>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在本章第3.3款规定的投标有效期内，招标人应通过</w:t>
      </w:r>
      <w:r>
        <w:rPr>
          <w:rFonts w:hint="default" w:ascii="Times New Roman" w:hAnsi="Times New Roman" w:cs="Times New Roman"/>
          <w:color w:val="auto"/>
          <w:sz w:val="24"/>
          <w:highlight w:val="none"/>
          <w:lang w:val="en-US" w:eastAsia="zh-CN"/>
        </w:rPr>
        <w:t>投标人须知前附表规定的</w:t>
      </w:r>
      <w:r>
        <w:rPr>
          <w:rFonts w:hint="default" w:ascii="Times New Roman" w:hAnsi="Times New Roman" w:cs="Times New Roman"/>
          <w:color w:val="auto"/>
          <w:sz w:val="24"/>
          <w:highlight w:val="none"/>
        </w:rPr>
        <w:t>形式向中标人发出中标通知书，同时将中标结果通知未中标的投标人</w:t>
      </w:r>
      <w:r>
        <w:rPr>
          <w:rFonts w:hint="default" w:ascii="Times New Roman" w:hAnsi="Times New Roman" w:eastAsia="宋体" w:cs="Times New Roman"/>
          <w:color w:val="auto"/>
          <w:sz w:val="24"/>
          <w:highlight w:val="none"/>
        </w:rPr>
        <w:t>。</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13" w:name="_Toc501257108"/>
      <w:bookmarkStart w:id="314" w:name="_Toc23747554"/>
      <w:r>
        <w:rPr>
          <w:rFonts w:hint="default" w:ascii="Times New Roman" w:hAnsi="Times New Roman" w:eastAsia="黑体" w:cs="Times New Roman"/>
          <w:b w:val="0"/>
          <w:color w:val="auto"/>
          <w:sz w:val="24"/>
          <w:szCs w:val="24"/>
          <w:highlight w:val="none"/>
        </w:rPr>
        <w:t>7.6 中标结果公告</w:t>
      </w:r>
      <w:bookmarkEnd w:id="313"/>
      <w:bookmarkEnd w:id="314"/>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招标人在确定中标人之日起3日内，按照投标人须知前附表规定的公告媒介和期限公告中标结果，公告期不得少于3日。公告内容包括中标人名称、中标价。</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15" w:name="_Toc23747555"/>
      <w:bookmarkStart w:id="316" w:name="_Toc501257109"/>
      <w:bookmarkStart w:id="317" w:name="_Toc234832913"/>
      <w:r>
        <w:rPr>
          <w:rFonts w:hint="default" w:ascii="Times New Roman" w:hAnsi="Times New Roman" w:eastAsia="黑体" w:cs="Times New Roman"/>
          <w:b w:val="0"/>
          <w:color w:val="auto"/>
          <w:sz w:val="24"/>
          <w:szCs w:val="24"/>
          <w:highlight w:val="none"/>
        </w:rPr>
        <w:t xml:space="preserve">7.7 </w:t>
      </w:r>
      <w:bookmarkEnd w:id="315"/>
      <w:bookmarkEnd w:id="316"/>
      <w:bookmarkEnd w:id="317"/>
      <w:r>
        <w:rPr>
          <w:rFonts w:hint="default" w:ascii="Times New Roman" w:hAnsi="Times New Roman" w:eastAsia="黑体" w:cs="Times New Roman"/>
          <w:b w:val="0"/>
          <w:color w:val="auto"/>
          <w:sz w:val="24"/>
          <w:szCs w:val="24"/>
          <w:highlight w:val="none"/>
        </w:rPr>
        <w:t>履约保证金</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在签订合同前，中标人应按投标人须知前附表规定的形式、金额和招标文件第四章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合同条款及格式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或事先经过招标人书面认可的履约保证金格式向招标人提交履约保证金。除投标人须知前附表另有规定外，履约保证金为签约合同价的10%。联合体中标的，其履约保证金以联合体各方或联合体中牵头人的名义提交。</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采用银行保函时，应由符合投标人须知前附表规定级别的银行开具，所需的费用由中标人承担，中标人应保证银行保函有效。</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18" w:name="_Toc234832914"/>
      <w:bookmarkStart w:id="319" w:name="_Toc501257110"/>
      <w:bookmarkStart w:id="320" w:name="_Toc23747556"/>
      <w:r>
        <w:rPr>
          <w:rFonts w:hint="default" w:ascii="Times New Roman" w:hAnsi="Times New Roman" w:eastAsia="黑体" w:cs="Times New Roman"/>
          <w:b w:val="0"/>
          <w:color w:val="auto"/>
          <w:sz w:val="24"/>
          <w:szCs w:val="24"/>
          <w:highlight w:val="none"/>
        </w:rPr>
        <w:t>7.8 签订合同</w:t>
      </w:r>
      <w:bookmarkEnd w:id="318"/>
      <w:bookmarkEnd w:id="319"/>
      <w:bookmarkEnd w:id="320"/>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7.8.1 招标人和中标人应在中标通知书发出之日起30日内，根据招标文件和中标人的投标文件订立书面合同。中标人无正当理由拒签合同，在签订合同时向招标人提出附加条件，或不按照招标文件要求提交履约保证金的，招标人取消其中标资格，其投标保证金不予退还；给招标人造成的损失超过投标保证金数额的，中标人还应对超过部分予以赔偿。 </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7.8.2 发出中标通知书后，招标人无正当理由拒签合同，或在签订合同时向中标人提出附加条件的，招标人向中标人退还投标保证金；给中标人造成损失的，还应赔偿损失。</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w:t>
      </w:r>
      <w:r>
        <w:rPr>
          <w:rFonts w:hint="default" w:ascii="Times New Roman" w:hAnsi="Times New Roman" w:cs="Times New Roman"/>
          <w:color w:val="auto"/>
          <w:sz w:val="24"/>
          <w:highlight w:val="none"/>
          <w:lang w:val="en-US" w:eastAsia="zh-CN"/>
        </w:rPr>
        <w:t>3</w:t>
      </w:r>
      <w:r>
        <w:rPr>
          <w:rFonts w:hint="default" w:ascii="Times New Roman" w:hAnsi="Times New Roman" w:eastAsia="宋体" w:cs="Times New Roman"/>
          <w:color w:val="auto"/>
          <w:sz w:val="24"/>
          <w:highlight w:val="none"/>
        </w:rPr>
        <w:t xml:space="preserve"> 联合体中标的，联合体各方应共同与招标人签订合同，就中标项目向招标人承担连带责任。</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w:t>
      </w:r>
      <w:r>
        <w:rPr>
          <w:rFonts w:hint="default" w:ascii="Times New Roman" w:hAnsi="Times New Roman" w:cs="Times New Roman"/>
          <w:color w:val="auto"/>
          <w:sz w:val="24"/>
          <w:highlight w:val="none"/>
          <w:lang w:val="en-US" w:eastAsia="zh-CN"/>
        </w:rPr>
        <w:t>4</w:t>
      </w:r>
      <w:r>
        <w:rPr>
          <w:rFonts w:hint="default" w:ascii="Times New Roman" w:hAnsi="Times New Roman" w:eastAsia="宋体" w:cs="Times New Roman"/>
          <w:color w:val="auto"/>
          <w:sz w:val="24"/>
          <w:highlight w:val="none"/>
        </w:rPr>
        <w:t xml:space="preserve"> 招标人和中标人在签订合同协议书的同时，须按照本招标文件规定的格式和要求签订廉政合同及安全生产合同，明确双方在廉政建设和安全生产方面的权利和义务以及应承担的违约责任。</w:t>
      </w:r>
    </w:p>
    <w:p>
      <w:pPr>
        <w:pStyle w:val="2"/>
        <w:pageBreakBefore w:val="0"/>
        <w:kinsoku/>
        <w:wordWrap w:val="0"/>
        <w:overflowPunct/>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321" w:name="_Toc29111"/>
      <w:bookmarkStart w:id="322" w:name="_Toc21777"/>
      <w:bookmarkStart w:id="323" w:name="_Toc21230"/>
      <w:bookmarkStart w:id="324" w:name="_Toc234832918"/>
      <w:bookmarkStart w:id="325" w:name="_Toc23747557"/>
      <w:bookmarkStart w:id="326" w:name="_Toc501257111"/>
      <w:r>
        <w:rPr>
          <w:rFonts w:hint="default" w:ascii="Times New Roman" w:hAnsi="Times New Roman" w:eastAsia="黑体" w:cs="Times New Roman"/>
          <w:b w:val="0"/>
          <w:color w:val="auto"/>
          <w:sz w:val="28"/>
          <w:szCs w:val="28"/>
          <w:highlight w:val="none"/>
        </w:rPr>
        <w:t>8. 纪律和监督</w:t>
      </w:r>
      <w:bookmarkEnd w:id="321"/>
      <w:bookmarkEnd w:id="322"/>
      <w:bookmarkEnd w:id="323"/>
      <w:bookmarkEnd w:id="324"/>
      <w:bookmarkEnd w:id="325"/>
      <w:bookmarkEnd w:id="326"/>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27" w:name="_Toc23747558"/>
      <w:bookmarkStart w:id="328" w:name="_Toc234832919"/>
      <w:bookmarkStart w:id="329" w:name="_Toc501257112"/>
      <w:r>
        <w:rPr>
          <w:rFonts w:hint="default" w:ascii="Times New Roman" w:hAnsi="Times New Roman" w:eastAsia="黑体" w:cs="Times New Roman"/>
          <w:b w:val="0"/>
          <w:color w:val="auto"/>
          <w:sz w:val="24"/>
          <w:szCs w:val="24"/>
          <w:highlight w:val="none"/>
        </w:rPr>
        <w:t>8.1 对招标人的纪律要求</w:t>
      </w:r>
      <w:bookmarkEnd w:id="327"/>
      <w:bookmarkEnd w:id="328"/>
      <w:bookmarkEnd w:id="329"/>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招标人不得泄露招标投标活动中应保密的情况和资料，不得与投标人串通损害国家利益、社会公共利益或他人合法权益。</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30" w:name="_Toc23747559"/>
      <w:bookmarkStart w:id="331" w:name="_Toc501257113"/>
      <w:bookmarkStart w:id="332" w:name="_Toc234832920"/>
      <w:r>
        <w:rPr>
          <w:rFonts w:hint="default" w:ascii="Times New Roman" w:hAnsi="Times New Roman" w:eastAsia="黑体" w:cs="Times New Roman"/>
          <w:b w:val="0"/>
          <w:color w:val="auto"/>
          <w:sz w:val="24"/>
          <w:szCs w:val="24"/>
          <w:highlight w:val="none"/>
        </w:rPr>
        <w:t>8.2 对投标人的纪律要求</w:t>
      </w:r>
      <w:bookmarkEnd w:id="330"/>
      <w:bookmarkEnd w:id="331"/>
      <w:bookmarkEnd w:id="332"/>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投标人不得相互串通投标或与招标人串通投标，不得向招标人或评标委员会成员行贿谋取中标，不得以他人名义投标或以其他方式弄虚作假骗取中标；投标人不得以任何方式干扰、影响评标工作。</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33" w:name="_Toc23747560"/>
      <w:bookmarkStart w:id="334" w:name="_Toc234832921"/>
      <w:bookmarkStart w:id="335" w:name="_Toc501257114"/>
      <w:r>
        <w:rPr>
          <w:rFonts w:hint="default" w:ascii="Times New Roman" w:hAnsi="Times New Roman" w:eastAsia="黑体" w:cs="Times New Roman"/>
          <w:b w:val="0"/>
          <w:color w:val="auto"/>
          <w:sz w:val="24"/>
          <w:szCs w:val="24"/>
          <w:highlight w:val="none"/>
        </w:rPr>
        <w:t>8.3 对评标委员会成员的纪律要求</w:t>
      </w:r>
      <w:bookmarkEnd w:id="333"/>
      <w:bookmarkEnd w:id="334"/>
      <w:bookmarkEnd w:id="335"/>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委员会成员不得收受他人的财物或其他好处，不得向他人透露对投标文件的评审和比较、中标候选人的推荐情况以及评标有关的其他情况。在评标活动中，评标委员会成员应客观、公正地履行职责，遵守职业道德，不得擅离职守，影响评标程序正常进行，不得使用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没有规定的评审因素和标准进行评标。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36" w:name="_Toc23747561"/>
      <w:bookmarkStart w:id="337" w:name="_Toc234832922"/>
      <w:bookmarkStart w:id="338" w:name="_Toc501257115"/>
      <w:r>
        <w:rPr>
          <w:rFonts w:hint="default" w:ascii="Times New Roman" w:hAnsi="Times New Roman" w:eastAsia="黑体" w:cs="Times New Roman"/>
          <w:b w:val="0"/>
          <w:color w:val="auto"/>
          <w:sz w:val="24"/>
          <w:szCs w:val="24"/>
          <w:highlight w:val="none"/>
        </w:rPr>
        <w:t>8.4 对与评标活动有关的工作人员的纪律要求</w:t>
      </w:r>
      <w:bookmarkEnd w:id="336"/>
      <w:bookmarkEnd w:id="337"/>
      <w:bookmarkEnd w:id="338"/>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与评标活动有关的工作人员不得收受他人的财物或其他好处，不得向他人透露对投标文件的评审和比较、中标候选人的推荐情况以及评标有关的其他情况。在评标活动中，与评标活动有关的工作人员不得擅离职守，影响评标程序正常进行。</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39" w:name="_Toc501257116"/>
      <w:bookmarkStart w:id="340" w:name="_Toc23747562"/>
      <w:bookmarkStart w:id="341" w:name="_Toc234832923"/>
      <w:r>
        <w:rPr>
          <w:rFonts w:hint="default" w:ascii="Times New Roman" w:hAnsi="Times New Roman" w:eastAsia="黑体" w:cs="Times New Roman"/>
          <w:b w:val="0"/>
          <w:color w:val="auto"/>
          <w:sz w:val="24"/>
          <w:szCs w:val="24"/>
          <w:highlight w:val="none"/>
        </w:rPr>
        <w:t>8.5 投诉</w:t>
      </w:r>
      <w:bookmarkEnd w:id="339"/>
      <w:bookmarkEnd w:id="340"/>
      <w:bookmarkEnd w:id="341"/>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8.5.1 投标人或其他利害关系人认为招标投标活动不符合法律、行政法规规定的，可以自知道或应当知道之日起10日内向有关行政监督部门投诉。投诉应有明确的请求和必要的证明材料。</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监督部门的联系方式见投标人须知前附表。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8.5.2 投标人或其他利害关系人对招标文件、开标和评标结果提出投诉的，应按照本章第2.4款、第5.3款和第7.2款的规定先向招标人提出异议。异议答复期间</w:t>
      </w:r>
      <w:bookmarkStart w:id="342" w:name="_Toc384308255"/>
      <w:bookmarkStart w:id="343" w:name="_Toc152042346"/>
      <w:bookmarkStart w:id="344" w:name="_Toc144974538"/>
      <w:bookmarkStart w:id="345" w:name="_Toc300834993"/>
      <w:bookmarkStart w:id="346" w:name="_Toc12776"/>
      <w:bookmarkStart w:id="347" w:name="_Toc369531561"/>
      <w:bookmarkStart w:id="348" w:name="_Toc352691517"/>
      <w:bookmarkStart w:id="349" w:name="_Toc361508630"/>
      <w:bookmarkStart w:id="350" w:name="_Toc152045570"/>
      <w:bookmarkStart w:id="351" w:name="_Toc247527595"/>
      <w:bookmarkStart w:id="352" w:name="_Toc247513994"/>
      <w:r>
        <w:rPr>
          <w:rFonts w:hint="default" w:ascii="Times New Roman" w:hAnsi="Times New Roman" w:eastAsia="宋体" w:cs="Times New Roman"/>
          <w:color w:val="auto"/>
          <w:sz w:val="24"/>
          <w:highlight w:val="none"/>
        </w:rPr>
        <w:t>不计算在第8.5.</w:t>
      </w:r>
      <w:bookmarkEnd w:id="342"/>
      <w:bookmarkEnd w:id="343"/>
      <w:bookmarkEnd w:id="344"/>
      <w:bookmarkEnd w:id="345"/>
      <w:bookmarkEnd w:id="346"/>
      <w:bookmarkEnd w:id="347"/>
      <w:bookmarkEnd w:id="348"/>
      <w:bookmarkEnd w:id="349"/>
      <w:bookmarkEnd w:id="350"/>
      <w:bookmarkEnd w:id="351"/>
      <w:bookmarkEnd w:id="352"/>
      <w:r>
        <w:rPr>
          <w:rFonts w:hint="default" w:ascii="Times New Roman" w:hAnsi="Times New Roman" w:eastAsia="宋体" w:cs="Times New Roman"/>
          <w:color w:val="auto"/>
          <w:sz w:val="24"/>
          <w:highlight w:val="none"/>
        </w:rPr>
        <w:t>1项规定的期限内。</w:t>
      </w:r>
    </w:p>
    <w:p>
      <w:pPr>
        <w:pStyle w:val="2"/>
        <w:pageBreakBefore w:val="0"/>
        <w:kinsoku/>
        <w:wordWrap w:val="0"/>
        <w:overflowPunct/>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353" w:name="_Toc501257117"/>
      <w:bookmarkStart w:id="354" w:name="_Toc23747563"/>
      <w:bookmarkStart w:id="355" w:name="_Toc1700"/>
      <w:bookmarkStart w:id="356" w:name="_Toc30384"/>
      <w:bookmarkStart w:id="357" w:name="_Toc8030"/>
      <w:r>
        <w:rPr>
          <w:rFonts w:hint="default" w:ascii="Times New Roman" w:hAnsi="Times New Roman" w:eastAsia="黑体" w:cs="Times New Roman"/>
          <w:b w:val="0"/>
          <w:color w:val="auto"/>
          <w:sz w:val="28"/>
          <w:szCs w:val="28"/>
          <w:highlight w:val="none"/>
        </w:rPr>
        <w:t xml:space="preserve">9. </w:t>
      </w:r>
      <w:bookmarkEnd w:id="353"/>
      <w:bookmarkEnd w:id="354"/>
      <w:bookmarkStart w:id="358" w:name="_Toc501257118"/>
      <w:bookmarkStart w:id="359" w:name="_Toc234832924"/>
      <w:bookmarkStart w:id="360" w:name="_Toc23747564"/>
      <w:r>
        <w:rPr>
          <w:rFonts w:hint="default" w:ascii="Times New Roman" w:hAnsi="Times New Roman" w:eastAsia="黑体" w:cs="Times New Roman"/>
          <w:b w:val="0"/>
          <w:color w:val="auto"/>
          <w:sz w:val="28"/>
          <w:szCs w:val="28"/>
          <w:highlight w:val="none"/>
        </w:rPr>
        <w:t>需要补充的其他内容</w:t>
      </w:r>
      <w:bookmarkEnd w:id="355"/>
      <w:bookmarkEnd w:id="356"/>
      <w:bookmarkEnd w:id="357"/>
      <w:bookmarkEnd w:id="358"/>
      <w:bookmarkEnd w:id="359"/>
      <w:bookmarkEnd w:id="360"/>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highlight w:val="none"/>
        </w:rPr>
        <w:t>需要补充的其他内容：见投标人须知前附表。</w:t>
      </w:r>
    </w:p>
    <w:p>
      <w:pPr>
        <w:keepNext/>
        <w:keepLines/>
        <w:pageBreakBefore w:val="0"/>
        <w:widowControl w:val="0"/>
        <w:kinsoku/>
        <w:wordWrap w:val="0"/>
        <w:overflowPunct/>
        <w:topLinePunct w:val="0"/>
        <w:autoSpaceDE/>
        <w:autoSpaceDN/>
        <w:bidi w:val="0"/>
        <w:adjustRightInd/>
        <w:snapToGrid/>
        <w:spacing w:before="0" w:after="100" w:afterAutospacing="1" w:line="24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隶书" w:cs="Times New Roman"/>
          <w:color w:val="auto"/>
          <w:sz w:val="24"/>
          <w:highlight w:val="none"/>
        </w:rPr>
        <w:br w:type="page"/>
      </w:r>
      <w:bookmarkStart w:id="361" w:name="_Toc234832925"/>
      <w:bookmarkStart w:id="362" w:name="_Toc23747565"/>
      <w:bookmarkStart w:id="363" w:name="_Toc501257119"/>
      <w:r>
        <w:rPr>
          <w:rFonts w:hint="default" w:ascii="Times New Roman" w:hAnsi="Times New Roman" w:eastAsia="黑体" w:cs="Times New Roman"/>
          <w:b w:val="0"/>
          <w:color w:val="auto"/>
          <w:sz w:val="24"/>
          <w:szCs w:val="24"/>
          <w:highlight w:val="none"/>
        </w:rPr>
        <w:t xml:space="preserve">附件一 开标记录表 </w:t>
      </w:r>
      <w:r>
        <w:rPr>
          <w:rStyle w:val="45"/>
          <w:rFonts w:hint="default" w:ascii="Times New Roman" w:hAnsi="Times New Roman" w:eastAsia="黑体" w:cs="Times New Roman"/>
          <w:b w:val="0"/>
          <w:color w:val="auto"/>
          <w:sz w:val="28"/>
          <w:szCs w:val="28"/>
          <w:highlight w:val="none"/>
        </w:rPr>
        <w:footnoteReference w:id="32"/>
      </w:r>
      <w:bookmarkEnd w:id="361"/>
      <w:bookmarkEnd w:id="362"/>
      <w:bookmarkEnd w:id="363"/>
    </w:p>
    <w:p>
      <w:pPr>
        <w:pageBreakBefore w:val="0"/>
        <w:kinsoku/>
        <w:wordWrap w:val="0"/>
        <w:overflowPunct/>
        <w:bidi w:val="0"/>
        <w:spacing w:line="620" w:lineRule="exac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w:t>
      </w:r>
      <w:r>
        <w:rPr>
          <w:rFonts w:hint="default" w:ascii="Times New Roman" w:hAnsi="Times New Roman" w:eastAsia="宋体" w:cs="Times New Roman"/>
          <w:color w:val="auto"/>
          <w:sz w:val="24"/>
          <w:szCs w:val="24"/>
          <w:highlight w:val="none"/>
          <w:u w:val="none"/>
          <w:lang w:val="en-US" w:eastAsia="zh-CN"/>
        </w:rPr>
        <w:t>以</w:t>
      </w:r>
      <w:r>
        <w:rPr>
          <w:rFonts w:hint="default" w:ascii="Times New Roman" w:hAnsi="Times New Roman" w:cs="Times New Roman"/>
          <w:color w:val="auto"/>
          <w:sz w:val="24"/>
          <w:szCs w:val="24"/>
          <w:highlight w:val="none"/>
          <w:u w:val="none"/>
          <w:lang w:val="en-US" w:eastAsia="zh-CN"/>
        </w:rPr>
        <w:t>电子交易平台生成格式为准。</w:t>
      </w:r>
      <w:r>
        <w:rPr>
          <w:rFonts w:hint="default" w:ascii="Times New Roman" w:hAnsi="Times New Roman" w:cs="Times New Roman"/>
          <w:color w:val="auto"/>
          <w:szCs w:val="21"/>
          <w:highlight w:val="none"/>
        </w:rPr>
        <w:t xml:space="preserve">    </w:t>
      </w:r>
    </w:p>
    <w:p>
      <w:pPr>
        <w:keepNext/>
        <w:keepLines/>
        <w:pageBreakBefore w:val="0"/>
        <w:widowControl w:val="0"/>
        <w:kinsoku/>
        <w:wordWrap w:val="0"/>
        <w:overflowPunct/>
        <w:topLinePunct w:val="0"/>
        <w:autoSpaceDE/>
        <w:autoSpaceDN/>
        <w:bidi w:val="0"/>
        <w:adjustRightInd/>
        <w:snapToGrid/>
        <w:spacing w:before="0" w:after="0" w:line="24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Cs w:val="21"/>
          <w:highlight w:val="none"/>
        </w:rPr>
        <w:br w:type="page"/>
      </w:r>
      <w:bookmarkStart w:id="364" w:name="_Toc234832926"/>
      <w:bookmarkStart w:id="365" w:name="_Toc23747566"/>
      <w:bookmarkStart w:id="366" w:name="_Toc501257120"/>
      <w:r>
        <w:rPr>
          <w:rFonts w:hint="default" w:ascii="Times New Roman" w:hAnsi="Times New Roman" w:eastAsia="黑体" w:cs="Times New Roman"/>
          <w:b w:val="0"/>
          <w:color w:val="auto"/>
          <w:sz w:val="24"/>
          <w:szCs w:val="24"/>
          <w:highlight w:val="none"/>
        </w:rPr>
        <w:t>附件二 问题澄清通知</w:t>
      </w:r>
      <w:bookmarkEnd w:id="364"/>
      <w:bookmarkEnd w:id="365"/>
      <w:bookmarkEnd w:id="366"/>
    </w:p>
    <w:p>
      <w:pPr>
        <w:pageBreakBefore w:val="0"/>
        <w:kinsoku/>
        <w:wordWrap w:val="0"/>
        <w:overflowPunct/>
        <w:bidi w:val="0"/>
        <w:spacing w:line="440" w:lineRule="exact"/>
        <w:jc w:val="center"/>
        <w:rPr>
          <w:rFonts w:hint="default" w:ascii="Times New Roman" w:hAnsi="Times New Roman"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问题澄清通知</w:t>
      </w:r>
    </w:p>
    <w:p>
      <w:pPr>
        <w:pageBreakBefore w:val="0"/>
        <w:kinsoku/>
        <w:wordWrap w:val="0"/>
        <w:overflowPunct/>
        <w:autoSpaceDE/>
        <w:autoSpaceDN/>
        <w:bidi w:val="0"/>
        <w:spacing w:line="440" w:lineRule="exac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（编号：</w:t>
      </w:r>
      <w:r>
        <w:rPr>
          <w:rFonts w:hint="default" w:ascii="Times New Roman" w:hAnsi="Times New Roman" w:eastAsia="黑体" w:cs="Times New Roman"/>
          <w:color w:val="auto"/>
          <w:sz w:val="28"/>
          <w:highlight w:val="none"/>
          <w:u w:val="single"/>
        </w:rPr>
        <w:t xml:space="preserve">               </w:t>
      </w:r>
      <w:r>
        <w:rPr>
          <w:rFonts w:hint="default" w:ascii="Times New Roman" w:hAnsi="Times New Roman" w:cs="Times New Roman"/>
          <w:color w:val="auto"/>
          <w:highlight w:val="none"/>
        </w:rPr>
        <w:t>）</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标段设计施工总承包招标的评标委员会，对你方的投标文件进行了仔细的审查，现需你方对下列问题以书面形式予以澄清或说明：</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1.</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2.</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   </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请将上述问题的澄清或说明于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分前通过</w:t>
      </w:r>
      <w:r>
        <w:rPr>
          <w:rFonts w:hint="eastAsia" w:ascii="宋体" w:hAnsi="宋体" w:eastAsia="宋体" w:cs="宋体"/>
          <w:color w:val="auto"/>
          <w:sz w:val="24"/>
          <w:highlight w:val="none"/>
          <w:lang w:eastAsia="zh-CN"/>
        </w:rPr>
        <w:t>“</w:t>
      </w:r>
      <w:r>
        <w:rPr>
          <w:rFonts w:hint="default" w:ascii="Times New Roman" w:hAnsi="Times New Roman" w:cs="Times New Roman"/>
          <w:color w:val="auto"/>
          <w:sz w:val="24"/>
          <w:highlight w:val="none"/>
        </w:rPr>
        <w:t>电子招标交易平台</w:t>
      </w:r>
      <w:r>
        <w:rPr>
          <w:rFonts w:hint="eastAsia" w:ascii="宋体" w:hAnsi="宋体" w:eastAsia="宋体" w:cs="宋体"/>
          <w:color w:val="auto"/>
          <w:sz w:val="24"/>
          <w:highlight w:val="none"/>
          <w:lang w:eastAsia="zh-CN"/>
        </w:rPr>
        <w:t>”</w:t>
      </w:r>
      <w:r>
        <w:rPr>
          <w:rFonts w:hint="default" w:ascii="Times New Roman" w:hAnsi="Times New Roman" w:cs="Times New Roman"/>
          <w:color w:val="auto"/>
          <w:sz w:val="24"/>
          <w:highlight w:val="none"/>
        </w:rPr>
        <w:t>上传。</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jc w:val="right"/>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评标委员会授权的招标人或招标代理机构：</w:t>
      </w: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（签字或盖单位章）</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autoSpaceDE/>
        <w:autoSpaceDN/>
        <w:bidi w:val="0"/>
        <w:spacing w:line="440" w:lineRule="exact"/>
        <w:ind w:right="480"/>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keepNext/>
        <w:keepLines/>
        <w:pageBreakBefore w:val="0"/>
        <w:widowControl w:val="0"/>
        <w:kinsoku/>
        <w:wordWrap w:val="0"/>
        <w:overflowPunct/>
        <w:topLinePunct w:val="0"/>
        <w:autoSpaceDE/>
        <w:autoSpaceDN/>
        <w:bidi w:val="0"/>
        <w:adjustRightInd/>
        <w:snapToGrid/>
        <w:spacing w:before="0" w:after="0" w:line="24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4"/>
          <w:highlight w:val="none"/>
        </w:rPr>
        <w:br w:type="page"/>
      </w:r>
      <w:bookmarkStart w:id="367" w:name="_Toc23747567"/>
      <w:bookmarkStart w:id="368" w:name="_Toc234832927"/>
      <w:bookmarkStart w:id="369" w:name="_Toc501257121"/>
      <w:r>
        <w:rPr>
          <w:rFonts w:hint="default" w:ascii="Times New Roman" w:hAnsi="Times New Roman" w:eastAsia="黑体" w:cs="Times New Roman"/>
          <w:b w:val="0"/>
          <w:color w:val="auto"/>
          <w:sz w:val="24"/>
          <w:szCs w:val="24"/>
          <w:highlight w:val="none"/>
        </w:rPr>
        <w:t>附件三 问题的澄清</w:t>
      </w:r>
      <w:bookmarkEnd w:id="367"/>
      <w:bookmarkEnd w:id="368"/>
      <w:bookmarkEnd w:id="369"/>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问题的澄清</w:t>
      </w:r>
    </w:p>
    <w:p>
      <w:pPr>
        <w:pageBreakBefore w:val="0"/>
        <w:kinsoku/>
        <w:wordWrap w:val="0"/>
        <w:overflowPunct/>
        <w:autoSpaceDE/>
        <w:autoSpaceDN/>
        <w:bidi w:val="0"/>
        <w:spacing w:line="440" w:lineRule="exac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（编号：</w:t>
      </w:r>
      <w:r>
        <w:rPr>
          <w:rFonts w:hint="default" w:ascii="Times New Roman" w:hAnsi="Times New Roman" w:eastAsia="黑体" w:cs="Times New Roman"/>
          <w:color w:val="auto"/>
          <w:sz w:val="28"/>
          <w:highlight w:val="none"/>
          <w:u w:val="single"/>
        </w:rPr>
        <w:t xml:space="preserve">           </w:t>
      </w:r>
      <w:r>
        <w:rPr>
          <w:rFonts w:hint="default" w:ascii="Times New Roman" w:hAnsi="Times New Roman" w:cs="Times New Roman"/>
          <w:color w:val="auto"/>
          <w:highlight w:val="none"/>
        </w:rPr>
        <w:t>）</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标段设计施工总承包招标评标委员会：</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问题澄清通知（编号：</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）已收悉，现澄清、说明如下：</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2.</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上述问题澄清或说明，不改变我方投标文件的实质性内容，构成我方投标文件的组成部分。</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vertAlign w:val="superscript"/>
        </w:rPr>
        <w:footnoteReference w:id="33"/>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keepNext/>
        <w:keepLines/>
        <w:pageBreakBefore w:val="0"/>
        <w:widowControl w:val="0"/>
        <w:kinsoku/>
        <w:wordWrap w:val="0"/>
        <w:overflowPunct/>
        <w:topLinePunct w:val="0"/>
        <w:autoSpaceDE/>
        <w:autoSpaceDN/>
        <w:bidi w:val="0"/>
        <w:adjustRightInd/>
        <w:snapToGrid/>
        <w:spacing w:before="0" w:after="0" w:line="24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0"/>
          <w:szCs w:val="20"/>
          <w:highlight w:val="none"/>
        </w:rPr>
        <w:br w:type="page"/>
      </w:r>
      <w:bookmarkStart w:id="370" w:name="_Toc501257122"/>
      <w:bookmarkStart w:id="371" w:name="_Toc234832928"/>
      <w:bookmarkStart w:id="372" w:name="_Toc23747568"/>
      <w:r>
        <w:rPr>
          <w:rFonts w:hint="default" w:ascii="Times New Roman" w:hAnsi="Times New Roman" w:eastAsia="黑体" w:cs="Times New Roman"/>
          <w:b w:val="0"/>
          <w:color w:val="auto"/>
          <w:sz w:val="24"/>
          <w:szCs w:val="24"/>
          <w:highlight w:val="none"/>
        </w:rPr>
        <w:t>附件四 中标通知书</w:t>
      </w:r>
      <w:bookmarkEnd w:id="370"/>
      <w:bookmarkEnd w:id="371"/>
      <w:bookmarkEnd w:id="372"/>
    </w:p>
    <w:p>
      <w:pPr>
        <w:pageBreakBefore w:val="0"/>
        <w:kinsoku/>
        <w:wordWrap w:val="0"/>
        <w:overflowPunct/>
        <w:bidi w:val="0"/>
        <w:spacing w:line="440" w:lineRule="exact"/>
        <w:ind w:firstLine="3640" w:firstLineChars="1300"/>
        <w:rPr>
          <w:rFonts w:hint="default" w:ascii="Times New Roman" w:hAnsi="Times New Roman" w:eastAsia="黑体" w:cs="Times New Roman"/>
          <w:color w:val="auto"/>
          <w:sz w:val="28"/>
          <w:szCs w:val="28"/>
          <w:highlight w:val="none"/>
        </w:rPr>
      </w:pPr>
    </w:p>
    <w:p>
      <w:pPr>
        <w:pageBreakBefore w:val="0"/>
        <w:kinsoku/>
        <w:wordWrap w:val="0"/>
        <w:overflowPunct/>
        <w:autoSpaceDE/>
        <w:autoSpaceDN/>
        <w:bidi w:val="0"/>
        <w:spacing w:line="600" w:lineRule="exact"/>
        <w:ind w:firstLine="0" w:firstLineChars="0"/>
        <w:textAlignment w:val="auto"/>
        <w:outlineLvl w:val="9"/>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szCs w:val="24"/>
          <w:highlight w:val="none"/>
          <w:u w:val="none"/>
          <w:lang w:val="en-US" w:eastAsia="zh-CN"/>
        </w:rPr>
        <w:t>以</w:t>
      </w:r>
      <w:r>
        <w:rPr>
          <w:rFonts w:hint="default" w:ascii="Times New Roman" w:hAnsi="Times New Roman" w:cs="Times New Roman"/>
          <w:color w:val="auto"/>
          <w:sz w:val="24"/>
          <w:szCs w:val="24"/>
          <w:highlight w:val="none"/>
          <w:u w:val="none"/>
          <w:lang w:val="en-US" w:eastAsia="zh-CN"/>
        </w:rPr>
        <w:t>辽宁省招标投标监管网生成格式为准（如有）。</w:t>
      </w:r>
    </w:p>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cs="Times New Roman"/>
          <w:color w:val="auto"/>
          <w:sz w:val="20"/>
          <w:szCs w:val="20"/>
          <w:highlight w:val="none"/>
        </w:rPr>
      </w:pPr>
    </w:p>
    <w:p>
      <w:pPr>
        <w:pageBreakBefore w:val="0"/>
        <w:kinsoku/>
        <w:wordWrap/>
        <w:overflowPunct/>
        <w:bidi w:val="0"/>
        <w:spacing w:line="240" w:lineRule="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br w:type="page"/>
      </w: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240" w:lineRule="atLeast"/>
        <w:ind w:right="31" w:rightChars="15"/>
        <w:jc w:val="center"/>
        <w:outlineLvl w:val="9"/>
        <w:rPr>
          <w:rFonts w:hint="default" w:ascii="Times New Roman" w:hAnsi="Times New Roman" w:eastAsia="黑体" w:cs="Times New Roman"/>
          <w:color w:val="auto"/>
          <w:sz w:val="56"/>
          <w:szCs w:val="56"/>
          <w:highlight w:val="none"/>
        </w:rPr>
      </w:pPr>
      <w:r>
        <w:rPr>
          <w:rFonts w:hint="default" w:ascii="Times New Roman" w:hAnsi="Times New Roman" w:eastAsia="黑体" w:cs="Times New Roman"/>
          <w:color w:val="auto"/>
          <w:sz w:val="56"/>
          <w:szCs w:val="56"/>
          <w:highlight w:val="none"/>
        </w:rPr>
        <w:t>第三章  评标办法</w:t>
      </w:r>
    </w:p>
    <w:p>
      <w:pPr>
        <w:pStyle w:val="2"/>
        <w:pageBreakBefore w:val="0"/>
        <w:kinsoku/>
        <w:wordWrap w:val="0"/>
        <w:overflowPunct/>
        <w:bidi w:val="0"/>
        <w:spacing w:before="0" w:after="120" w:afterLines="50" w:line="240" w:lineRule="atLeast"/>
        <w:jc w:val="center"/>
        <w:outlineLvl w:val="9"/>
        <w:rPr>
          <w:rFonts w:hint="default" w:ascii="Times New Roman" w:hAnsi="Times New Roman" w:eastAsia="黑体" w:cs="Times New Roman"/>
          <w:color w:val="auto"/>
          <w:sz w:val="36"/>
          <w:szCs w:val="36"/>
          <w:highlight w:val="none"/>
        </w:rPr>
        <w:sectPr>
          <w:footerReference r:id="rId31" w:type="default"/>
          <w:headerReference r:id="rId30" w:type="even"/>
          <w:footerReference r:id="rId32" w:type="even"/>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p>
    <w:p>
      <w:pPr>
        <w:pStyle w:val="2"/>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rPr>
          <w:rFonts w:hint="default" w:ascii="Times New Roman" w:hAnsi="Times New Roman" w:eastAsia="黑体" w:cs="Times New Roman"/>
          <w:b w:val="0"/>
          <w:color w:val="auto"/>
          <w:highlight w:val="none"/>
        </w:rPr>
      </w:pPr>
      <w:bookmarkStart w:id="373" w:name="_Toc26189"/>
      <w:bookmarkStart w:id="374" w:name="_Toc20865"/>
      <w:bookmarkStart w:id="375" w:name="_Toc501257156"/>
      <w:bookmarkStart w:id="376" w:name="_Toc26021"/>
      <w:bookmarkStart w:id="377" w:name="_Toc23747602"/>
      <w:bookmarkStart w:id="378" w:name="_Toc234832942"/>
      <w:bookmarkStart w:id="379" w:name="_Toc10695"/>
      <w:r>
        <w:rPr>
          <w:rFonts w:hint="default" w:ascii="Times New Roman" w:hAnsi="Times New Roman" w:eastAsia="黑体" w:cs="Times New Roman"/>
          <w:b w:val="0"/>
          <w:color w:val="auto"/>
          <w:highlight w:val="none"/>
        </w:rPr>
        <w:t>第三章  评标办法（</w:t>
      </w:r>
      <w:r>
        <w:rPr>
          <w:rFonts w:hint="default" w:ascii="Times New Roman" w:hAnsi="Times New Roman" w:eastAsia="黑体" w:cs="Times New Roman"/>
          <w:b w:val="0"/>
          <w:color w:val="auto"/>
          <w:highlight w:val="none"/>
          <w:lang w:eastAsia="zh-CN"/>
        </w:rPr>
        <w:t>综合评分法</w:t>
      </w:r>
      <w:r>
        <w:rPr>
          <w:rFonts w:hint="default" w:ascii="Times New Roman" w:hAnsi="Times New Roman" w:eastAsia="黑体" w:cs="Times New Roman"/>
          <w:b w:val="0"/>
          <w:color w:val="auto"/>
          <w:highlight w:val="none"/>
        </w:rPr>
        <w:t>）</w:t>
      </w:r>
      <w:bookmarkEnd w:id="373"/>
      <w:bookmarkEnd w:id="374"/>
      <w:bookmarkEnd w:id="375"/>
      <w:bookmarkEnd w:id="376"/>
      <w:bookmarkEnd w:id="377"/>
      <w:bookmarkEnd w:id="378"/>
      <w:r>
        <w:rPr>
          <w:rStyle w:val="45"/>
          <w:rFonts w:eastAsia="黑体"/>
          <w:color w:val="auto"/>
          <w:highlight w:val="none"/>
        </w:rPr>
        <w:footnoteReference w:id="34"/>
      </w:r>
      <w:bookmarkEnd w:id="379"/>
    </w:p>
    <w:p>
      <w:pPr>
        <w:keepNext/>
        <w:keepLines/>
        <w:pageBreakBefore w:val="0"/>
        <w:widowControl w:val="0"/>
        <w:kinsoku/>
        <w:wordWrap w:val="0"/>
        <w:overflowPunct/>
        <w:topLinePunct w:val="0"/>
        <w:autoSpaceDE/>
        <w:autoSpaceDN/>
        <w:bidi w:val="0"/>
        <w:adjustRightInd/>
        <w:snapToGrid/>
        <w:spacing w:before="480" w:after="240" w:line="380" w:lineRule="atLeast"/>
        <w:textAlignment w:val="auto"/>
        <w:outlineLvl w:val="9"/>
        <w:rPr>
          <w:rFonts w:hint="default" w:ascii="Times New Roman" w:hAnsi="Times New Roman" w:eastAsia="黑体" w:cs="Times New Roman"/>
          <w:b w:val="0"/>
          <w:color w:val="auto"/>
          <w:sz w:val="24"/>
          <w:szCs w:val="24"/>
          <w:highlight w:val="none"/>
        </w:rPr>
      </w:pPr>
      <w:bookmarkStart w:id="380" w:name="_Toc501257157"/>
      <w:bookmarkStart w:id="381" w:name="_Toc234832943"/>
      <w:bookmarkStart w:id="382" w:name="_Toc23747603"/>
      <w:r>
        <w:rPr>
          <w:rFonts w:hint="default" w:ascii="Times New Roman" w:hAnsi="Times New Roman" w:eastAsia="黑体" w:cs="Times New Roman"/>
          <w:b w:val="0"/>
          <w:color w:val="auto"/>
          <w:sz w:val="24"/>
          <w:szCs w:val="24"/>
          <w:highlight w:val="none"/>
        </w:rPr>
        <w:t>评标办法前附表</w:t>
      </w:r>
      <w:r>
        <w:rPr>
          <w:rStyle w:val="45"/>
          <w:rFonts w:hint="default" w:ascii="Times New Roman" w:hAnsi="Times New Roman" w:eastAsia="黑体" w:cs="Times New Roman"/>
          <w:color w:val="auto"/>
          <w:sz w:val="28"/>
          <w:szCs w:val="28"/>
          <w:highlight w:val="none"/>
        </w:rPr>
        <w:footnoteReference w:id="35"/>
      </w:r>
      <w:bookmarkEnd w:id="380"/>
      <w:bookmarkEnd w:id="381"/>
      <w:bookmarkEnd w:id="382"/>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069"/>
        <w:gridCol w:w="4"/>
        <w:gridCol w:w="4"/>
        <w:gridCol w:w="1400"/>
        <w:gridCol w:w="72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1276" w:type="pct"/>
            <w:gridSpan w:val="4"/>
            <w:tcBorders>
              <w:top w:val="single" w:color="auto" w:sz="4" w:space="0"/>
              <w:bottom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372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pacing w:val="4"/>
                <w:szCs w:val="21"/>
                <w:highlight w:val="none"/>
              </w:rPr>
            </w:pPr>
            <w:r>
              <w:rPr>
                <w:rFonts w:hint="default" w:ascii="Times New Roman" w:hAnsi="Times New Roman" w:cs="Times New Roman"/>
                <w:b/>
                <w:color w:val="auto"/>
                <w:spacing w:val="4"/>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55" w:type="pct"/>
            <w:gridSpan w:val="3"/>
            <w:tcBorders>
              <w:top w:val="single" w:color="auto" w:sz="4" w:space="0"/>
              <w:bottom w:val="single" w:color="auto" w:sz="4" w:space="0"/>
              <w:right w:val="single" w:color="auto" w:sz="4" w:space="0"/>
            </w:tcBorders>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720" w:type="pct"/>
            <w:tcBorders>
              <w:top w:val="single" w:color="auto" w:sz="4" w:space="0"/>
              <w:bottom w:val="single" w:color="auto" w:sz="4" w:space="0"/>
              <w:right w:val="single" w:color="auto" w:sz="4" w:space="0"/>
            </w:tcBorders>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评标方法</w:t>
            </w:r>
          </w:p>
        </w:tc>
        <w:tc>
          <w:tcPr>
            <w:tcW w:w="3723" w:type="pct"/>
            <w:tcBorders>
              <w:top w:val="single" w:color="auto" w:sz="4" w:space="0"/>
              <w:left w:val="single" w:color="auto" w:sz="4" w:space="0"/>
              <w:right w:val="single" w:color="auto" w:sz="4" w:space="0"/>
            </w:tcBorders>
            <w:vAlign w:val="center"/>
          </w:tcPr>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综合评分相等时，评标委员会依次按照以下优先顺序推荐中标候选人或确定中标人：</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（1）评标价低的投标人优先；</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r>
              <w:rPr>
                <w:rFonts w:hint="default" w:ascii="Times New Roman" w:hAnsi="Times New Roman" w:cs="Times New Roman"/>
                <w:color w:val="auto"/>
                <w:szCs w:val="21"/>
                <w:highlight w:val="none"/>
                <w:lang w:eastAsia="zh-CN"/>
              </w:rPr>
              <w:t>被辽宁省交通运输厅评为较高信用等级的投标人优先</w:t>
            </w:r>
            <w:r>
              <w:rPr>
                <w:rFonts w:hint="default" w:ascii="Times New Roman" w:hAnsi="Times New Roman" w:cs="Times New Roman"/>
                <w:color w:val="auto"/>
                <w:szCs w:val="21"/>
                <w:highlight w:val="none"/>
              </w:rPr>
              <w:t>；</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（3）商务和技术得分较高的投标人优先；</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55" w:type="pct"/>
            <w:gridSpan w:val="3"/>
            <w:tcBorders>
              <w:top w:val="single" w:color="auto" w:sz="4" w:space="0"/>
              <w:bottom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2.1.1</w:t>
            </w:r>
          </w:p>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2.1.3</w:t>
            </w:r>
          </w:p>
        </w:tc>
        <w:tc>
          <w:tcPr>
            <w:tcW w:w="720" w:type="pct"/>
            <w:tcBorders>
              <w:top w:val="single" w:color="auto" w:sz="4" w:space="0"/>
              <w:bottom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形式评审与响应性评审标准</w:t>
            </w:r>
          </w:p>
        </w:tc>
        <w:tc>
          <w:tcPr>
            <w:tcW w:w="3723" w:type="pct"/>
            <w:tcBorders>
              <w:top w:val="single" w:color="auto" w:sz="4" w:space="0"/>
              <w:left w:val="single" w:color="auto" w:sz="4" w:space="0"/>
              <w:right w:val="single" w:color="auto" w:sz="4" w:space="0"/>
            </w:tcBorders>
            <w:vAlign w:val="center"/>
          </w:tcPr>
          <w:p>
            <w:pPr>
              <w:pageBreakBefore w:val="0"/>
              <w:kinsoku/>
              <w:wordWrap w:val="0"/>
              <w:overflowPunct/>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第一个信封（商务及技术文件）评审标准：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a.投标函按招标文件规定填报了项目名称、标段号、补遗书编号（如有）、工期、工程质量要求及安全目标；</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b.投标函附录的所有数据均符合招标文件规定；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）投标人按照招标文件的规定提供了投标保证金：</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a.投标保证金金额符合招标文件规定的金额，且投标保证金有效期不少于投标有效期；</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b.若投标保证金采用现金或支票形式提交，投标人应在递交投标文件截止时间之前，将投标保证金由投标人的基本账户转入招标人指定账户；</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c.若投标保证金采用银行保函形式提交，银行保函的格式、开具保函的银行均满足招标文件要求；</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d.若投标保证金采用电子保函形式提交，投标人应在投标文件中提供电子保函的原件扫描件、电子化保函验真渠道和从投标人基本账户支出的保函财务费用支付凭证。</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（4）投标人法定代表人授权委托代理人签署投标文件的，须提交授权委托书，且授权人和被授权人均在授权委托书上使用CA 数字证书加盖个人电子印章或电子签名。</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（5）投标人法定代表人亲自签署投标文件的，提供了法定代表人身份证明，且法定代表人在法定代表人身份证明上使用CA 数字证书加盖个人电子印章或电子签名。</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（6）投标人以联合体形式投标时，联合体满足招标文件的要求：投标人按照招标文件提供的格式签订了联合体协议书，明确各方承担连带责任，并明确了联合体牵头人。</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（7）投标人如有分包计划，符合招标文件第二章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第1.11款规定，且按招标文件第七章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投标文件格式</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的要求填写了</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拟分包项目情况表</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（8）同一投标人未提交两个以上不同的投标文件，但招标文件要求提交备选投标的除外。</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（9）投标文件中未出现有关投标报价的内容。</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（10）投标文件载明的招标项目完成期限未超过招标文件规定的时限。</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（11）投标文件对招标文件的实质性要求和条件作出响应。</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（12）权利义务符合招标文件规定：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a.投标人应接受招标文件规定的风险划分原则，未提出新的风险划分办法；</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b.投标人未增加发包人的责任范围，或减少投标人义务；</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c.投标人未提出不同的工程验收、计量、支付办法；</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d.投标人对合同纠纷、事故处理办法未提出异议；</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e.投标人在投标活动中无欺诈行为；</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f.投标人未对合同条款有重要保留。</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承包人建议书</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承包人实施计划</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采用暗标形式，其编制须满足招标文件要求。</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（14）投标人上传投标文件的标段数量满足第一章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招标公告</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第3.3款规定，投标函上填写的标段号与上传的对应项目标段号一致。</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p>
          <w:p>
            <w:pPr>
              <w:pageBreakBefore w:val="0"/>
              <w:kinsoku/>
              <w:wordWrap w:val="0"/>
              <w:overflowPunct/>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第二个信封（报价文件）评审标准：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a.投标函按招标文件规定填报了项目名称、标段号、补遗书编号（如有）、投标价（包括大写金额和小写金额）；</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b.价格清单说明文字与招标文件规定一致，未进行实质性修改和删减；</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（3）投标报价未超过招标文件设定的最高投标限价（如有）。</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（4）投标报价的大写金额能够确定具体数值。</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（5）同一投标人未提交两个以上不同的投标报价，但招标文件要求提交备选投标的除外。</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551" w:type="pct"/>
            <w:tcBorders>
              <w:top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w:t>
            </w:r>
          </w:p>
        </w:tc>
        <w:tc>
          <w:tcPr>
            <w:tcW w:w="724" w:type="pct"/>
            <w:gridSpan w:val="3"/>
            <w:tcBorders>
              <w:top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资格评审</w:t>
            </w:r>
          </w:p>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w:t>
            </w:r>
          </w:p>
        </w:tc>
        <w:tc>
          <w:tcPr>
            <w:tcW w:w="3723" w:type="pct"/>
            <w:tcBorders>
              <w:top w:val="single" w:color="auto" w:sz="4" w:space="0"/>
              <w:left w:val="single" w:color="auto" w:sz="4" w:space="0"/>
              <w:right w:val="single" w:color="auto" w:sz="4" w:space="0"/>
            </w:tcBorders>
            <w:vAlign w:val="center"/>
          </w:tcPr>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（1）投标人具备有效的营业执照、资质证书、安全生产许可证。 </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（2）投标人的资质等级符合招标文件规定。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（3）投标人的财务状况符合招标文件规定。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（4）投标人的类似项目业绩符合招标文件规定。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（5）投标人的信誉符合招标文件规定。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（6）投标人的项目负责人、设计负责人和施工负责人资格、项目负责人和施工负责人的在岗情况符合招标文件规定。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（7）投标人的其他要求符合招标文件规定。</w:t>
            </w:r>
            <w:r>
              <w:rPr>
                <w:rFonts w:hint="default" w:ascii="Times New Roman" w:hAnsi="Times New Roman" w:cs="Times New Roman"/>
                <w:color w:val="auto"/>
                <w:szCs w:val="21"/>
                <w:highlight w:val="none"/>
                <w:vertAlign w:val="superscript"/>
              </w:rPr>
              <w:footnoteReference w:id="36"/>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rPr>
              <w:t>（8）投标人不存在第二章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第1.4.3项或第1.4.4项规定的任何一种情形</w:t>
            </w:r>
            <w:r>
              <w:rPr>
                <w:rFonts w:hint="default" w:ascii="Times New Roman" w:hAnsi="Times New Roman" w:cs="Times New Roman"/>
                <w:color w:val="auto"/>
                <w:szCs w:val="21"/>
                <w:highlight w:val="none"/>
                <w:lang w:eastAsia="zh-CN"/>
              </w:rPr>
              <w:t>。</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9</w:t>
            </w:r>
            <w:r>
              <w:rPr>
                <w:rFonts w:hint="default" w:ascii="Times New Roman" w:hAnsi="Times New Roman" w:cs="Times New Roman"/>
                <w:color w:val="auto"/>
                <w:szCs w:val="21"/>
                <w:highlight w:val="none"/>
              </w:rPr>
              <w:t>）投标人符合第二章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第1.4.5项规定。</w:t>
            </w:r>
            <w:r>
              <w:rPr>
                <w:rStyle w:val="45"/>
                <w:rFonts w:hint="default" w:ascii="Times New Roman" w:hAnsi="Times New Roman" w:cs="Times New Roman"/>
                <w:color w:val="auto"/>
                <w:highlight w:val="none"/>
              </w:rPr>
              <w:footnoteReference w:id="37"/>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rPr>
              <w:t>）以联合体形式参与投标的，联合体各方均未再以自己名义单独或参加其他联合体在同一标段中投标；独立参与投标的，投标人未同时参加联合体在同一标段中投标</w:t>
            </w:r>
            <w:r>
              <w:rPr>
                <w:rFonts w:hint="default" w:ascii="Times New Roman" w:hAnsi="Times New Roman" w:cs="Times New Roman"/>
                <w:color w:val="auto"/>
                <w:szCs w:val="21"/>
                <w:highlight w:val="none"/>
                <w:lang w:eastAsia="zh-CN"/>
              </w:rPr>
              <w:t>。</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53" w:type="pct"/>
            <w:gridSpan w:val="2"/>
            <w:tcBorders>
              <w:top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722" w:type="pct"/>
            <w:gridSpan w:val="2"/>
            <w:tcBorders>
              <w:top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条款内容</w:t>
            </w:r>
          </w:p>
        </w:tc>
        <w:tc>
          <w:tcPr>
            <w:tcW w:w="3723" w:type="pct"/>
            <w:tcBorders>
              <w:top w:val="single" w:color="auto" w:sz="4" w:space="0"/>
              <w:left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53" w:type="pct"/>
            <w:gridSpan w:val="2"/>
            <w:tcBorders>
              <w:top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w:t>
            </w:r>
          </w:p>
        </w:tc>
        <w:tc>
          <w:tcPr>
            <w:tcW w:w="722" w:type="pct"/>
            <w:gridSpan w:val="2"/>
            <w:tcBorders>
              <w:top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分值构成</w:t>
            </w:r>
            <w:r>
              <w:rPr>
                <w:rStyle w:val="45"/>
                <w:rFonts w:hint="default" w:ascii="Times New Roman" w:hAnsi="Times New Roman" w:cs="Times New Roman"/>
                <w:color w:val="auto"/>
                <w:highlight w:val="none"/>
              </w:rPr>
              <w:footnoteReference w:id="38"/>
            </w:r>
          </w:p>
          <w:p>
            <w:pPr>
              <w:pageBreakBefore w:val="0"/>
              <w:kinsoku/>
              <w:wordWrap w:val="0"/>
              <w:overflowPunct/>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（总分100分）</w:t>
            </w:r>
          </w:p>
        </w:tc>
        <w:tc>
          <w:tcPr>
            <w:tcW w:w="3723" w:type="pct"/>
            <w:tcBorders>
              <w:top w:val="single" w:color="auto" w:sz="4" w:space="0"/>
              <w:left w:val="single" w:color="auto" w:sz="4" w:space="0"/>
              <w:right w:val="single" w:color="auto" w:sz="4" w:space="0"/>
            </w:tcBorders>
            <w:vAlign w:val="center"/>
          </w:tcPr>
          <w:p>
            <w:pPr>
              <w:pageBreakBefore w:val="0"/>
              <w:kinsoku/>
              <w:wordWrap w:val="0"/>
              <w:overflowPunct/>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第一个信封（商务及技术文件）评分分值构成：</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承包人建议书：</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承包人实施计划：</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技术能力</w:t>
            </w:r>
            <w:r>
              <w:rPr>
                <w:rStyle w:val="45"/>
                <w:rFonts w:hint="default" w:ascii="Times New Roman" w:hAnsi="Times New Roman" w:cs="Times New Roman"/>
                <w:color w:val="auto"/>
                <w:highlight w:val="none"/>
              </w:rPr>
              <w:footnoteReference w:id="39"/>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财务能力：</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业绩：</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履约信誉：</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pageBreakBefore w:val="0"/>
              <w:kinsoku/>
              <w:wordWrap w:val="0"/>
              <w:overflowPunct/>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第二个信封（报价文件）评分分值构成：</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w:t>
            </w:r>
            <w:r>
              <w:rPr>
                <w:rStyle w:val="45"/>
                <w:rFonts w:hint="default" w:ascii="Times New Roman" w:hAnsi="Times New Roman" w:cs="Times New Roman"/>
                <w:color w:val="auto"/>
                <w:szCs w:val="21"/>
                <w:highlight w:val="none"/>
              </w:rPr>
              <w:footnoteReference w:id="40"/>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53" w:type="pct"/>
            <w:gridSpan w:val="2"/>
            <w:tcBorders>
              <w:top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w:t>
            </w:r>
          </w:p>
        </w:tc>
        <w:tc>
          <w:tcPr>
            <w:tcW w:w="722" w:type="pct"/>
            <w:gridSpan w:val="2"/>
            <w:tcBorders>
              <w:top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评标基准价计算方法</w:t>
            </w:r>
          </w:p>
        </w:tc>
        <w:tc>
          <w:tcPr>
            <w:tcW w:w="3723" w:type="pc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在开标现场，招标人将当场计算并宣布各标段评标基准价。在评标过程中，评标委员会将对招标人计算的评标基准价进行复核，存在计算错误的应予以修正并在评标报告中作出说明。除此之外，评标基准价在整个评标期间保持不变，不随任何因素发生变化。</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计算差错，仅限于以下两种情况：1、纯算术性四则运算差错；2、未按约定的规则，多计或少计参加评标价平均值计算的评标价。</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本次招标设定3种评标价平均值（B）计算方法，在第二个信封（报价文件）开标现场，每个标段随机抽取其中1种作为该标段的评标价平均值计算方法。</w:t>
            </w:r>
          </w:p>
          <w:p>
            <w:pPr>
              <w:keepNext w:val="0"/>
              <w:keepLines w:val="0"/>
              <w:pageBreakBefore w:val="0"/>
              <w:widowControl/>
              <w:kinsoku/>
              <w:wordWrap/>
              <w:overflowPunct/>
              <w:topLinePunct w:val="0"/>
              <w:autoSpaceDE/>
              <w:autoSpaceDN/>
              <w:bidi w:val="0"/>
              <w:adjustRightInd/>
              <w:snapToGrid/>
              <w:spacing w:line="360" w:lineRule="atLeast"/>
              <w:ind w:firstLine="421" w:firstLineChars="200"/>
              <w:jc w:val="left"/>
              <w:textAlignment w:val="auto"/>
              <w:outlineLvl w:val="0"/>
              <w:rPr>
                <w:rFonts w:hint="default" w:ascii="Times New Roman" w:hAnsi="Times New Roman" w:eastAsia="宋体" w:cs="Times New Roman"/>
                <w:b/>
                <w:bCs/>
                <w:color w:val="auto"/>
                <w:highlight w:val="none"/>
              </w:rPr>
            </w:pPr>
            <w:bookmarkStart w:id="383" w:name="_Toc28512"/>
            <w:bookmarkStart w:id="384" w:name="_Toc22108"/>
            <w:bookmarkStart w:id="385" w:name="_Toc5610"/>
            <w:bookmarkStart w:id="386" w:name="_Toc17497"/>
            <w:bookmarkStart w:id="387" w:name="_Toc20542"/>
            <w:bookmarkStart w:id="388" w:name="_Toc8486"/>
            <w:bookmarkStart w:id="389" w:name="_Toc19450"/>
            <w:r>
              <w:rPr>
                <w:rFonts w:hint="default" w:ascii="Times New Roman" w:hAnsi="Times New Roman" w:eastAsia="宋体" w:cs="Times New Roman"/>
                <w:b/>
                <w:bCs/>
                <w:color w:val="auto"/>
                <w:kern w:val="0"/>
                <w:szCs w:val="21"/>
                <w:highlight w:val="none"/>
                <w:lang w:bidi="ar"/>
              </w:rPr>
              <w:t>一、评标价（A）</w:t>
            </w:r>
            <w:bookmarkEnd w:id="383"/>
            <w:bookmarkEnd w:id="384"/>
            <w:bookmarkEnd w:id="385"/>
            <w:bookmarkEnd w:id="386"/>
            <w:bookmarkEnd w:id="387"/>
            <w:bookmarkEnd w:id="388"/>
            <w:bookmarkEnd w:id="389"/>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评标价=投标函的文字报价</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如果投标文件出现以下1～5任一情况，不参加评标价平均值的计算：</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1、未按要求在投标函上填写投标总价；</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黑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2、投标报价超出招标人公布的最高投标限价，或低于招标人公布的最高投标限价的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w:t>
            </w:r>
            <w:r>
              <w:rPr>
                <w:rFonts w:hint="default" w:ascii="Times New Roman" w:hAnsi="Times New Roman" w:eastAsia="黑体" w:cs="Times New Roman"/>
                <w:color w:val="auto"/>
                <w:kern w:val="0"/>
                <w:szCs w:val="21"/>
                <w:highlight w:val="none"/>
                <w:lang w:bidi="ar"/>
              </w:rPr>
              <w:t>（注：由招标人在招标文件中约定低于投标最高限价一定范围值的投标报价不参与评标基准价的计算，G%原则上在85%～90%之间取值。）</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3、无法确定投标报价具体数值；</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4、投标函上填写的标段号与投标文件封套上标记的标段号不一致（如分标段）；</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5、投标函中的投标报价大写金额与投标文件工程量清单中的投标报价金额不一致。</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投标文件存在以上1～5任一情况，但招标人在第二个信封（报价文件）开标现场未发现的，视为计算过程中基础数据取用错误，由评标委员会在评标过程中予以修正。投标文件未出现以上1～5情况的，均参加评标价平均值的计算。</w:t>
            </w:r>
          </w:p>
          <w:p>
            <w:pPr>
              <w:keepNext w:val="0"/>
              <w:keepLines w:val="0"/>
              <w:pageBreakBefore w:val="0"/>
              <w:widowControl/>
              <w:kinsoku/>
              <w:wordWrap/>
              <w:overflowPunct/>
              <w:topLinePunct w:val="0"/>
              <w:autoSpaceDE/>
              <w:autoSpaceDN/>
              <w:bidi w:val="0"/>
              <w:adjustRightInd/>
              <w:snapToGrid/>
              <w:spacing w:line="360" w:lineRule="atLeast"/>
              <w:ind w:firstLine="421" w:firstLineChars="200"/>
              <w:jc w:val="left"/>
              <w:textAlignment w:val="auto"/>
              <w:outlineLvl w:val="9"/>
              <w:rPr>
                <w:rFonts w:hint="default" w:ascii="Times New Roman" w:hAnsi="Times New Roman" w:eastAsia="宋体" w:cs="Times New Roman"/>
                <w:b/>
                <w:bCs/>
                <w:color w:val="auto"/>
                <w:kern w:val="0"/>
                <w:szCs w:val="21"/>
                <w:highlight w:val="none"/>
                <w:lang w:bidi="ar"/>
              </w:rPr>
            </w:pPr>
            <w:bookmarkStart w:id="390" w:name="_Toc12790"/>
            <w:r>
              <w:rPr>
                <w:rFonts w:hint="default" w:ascii="Times New Roman" w:hAnsi="Times New Roman" w:eastAsia="宋体" w:cs="Times New Roman"/>
                <w:b/>
                <w:bCs/>
                <w:color w:val="auto"/>
                <w:kern w:val="0"/>
                <w:szCs w:val="21"/>
                <w:highlight w:val="none"/>
                <w:lang w:bidi="ar"/>
              </w:rPr>
              <w:t>二、评标价平均值（B）计算方法1</w:t>
            </w:r>
            <w:bookmarkEnd w:id="390"/>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如果所有评标价均低于</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%），则评标价平均值（B）直接为</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）。否则，按以下方式计算评标价平均值（B）：</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1、评标价初始平均值（B1）</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所有参加评标价平均值计算的评标价的算术平均值为评标价初始平均值B1。</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评标价初始平均值（B1）保留七位小数，小数点后第八位</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2、评标价区段平均值（B2）</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根据下述区段计算评标价区段平均值（</w:t>
            </w:r>
            <w:r>
              <w:rPr>
                <w:rFonts w:hint="default" w:ascii="Times New Roman" w:hAnsi="Times New Roman" w:eastAsia="宋体" w:cs="Times New Roman"/>
                <w:color w:val="auto"/>
                <w:szCs w:val="21"/>
                <w:highlight w:val="none"/>
              </w:rPr>
              <w:t>B2.1、B2.2、……、B2.15、B2.16</w:t>
            </w:r>
            <w:r>
              <w:rPr>
                <w:rFonts w:hint="default" w:ascii="Times New Roman" w:hAnsi="Times New Roman" w:eastAsia="宋体" w:cs="Times New Roman"/>
                <w:color w:val="auto"/>
                <w:kern w:val="0"/>
                <w:szCs w:val="21"/>
                <w:highlight w:val="none"/>
                <w:lang w:bidi="ar"/>
              </w:rPr>
              <w:t>），各区段平均值为该区段内各评标价的算术平均值。如：B2.2为</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1.03*B1（不含）～1.035*B1（含）</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范围内的所有评标价的算术平均值。评标价区段平均值（B2）保留七位小数，小数点后第八位</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53"/>
              <w:gridCol w:w="2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vAlign w:val="center"/>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区段</w:t>
                  </w:r>
                </w:p>
              </w:tc>
              <w:tc>
                <w:tcPr>
                  <w:tcW w:w="1464" w:type="pct"/>
                  <w:vAlign w:val="center"/>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区段平均值（B2）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1.035*B1&lt;评标价</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1.03*B1&lt;评标价≤1.035*B1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536" w:type="pct"/>
                </w:tcPr>
                <w:p>
                  <w:pPr>
                    <w:widowControl/>
                    <w:jc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1.025*B1&lt;评标价≤1.03*B1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1.02*B1&lt;评标价≤1.025*B1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1.015*B1&lt;评标价≤1.02*B1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1.01*B1&lt;评标价≤1.015*B1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1.005*B1&lt;评标价≤1.01*B1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vAlign w:val="center"/>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1.00*B1&lt;评标价≤1.005*B1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vAlign w:val="center"/>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0.995*B1&lt;评标价≤1.00*B1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vAlign w:val="center"/>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0.99*B1&lt;评标价≤0.995*B1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0.985*B1&lt;评标价≤0.99*B1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0.98*B1&lt;评标价≤0.985*B1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0.975*B1&lt;评标价≤0.98*B1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0.97*B1&lt;评标价≤0.975*B1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0.965*B1≤评标价≤0.97*B1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评标价&lt;0.965*B1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B2.16</w:t>
                  </w:r>
                </w:p>
              </w:tc>
            </w:tr>
          </w:tbl>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3、评标价平均值（B）</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（1）按下列公式，将计算得出的区段平均值（</w:t>
            </w:r>
            <w:r>
              <w:rPr>
                <w:rFonts w:hint="default" w:ascii="Times New Roman" w:hAnsi="Times New Roman" w:eastAsia="宋体" w:cs="Times New Roman"/>
                <w:color w:val="auto"/>
                <w:szCs w:val="21"/>
                <w:highlight w:val="none"/>
              </w:rPr>
              <w:t>B2.1、B2.2、……、B2.15、B2.16</w:t>
            </w:r>
            <w:r>
              <w:rPr>
                <w:rFonts w:hint="default" w:ascii="Times New Roman" w:hAnsi="Times New Roman" w:eastAsia="宋体" w:cs="Times New Roman"/>
                <w:color w:val="auto"/>
                <w:kern w:val="0"/>
                <w:szCs w:val="21"/>
                <w:highlight w:val="none"/>
                <w:lang w:bidi="ar"/>
              </w:rPr>
              <w:t>）进行加权平均（B2.1和B2.16权重为0.1，B2.2和B2.15权重为0.3，B2.3和B2.14权重为0.5，其余权重为1.0），得出评标价平均值（B）。评标价平均值（B）保留七位小数，小数点后第八位</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w:t>
            </w:r>
          </w:p>
          <w:p>
            <w:pPr>
              <w:keepNext w:val="0"/>
              <w:keepLines w:val="0"/>
              <w:pageBreakBefore w:val="0"/>
              <w:widowControl/>
              <w:kinsoku/>
              <w:wordWrap w:val="0"/>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B=[0.1*</w:t>
            </w:r>
            <w:r>
              <w:rPr>
                <w:rFonts w:hint="default" w:ascii="Times New Roman" w:hAnsi="Times New Roman" w:eastAsia="宋体" w:cs="Times New Roman"/>
                <w:color w:val="auto"/>
                <w:szCs w:val="21"/>
                <w:highlight w:val="none"/>
              </w:rPr>
              <w:t>B2.1</w:t>
            </w:r>
            <w:r>
              <w:rPr>
                <w:rFonts w:hint="default" w:ascii="Times New Roman" w:hAnsi="Times New Roman" w:eastAsia="宋体" w:cs="Times New Roman"/>
                <w:color w:val="auto"/>
                <w:kern w:val="0"/>
                <w:szCs w:val="21"/>
                <w:highlight w:val="none"/>
                <w:lang w:bidi="ar"/>
              </w:rPr>
              <w:t>+0.3*</w:t>
            </w:r>
            <w:r>
              <w:rPr>
                <w:rFonts w:hint="default" w:ascii="Times New Roman" w:hAnsi="Times New Roman" w:eastAsia="宋体" w:cs="Times New Roman"/>
                <w:color w:val="auto"/>
                <w:szCs w:val="21"/>
                <w:highlight w:val="none"/>
              </w:rPr>
              <w:t>B2.2</w:t>
            </w:r>
            <w:r>
              <w:rPr>
                <w:rFonts w:hint="default" w:ascii="Times New Roman" w:hAnsi="Times New Roman" w:eastAsia="宋体" w:cs="Times New Roman"/>
                <w:color w:val="auto"/>
                <w:kern w:val="0"/>
                <w:szCs w:val="21"/>
                <w:highlight w:val="none"/>
                <w:lang w:bidi="ar"/>
              </w:rPr>
              <w:t>+0.5*</w:t>
            </w:r>
            <w:r>
              <w:rPr>
                <w:rFonts w:hint="default" w:ascii="Times New Roman" w:hAnsi="Times New Roman" w:eastAsia="宋体" w:cs="Times New Roman"/>
                <w:color w:val="auto"/>
                <w:szCs w:val="21"/>
                <w:highlight w:val="none"/>
              </w:rPr>
              <w:t>B2.3</w:t>
            </w:r>
            <w:r>
              <w:rPr>
                <w:rFonts w:hint="default" w:ascii="Times New Roman" w:hAnsi="Times New Roman" w:eastAsia="宋体" w:cs="Times New Roman"/>
                <w:color w:val="auto"/>
                <w:kern w:val="0"/>
                <w:szCs w:val="21"/>
                <w:highlight w:val="none"/>
                <w:lang w:bidi="ar"/>
              </w:rPr>
              <w:t>+1.0*（</w:t>
            </w:r>
            <w:r>
              <w:rPr>
                <w:rFonts w:hint="default" w:ascii="Times New Roman" w:hAnsi="Times New Roman" w:eastAsia="宋体" w:cs="Times New Roman"/>
                <w:color w:val="auto"/>
                <w:szCs w:val="21"/>
                <w:highlight w:val="none"/>
              </w:rPr>
              <w:t>B2.4+B2.5+……+B2.12+B2.13</w:t>
            </w:r>
            <w:r>
              <w:rPr>
                <w:rFonts w:hint="default" w:ascii="Times New Roman" w:hAnsi="Times New Roman" w:eastAsia="宋体" w:cs="Times New Roman"/>
                <w:color w:val="auto"/>
                <w:kern w:val="0"/>
                <w:szCs w:val="21"/>
                <w:highlight w:val="none"/>
                <w:lang w:bidi="ar"/>
              </w:rPr>
              <w:t>）+0.5*</w:t>
            </w:r>
            <w:r>
              <w:rPr>
                <w:rFonts w:hint="default" w:ascii="Times New Roman" w:hAnsi="Times New Roman" w:eastAsia="宋体" w:cs="Times New Roman"/>
                <w:color w:val="auto"/>
                <w:szCs w:val="21"/>
                <w:highlight w:val="none"/>
              </w:rPr>
              <w:t>B2.14+</w:t>
            </w:r>
            <w:r>
              <w:rPr>
                <w:rFonts w:hint="default" w:ascii="Times New Roman" w:hAnsi="Times New Roman" w:eastAsia="宋体" w:cs="Times New Roman"/>
                <w:color w:val="auto"/>
                <w:kern w:val="0"/>
                <w:szCs w:val="21"/>
                <w:highlight w:val="none"/>
                <w:lang w:bidi="ar"/>
              </w:rPr>
              <w:t>0.3*</w:t>
            </w:r>
            <w:r>
              <w:rPr>
                <w:rFonts w:hint="default" w:ascii="Times New Roman" w:hAnsi="Times New Roman" w:eastAsia="宋体" w:cs="Times New Roman"/>
                <w:color w:val="auto"/>
                <w:szCs w:val="21"/>
                <w:highlight w:val="none"/>
              </w:rPr>
              <w:t>B2.15+0.1*B2.16</w:t>
            </w:r>
            <w:r>
              <w:rPr>
                <w:rFonts w:hint="default" w:ascii="Times New Roman" w:hAnsi="Times New Roman" w:eastAsia="宋体" w:cs="Times New Roman"/>
                <w:color w:val="auto"/>
                <w:kern w:val="0"/>
                <w:szCs w:val="21"/>
                <w:highlight w:val="none"/>
                <w:lang w:bidi="ar"/>
              </w:rPr>
              <w:t>]/[0.1+0.3+0.5+1.0+1.0+1.0+1.0+1.0+1.0+1.0+1.0+1.0+1.0+0.5+0.3+0.1]。</w:t>
            </w:r>
          </w:p>
          <w:p>
            <w:pPr>
              <w:keepNext w:val="0"/>
              <w:keepLines w:val="0"/>
              <w:pageBreakBefore w:val="0"/>
              <w:widowControl/>
              <w:kinsoku/>
              <w:wordWrap w:val="0"/>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（2）如果某区段无区段平均值，则该区段不计区段平均值。如：无B2.1、B2.3、B2.9、B2.15等区段平均值，即B2.1、B2.3、B2.9、B2.15以及其权重均等于0，则评标价平均值B=[0.0*0.0+0.3*</w:t>
            </w:r>
            <w:r>
              <w:rPr>
                <w:rFonts w:hint="default" w:ascii="Times New Roman" w:hAnsi="Times New Roman" w:eastAsia="宋体" w:cs="Times New Roman"/>
                <w:color w:val="auto"/>
                <w:szCs w:val="21"/>
                <w:highlight w:val="none"/>
              </w:rPr>
              <w:t>B2.2+</w:t>
            </w:r>
            <w:r>
              <w:rPr>
                <w:rFonts w:hint="default" w:ascii="Times New Roman" w:hAnsi="Times New Roman" w:eastAsia="宋体" w:cs="Times New Roman"/>
                <w:color w:val="auto"/>
                <w:kern w:val="0"/>
                <w:szCs w:val="21"/>
                <w:highlight w:val="none"/>
                <w:lang w:bidi="ar"/>
              </w:rPr>
              <w:t>0.0*0.0+1.0*（</w:t>
            </w:r>
            <w:r>
              <w:rPr>
                <w:rFonts w:hint="default" w:ascii="Times New Roman" w:hAnsi="Times New Roman" w:eastAsia="宋体" w:cs="Times New Roman"/>
                <w:color w:val="auto"/>
                <w:szCs w:val="21"/>
                <w:highlight w:val="none"/>
              </w:rPr>
              <w:t>B2.4+B2.5+……+B2.8+</w:t>
            </w:r>
            <w:r>
              <w:rPr>
                <w:rFonts w:hint="default" w:ascii="Times New Roman" w:hAnsi="Times New Roman" w:eastAsia="宋体" w:cs="Times New Roman"/>
                <w:color w:val="auto"/>
                <w:kern w:val="0"/>
                <w:szCs w:val="21"/>
                <w:highlight w:val="none"/>
                <w:lang w:bidi="ar"/>
              </w:rPr>
              <w:t>0.0+</w:t>
            </w:r>
            <w:r>
              <w:rPr>
                <w:rFonts w:hint="default" w:ascii="Times New Roman" w:hAnsi="Times New Roman" w:eastAsia="宋体" w:cs="Times New Roman"/>
                <w:color w:val="auto"/>
                <w:szCs w:val="21"/>
                <w:highlight w:val="none"/>
              </w:rPr>
              <w:t>B2.10+……B2.12+B2.13</w:t>
            </w:r>
            <w:r>
              <w:rPr>
                <w:rFonts w:hint="default" w:ascii="Times New Roman" w:hAnsi="Times New Roman" w:eastAsia="宋体" w:cs="Times New Roman"/>
                <w:color w:val="auto"/>
                <w:kern w:val="0"/>
                <w:szCs w:val="21"/>
                <w:highlight w:val="none"/>
                <w:lang w:bidi="ar"/>
              </w:rPr>
              <w:t>）+0.5*</w:t>
            </w:r>
            <w:r>
              <w:rPr>
                <w:rFonts w:hint="default" w:ascii="Times New Roman" w:hAnsi="Times New Roman" w:eastAsia="宋体" w:cs="Times New Roman"/>
                <w:color w:val="auto"/>
                <w:szCs w:val="21"/>
                <w:highlight w:val="none"/>
              </w:rPr>
              <w:t>B2.14+</w:t>
            </w:r>
            <w:r>
              <w:rPr>
                <w:rFonts w:hint="default" w:ascii="Times New Roman" w:hAnsi="Times New Roman" w:eastAsia="宋体" w:cs="Times New Roman"/>
                <w:color w:val="auto"/>
                <w:kern w:val="0"/>
                <w:szCs w:val="21"/>
                <w:highlight w:val="none"/>
                <w:lang w:bidi="ar"/>
              </w:rPr>
              <w:t>0.0*0.0+</w:t>
            </w:r>
            <w:r>
              <w:rPr>
                <w:rFonts w:hint="default" w:ascii="Times New Roman" w:hAnsi="Times New Roman" w:eastAsia="宋体" w:cs="Times New Roman"/>
                <w:color w:val="auto"/>
                <w:szCs w:val="21"/>
                <w:highlight w:val="none"/>
              </w:rPr>
              <w:t>0.1*B2.16</w:t>
            </w:r>
            <w:r>
              <w:rPr>
                <w:rFonts w:hint="default" w:ascii="Times New Roman" w:hAnsi="Times New Roman" w:eastAsia="宋体" w:cs="Times New Roman"/>
                <w:color w:val="auto"/>
                <w:kern w:val="0"/>
                <w:szCs w:val="21"/>
                <w:highlight w:val="none"/>
                <w:lang w:bidi="ar"/>
              </w:rPr>
              <w:t>]/[0.0+0.3+0.0+1.0+1.0+1.0+1.0+1.0+0.0+1.0+1.0+1.0+1.0+0.5+0.0+0.1]。</w:t>
            </w:r>
          </w:p>
          <w:p>
            <w:pPr>
              <w:keepNext w:val="0"/>
              <w:keepLines w:val="0"/>
              <w:pageBreakBefore w:val="0"/>
              <w:widowControl/>
              <w:kinsoku/>
              <w:wordWrap/>
              <w:overflowPunct/>
              <w:topLinePunct w:val="0"/>
              <w:autoSpaceDE/>
              <w:autoSpaceDN/>
              <w:bidi w:val="0"/>
              <w:adjustRightInd/>
              <w:snapToGrid/>
              <w:spacing w:line="360" w:lineRule="atLeast"/>
              <w:ind w:firstLine="421" w:firstLineChars="200"/>
              <w:jc w:val="left"/>
              <w:textAlignment w:val="auto"/>
              <w:outlineLvl w:val="0"/>
              <w:rPr>
                <w:rFonts w:hint="default" w:ascii="Times New Roman" w:hAnsi="Times New Roman" w:eastAsia="宋体" w:cs="Times New Roman"/>
                <w:b/>
                <w:bCs/>
                <w:color w:val="auto"/>
                <w:kern w:val="0"/>
                <w:szCs w:val="21"/>
                <w:highlight w:val="none"/>
                <w:lang w:bidi="ar"/>
              </w:rPr>
            </w:pPr>
            <w:bookmarkStart w:id="391" w:name="_Toc1408"/>
            <w:bookmarkStart w:id="392" w:name="_Toc17703"/>
            <w:bookmarkStart w:id="393" w:name="_Toc4389"/>
            <w:bookmarkStart w:id="394" w:name="_Toc24124"/>
            <w:bookmarkStart w:id="395" w:name="_Toc6782"/>
            <w:bookmarkStart w:id="396" w:name="_Toc8237"/>
            <w:bookmarkStart w:id="397" w:name="_Toc23953"/>
            <w:r>
              <w:rPr>
                <w:rFonts w:hint="default" w:ascii="Times New Roman" w:hAnsi="Times New Roman" w:eastAsia="宋体" w:cs="Times New Roman"/>
                <w:b/>
                <w:bCs/>
                <w:color w:val="auto"/>
                <w:kern w:val="0"/>
                <w:szCs w:val="21"/>
                <w:highlight w:val="none"/>
                <w:lang w:bidi="ar"/>
              </w:rPr>
              <w:t>三、评标价平均值（B）计算方法2</w:t>
            </w:r>
            <w:bookmarkEnd w:id="391"/>
            <w:bookmarkEnd w:id="392"/>
            <w:bookmarkEnd w:id="393"/>
            <w:bookmarkEnd w:id="394"/>
            <w:bookmarkEnd w:id="395"/>
            <w:bookmarkEnd w:id="396"/>
            <w:bookmarkEnd w:id="397"/>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根据所有参加评标价平均值计算的评标价（个数用P表示）计算评标价平均值（B）。C为招标人设定的最高投标限价。评标价平均值保留七位小数，小数点后第八位</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1、当P=0时，即所有评标价均低于</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%），则评标价平均值（B）直接为</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2、当0＜P≤5时，评标价平均值（B）为P个评标价的算术平均值。</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3、当6≤P≤9时，在P个评标价中，去掉1个最高值和1个最低值后的其余评标价的算术平均值为评标价平均值（B）。</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4、当P≥10时，在P个评标价中，去掉P1个最高值和P2个最低值后的其余评标价的算术平均值为评标价平均值（B）。</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P1=Q1，P2=Q2。Q1、Q2是在取值区间（1～Q）中随机抽取的两个数值，较大的数值为Q1，较小的数值为Q2。Q=INT（P/5），即Q为（P/5）向下取整。</w:t>
            </w:r>
          </w:p>
          <w:p>
            <w:pPr>
              <w:keepNext w:val="0"/>
              <w:keepLines w:val="0"/>
              <w:pageBreakBefore w:val="0"/>
              <w:widowControl/>
              <w:kinsoku/>
              <w:wordWrap/>
              <w:overflowPunct/>
              <w:topLinePunct w:val="0"/>
              <w:autoSpaceDE/>
              <w:autoSpaceDN/>
              <w:bidi w:val="0"/>
              <w:adjustRightInd/>
              <w:snapToGrid/>
              <w:spacing w:line="360" w:lineRule="atLeast"/>
              <w:ind w:firstLine="421" w:firstLineChars="200"/>
              <w:jc w:val="left"/>
              <w:textAlignment w:val="auto"/>
              <w:outlineLvl w:val="0"/>
              <w:rPr>
                <w:rFonts w:hint="default" w:ascii="Times New Roman" w:hAnsi="Times New Roman" w:eastAsia="宋体" w:cs="Times New Roman"/>
                <w:b/>
                <w:bCs/>
                <w:color w:val="auto"/>
                <w:kern w:val="0"/>
                <w:szCs w:val="21"/>
                <w:highlight w:val="none"/>
                <w:lang w:bidi="ar"/>
              </w:rPr>
            </w:pPr>
            <w:bookmarkStart w:id="398" w:name="_Toc29737"/>
            <w:bookmarkStart w:id="399" w:name="_Toc5416"/>
            <w:bookmarkStart w:id="400" w:name="_Toc4340"/>
            <w:bookmarkStart w:id="401" w:name="_Toc10069"/>
            <w:bookmarkStart w:id="402" w:name="_Toc2083"/>
            <w:bookmarkStart w:id="403" w:name="_Toc16791"/>
            <w:bookmarkStart w:id="404" w:name="_Toc22448"/>
            <w:r>
              <w:rPr>
                <w:rFonts w:hint="default" w:ascii="Times New Roman" w:hAnsi="Times New Roman" w:eastAsia="宋体" w:cs="Times New Roman"/>
                <w:b/>
                <w:bCs/>
                <w:color w:val="auto"/>
                <w:kern w:val="0"/>
                <w:szCs w:val="21"/>
                <w:highlight w:val="none"/>
                <w:lang w:bidi="ar"/>
              </w:rPr>
              <w:t>四、评标价平均值（B）计算方法3</w:t>
            </w:r>
            <w:bookmarkEnd w:id="398"/>
            <w:bookmarkEnd w:id="399"/>
            <w:bookmarkEnd w:id="400"/>
            <w:bookmarkEnd w:id="401"/>
            <w:bookmarkEnd w:id="402"/>
            <w:bookmarkEnd w:id="403"/>
            <w:bookmarkEnd w:id="404"/>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根据所有参加评标价平均值计算的评标价（个数用P表示）计算评标价平均值（B）。C为招标人设定的最高投标限价。评标价平均值保留七位小数，小数点后第八位</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1、当P=0时，即所有评标价均低于</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%），则评标价平均值（B）直接为</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2、当0＜P≤5时，评标价平均值（B）为P个评标价的算术平均值。</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3、当P=6或7时，在P个评标价中，去掉1个最高值和1个最低值后的其余评标价的算术平均值为评标价平均值（B）。</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4、当P≥8时</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（1）首先，在P个评标价中，去掉P1个最高值和P2个最低值。</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①当P=8或9时，P1=P2=1；</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②当P=10或11或12或13或14时，P1=2，P2=1；</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③当P≥15时，P1=Q1，P2=Q2。Q1、Q2是在取值区间（1～Q）中随机抽取的两个数值，较大的数值为Q1，较小的数值为Q2。Q=INT（P/5），即Q为（P/5）向下取整且最小为1。</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（2）然后，将其余评标价由低到高排列，对排列第（1、1+R、1+2R、……、1+SR）</w:t>
            </w:r>
            <w:r>
              <w:rPr>
                <w:rFonts w:hint="default" w:ascii="Times New Roman" w:hAnsi="Times New Roman" w:eastAsia="宋体" w:cs="Times New Roman"/>
                <w:color w:val="auto"/>
                <w:highlight w:val="none"/>
              </w:rPr>
              <w:t>的评标价进行算术平均，该算术平均值为</w:t>
            </w:r>
            <w:r>
              <w:rPr>
                <w:rFonts w:hint="default" w:ascii="Times New Roman" w:hAnsi="Times New Roman" w:eastAsia="宋体" w:cs="Times New Roman"/>
                <w:color w:val="auto"/>
                <w:kern w:val="0"/>
                <w:szCs w:val="21"/>
                <w:highlight w:val="none"/>
                <w:lang w:bidi="ar"/>
              </w:rPr>
              <w:t>评标价平均值（B）。</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R为随机步距，在开标现场随机抽取，取值范围为3、4、5。</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S为步距个数，S=INT[（P-P1-P2-1）/R]，即S为[（P-P1-P2-1）/R]向下取整。</w:t>
            </w:r>
          </w:p>
          <w:p>
            <w:pPr>
              <w:keepNext w:val="0"/>
              <w:keepLines w:val="0"/>
              <w:pageBreakBefore w:val="0"/>
              <w:widowControl/>
              <w:kinsoku/>
              <w:wordWrap/>
              <w:overflowPunct/>
              <w:topLinePunct w:val="0"/>
              <w:autoSpaceDE/>
              <w:autoSpaceDN/>
              <w:bidi w:val="0"/>
              <w:adjustRightInd/>
              <w:snapToGrid/>
              <w:spacing w:line="360" w:lineRule="atLeast"/>
              <w:ind w:firstLine="421" w:firstLineChars="200"/>
              <w:jc w:val="left"/>
              <w:textAlignment w:val="auto"/>
              <w:outlineLvl w:val="0"/>
              <w:rPr>
                <w:rFonts w:hint="default" w:ascii="Times New Roman" w:hAnsi="Times New Roman" w:eastAsia="宋体" w:cs="Times New Roman"/>
                <w:b/>
                <w:bCs/>
                <w:color w:val="auto"/>
                <w:kern w:val="0"/>
                <w:szCs w:val="21"/>
                <w:highlight w:val="none"/>
                <w:lang w:bidi="ar"/>
              </w:rPr>
            </w:pPr>
            <w:bookmarkStart w:id="405" w:name="_Toc8867"/>
            <w:bookmarkStart w:id="406" w:name="_Toc21164"/>
            <w:bookmarkStart w:id="407" w:name="_Toc17291"/>
            <w:bookmarkStart w:id="408" w:name="_Toc25262"/>
            <w:bookmarkStart w:id="409" w:name="_Toc19906"/>
            <w:bookmarkStart w:id="410" w:name="_Toc1493"/>
            <w:bookmarkStart w:id="411" w:name="_Toc26247"/>
            <w:r>
              <w:rPr>
                <w:rFonts w:hint="default" w:ascii="Times New Roman" w:hAnsi="Times New Roman" w:eastAsia="宋体" w:cs="Times New Roman"/>
                <w:b/>
                <w:bCs/>
                <w:color w:val="auto"/>
                <w:kern w:val="0"/>
                <w:szCs w:val="21"/>
                <w:highlight w:val="none"/>
                <w:lang w:bidi="ar"/>
              </w:rPr>
              <w:t>五、评标基准价（D）</w:t>
            </w:r>
            <w:bookmarkEnd w:id="405"/>
            <w:bookmarkEnd w:id="406"/>
            <w:bookmarkEnd w:id="407"/>
            <w:bookmarkEnd w:id="408"/>
            <w:bookmarkEnd w:id="409"/>
            <w:bookmarkEnd w:id="410"/>
            <w:bookmarkEnd w:id="411"/>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D=[C*K+B*（1-K）]*[（100-Z）/100]，保留七位小数，小数点后第八位</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式中：</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1、C为招标人设定的最高投标限价，B为评标价平均值。</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2、K为</w:t>
            </w:r>
            <w:r>
              <w:rPr>
                <w:rFonts w:hint="default" w:ascii="Times New Roman" w:hAnsi="Times New Roman" w:eastAsia="宋体" w:cs="Times New Roman"/>
                <w:color w:val="auto"/>
                <w:highlight w:val="none"/>
              </w:rPr>
              <w:t>权重系数，K=[（K1/10）+K2]/10。各标段的K1在开标现场从0、1、2、3、4、5、6、7、8、9等10个系数中随机抽取。各标段的K2在开标现场从0、0.5、1等3个系数中随机抽取。</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eastAsia="宋体" w:cs="Times New Roman"/>
                <w:color w:val="auto"/>
                <w:kern w:val="0"/>
                <w:szCs w:val="21"/>
                <w:highlight w:val="none"/>
                <w:lang w:bidi="ar"/>
              </w:rPr>
              <w:t>3、Z为下浮系数，各标段的Z</w:t>
            </w:r>
            <w:r>
              <w:rPr>
                <w:rFonts w:hint="default" w:ascii="Times New Roman" w:hAnsi="Times New Roman" w:eastAsia="宋体" w:cs="Times New Roman"/>
                <w:color w:val="auto"/>
                <w:szCs w:val="21"/>
                <w:highlight w:val="none"/>
              </w:rPr>
              <w:t>在开标现场</w:t>
            </w:r>
            <w:r>
              <w:rPr>
                <w:rFonts w:hint="default" w:ascii="Times New Roman" w:hAnsi="Times New Roman" w:eastAsia="宋体" w:cs="Times New Roman"/>
                <w:color w:val="auto"/>
                <w:kern w:val="0"/>
                <w:szCs w:val="21"/>
                <w:highlight w:val="none"/>
                <w:lang w:bidi="ar"/>
              </w:rPr>
              <w:t>均从0%、0.1%、0.2%、0.3%、0.4%、0.5%、0.6%、0.7%、0.8%、0.9%、1.0%、1.1%、1.2%、1.3%、1.4%、1.5%、1.6%、1.7%、1.8%、1.9%、2%等21个系数中随机抽取</w:t>
            </w:r>
            <w:r>
              <w:rPr>
                <w:rFonts w:hint="default" w:ascii="Times New Roman" w:hAnsi="Times New Roman" w:eastAsia="宋体" w:cs="Times New Roman"/>
                <w:color w:val="auto"/>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53" w:type="pct"/>
            <w:gridSpan w:val="2"/>
            <w:tcBorders>
              <w:top w:val="single" w:color="auto" w:sz="4" w:space="0"/>
              <w:left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722" w:type="pct"/>
            <w:gridSpan w:val="2"/>
            <w:tcBorders>
              <w:top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条款内容</w:t>
            </w:r>
          </w:p>
        </w:tc>
        <w:tc>
          <w:tcPr>
            <w:tcW w:w="3723" w:type="pct"/>
            <w:tcBorders>
              <w:top w:val="single" w:color="auto" w:sz="4" w:space="0"/>
              <w:left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53" w:type="pct"/>
            <w:gridSpan w:val="2"/>
            <w:tcBorders>
              <w:top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2.2.3</w:t>
            </w:r>
          </w:p>
        </w:tc>
        <w:tc>
          <w:tcPr>
            <w:tcW w:w="722" w:type="pct"/>
            <w:gridSpan w:val="2"/>
            <w:tcBorders>
              <w:top w:val="single" w:color="auto" w:sz="4" w:space="0"/>
              <w:right w:val="single" w:color="auto" w:sz="4" w:space="0"/>
            </w:tcBorders>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评标价的偏差率计算公式</w:t>
            </w:r>
          </w:p>
        </w:tc>
        <w:tc>
          <w:tcPr>
            <w:tcW w:w="3723" w:type="pct"/>
            <w:tcBorders>
              <w:top w:val="single" w:color="auto" w:sz="4" w:space="0"/>
              <w:left w:val="single" w:color="auto" w:sz="4" w:space="0"/>
              <w:right w:val="single" w:color="auto" w:sz="4" w:space="0"/>
            </w:tcBorders>
            <w:vAlign w:val="center"/>
          </w:tcPr>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偏差率=100% ×（投标人评标价－评标基准价）/评标基准价</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偏差率保留</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位小数</w:t>
            </w:r>
            <w:r>
              <w:rPr>
                <w:rFonts w:hint="default" w:ascii="Times New Roman" w:hAnsi="Times New Roman" w:eastAsia="宋体" w:cs="Times New Roman"/>
                <w:color w:val="auto"/>
                <w:szCs w:val="21"/>
                <w:highlight w:val="none"/>
              </w:rPr>
              <w:t>。</w:t>
            </w:r>
          </w:p>
        </w:tc>
      </w:tr>
    </w:tbl>
    <w:p>
      <w:pPr>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sectPr>
          <w:footerReference r:id="rId34" w:type="default"/>
          <w:headerReference r:id="rId33" w:type="even"/>
          <w:footerReference r:id="rId35" w:type="even"/>
          <w:footnotePr>
            <w:numFmt w:val="decimalEnclosedCircleChinese"/>
            <w:numRestart w:val="eachPage"/>
          </w:footnotePr>
          <w:pgSz w:w="11910" w:h="16850"/>
          <w:pgMar w:top="1480" w:right="1200" w:bottom="1040" w:left="1220" w:header="876" w:footer="853" w:gutter="0"/>
          <w:pgNumType w:fmt="decimal"/>
          <w:cols w:space="720" w:num="1"/>
        </w:sectPr>
      </w:pP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7"/>
        <w:gridCol w:w="493"/>
        <w:gridCol w:w="1004"/>
        <w:gridCol w:w="1079"/>
        <w:gridCol w:w="3451"/>
        <w:gridCol w:w="854"/>
        <w:gridCol w:w="1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336" w:type="pct"/>
            <w:gridSpan w:val="6"/>
            <w:tcBorders>
              <w:top w:val="single" w:color="auto" w:sz="4" w:space="0"/>
            </w:tcBorders>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评分因素与权重分值</w:t>
            </w:r>
            <w:r>
              <w:rPr>
                <w:rStyle w:val="45"/>
                <w:rFonts w:hint="default" w:ascii="Times New Roman" w:hAnsi="Times New Roman" w:cs="Times New Roman"/>
                <w:b/>
                <w:color w:val="auto"/>
                <w:szCs w:val="21"/>
                <w:highlight w:val="none"/>
              </w:rPr>
              <w:footnoteReference w:id="41"/>
            </w:r>
          </w:p>
        </w:tc>
        <w:tc>
          <w:tcPr>
            <w:tcW w:w="663" w:type="pct"/>
            <w:vMerge w:val="restart"/>
            <w:tcBorders>
              <w:top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评分标准</w:t>
            </w:r>
            <w:r>
              <w:rPr>
                <w:rStyle w:val="45"/>
                <w:rFonts w:hint="default" w:ascii="Times New Roman" w:hAnsi="Times New Roman" w:cs="Times New Roman"/>
                <w:b/>
                <w:color w:val="auto"/>
                <w:szCs w:val="21"/>
                <w:highlight w:val="none"/>
              </w:rPr>
              <w:footnoteReference w:id="4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92" w:type="pct"/>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771" w:type="pct"/>
            <w:gridSpan w:val="2"/>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w:t>
            </w:r>
          </w:p>
        </w:tc>
        <w:tc>
          <w:tcPr>
            <w:tcW w:w="556" w:type="pct"/>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评分因素权重分值</w:t>
            </w:r>
          </w:p>
        </w:tc>
        <w:tc>
          <w:tcPr>
            <w:tcW w:w="1778" w:type="pct"/>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各评分因素细分项</w:t>
            </w:r>
          </w:p>
        </w:tc>
        <w:tc>
          <w:tcPr>
            <w:tcW w:w="439" w:type="pct"/>
            <w:vAlign w:val="center"/>
          </w:tcPr>
          <w:p>
            <w:pPr>
              <w:pageBreakBefore w:val="0"/>
              <w:kinsoku/>
              <w:wordWrap w:val="0"/>
              <w:overflowPunct/>
              <w:bidi w:val="0"/>
              <w:spacing w:line="380" w:lineRule="atLeast"/>
              <w:jc w:val="right"/>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分值</w:t>
            </w:r>
          </w:p>
        </w:tc>
        <w:tc>
          <w:tcPr>
            <w:tcW w:w="663" w:type="pct"/>
            <w:vMerge w:val="continue"/>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restar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2.2.4（1）</w:t>
            </w:r>
          </w:p>
        </w:tc>
        <w:tc>
          <w:tcPr>
            <w:tcW w:w="771" w:type="pct"/>
            <w:gridSpan w:val="2"/>
            <w:vMerge w:val="restar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承包人建议书</w:t>
            </w:r>
          </w:p>
        </w:tc>
        <w:tc>
          <w:tcPr>
            <w:tcW w:w="556" w:type="pct"/>
            <w:vMerge w:val="restar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8" w:type="pct"/>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施工图设计技术方案</w:t>
            </w:r>
          </w:p>
        </w:tc>
        <w:tc>
          <w:tcPr>
            <w:tcW w:w="439" w:type="pc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771" w:type="pct"/>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6" w:type="pct"/>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p>
        </w:tc>
        <w:tc>
          <w:tcPr>
            <w:tcW w:w="1778" w:type="pct"/>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施工组织设计</w:t>
            </w:r>
          </w:p>
        </w:tc>
        <w:tc>
          <w:tcPr>
            <w:tcW w:w="439" w:type="pc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771" w:type="pct"/>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6" w:type="pct"/>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p>
        </w:tc>
        <w:tc>
          <w:tcPr>
            <w:tcW w:w="1778" w:type="pct"/>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39" w:type="pc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restar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2.2.4（2）</w:t>
            </w:r>
          </w:p>
        </w:tc>
        <w:tc>
          <w:tcPr>
            <w:tcW w:w="771" w:type="pct"/>
            <w:gridSpan w:val="2"/>
            <w:vMerge w:val="restar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承包人实施计划</w:t>
            </w:r>
          </w:p>
        </w:tc>
        <w:tc>
          <w:tcPr>
            <w:tcW w:w="556" w:type="pct"/>
            <w:vMerge w:val="restar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8" w:type="pct"/>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总体实施方案</w:t>
            </w:r>
          </w:p>
        </w:tc>
        <w:tc>
          <w:tcPr>
            <w:tcW w:w="439" w:type="pc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771" w:type="pct"/>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6" w:type="pct"/>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p>
        </w:tc>
        <w:tc>
          <w:tcPr>
            <w:tcW w:w="1778" w:type="pct"/>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项目实施要点</w:t>
            </w:r>
          </w:p>
        </w:tc>
        <w:tc>
          <w:tcPr>
            <w:tcW w:w="439" w:type="pc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771" w:type="pct"/>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6" w:type="pct"/>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p>
        </w:tc>
        <w:tc>
          <w:tcPr>
            <w:tcW w:w="1778" w:type="pct"/>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项目管理要点</w:t>
            </w:r>
          </w:p>
        </w:tc>
        <w:tc>
          <w:tcPr>
            <w:tcW w:w="439" w:type="pc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771" w:type="pct"/>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6" w:type="pct"/>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p>
        </w:tc>
        <w:tc>
          <w:tcPr>
            <w:tcW w:w="1778" w:type="pct"/>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39" w:type="pc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restart"/>
            <w:vAlign w:val="center"/>
          </w:tcPr>
          <w:p>
            <w:pPr>
              <w:pageBreakBefore w:val="0"/>
              <w:kinsoku/>
              <w:wordWrap w:val="0"/>
              <w:overflowPunct/>
              <w:bidi w:val="0"/>
              <w:spacing w:line="360" w:lineRule="atLeast"/>
              <w:ind w:left="-92" w:leftChars="-44" w:right="-88" w:rightChars="-4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2.2.4（3）</w:t>
            </w:r>
          </w:p>
        </w:tc>
        <w:tc>
          <w:tcPr>
            <w:tcW w:w="771" w:type="pct"/>
            <w:gridSpan w:val="2"/>
            <w:vMerge w:val="restart"/>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p>
        </w:tc>
        <w:tc>
          <w:tcPr>
            <w:tcW w:w="556" w:type="pct"/>
            <w:vMerge w:val="restar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8" w:type="pct"/>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项目负责人任职资格与业绩</w:t>
            </w:r>
          </w:p>
        </w:tc>
        <w:tc>
          <w:tcPr>
            <w:tcW w:w="439" w:type="pc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771" w:type="pct"/>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6" w:type="pct"/>
            <w:vMerge w:val="continue"/>
            <w:vAlign w:val="center"/>
          </w:tcPr>
          <w:p>
            <w:pPr>
              <w:pageBreakBefore w:val="0"/>
              <w:kinsoku/>
              <w:wordWrap w:val="0"/>
              <w:overflowPunct/>
              <w:bidi w:val="0"/>
              <w:spacing w:line="380" w:lineRule="atLeast"/>
              <w:jc w:val="right"/>
              <w:rPr>
                <w:rFonts w:hint="default" w:ascii="Times New Roman" w:hAnsi="Times New Roman" w:eastAsia="隶书" w:cs="Times New Roman"/>
                <w:b/>
                <w:color w:val="auto"/>
                <w:szCs w:val="21"/>
                <w:highlight w:val="none"/>
              </w:rPr>
            </w:pPr>
          </w:p>
        </w:tc>
        <w:tc>
          <w:tcPr>
            <w:tcW w:w="1778" w:type="pct"/>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设计负责人任职资格与业绩</w:t>
            </w:r>
          </w:p>
        </w:tc>
        <w:tc>
          <w:tcPr>
            <w:tcW w:w="439" w:type="pct"/>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771" w:type="pct"/>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6" w:type="pct"/>
            <w:vMerge w:val="continue"/>
            <w:vAlign w:val="center"/>
          </w:tcPr>
          <w:p>
            <w:pPr>
              <w:pageBreakBefore w:val="0"/>
              <w:kinsoku/>
              <w:wordWrap w:val="0"/>
              <w:overflowPunct/>
              <w:bidi w:val="0"/>
              <w:spacing w:line="380" w:lineRule="atLeast"/>
              <w:jc w:val="right"/>
              <w:rPr>
                <w:rFonts w:hint="default" w:ascii="Times New Roman" w:hAnsi="Times New Roman" w:eastAsia="隶书" w:cs="Times New Roman"/>
                <w:b/>
                <w:color w:val="auto"/>
                <w:szCs w:val="21"/>
                <w:highlight w:val="none"/>
              </w:rPr>
            </w:pPr>
          </w:p>
        </w:tc>
        <w:tc>
          <w:tcPr>
            <w:tcW w:w="1778" w:type="pct"/>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施工负责人任职资格与业绩</w:t>
            </w:r>
          </w:p>
        </w:tc>
        <w:tc>
          <w:tcPr>
            <w:tcW w:w="439" w:type="pct"/>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771" w:type="pct"/>
            <w:gridSpan w:val="2"/>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6" w:type="pct"/>
            <w:vMerge w:val="continue"/>
            <w:vAlign w:val="center"/>
          </w:tcPr>
          <w:p>
            <w:pPr>
              <w:pageBreakBefore w:val="0"/>
              <w:kinsoku/>
              <w:wordWrap w:val="0"/>
              <w:overflowPunct/>
              <w:bidi w:val="0"/>
              <w:spacing w:line="380" w:lineRule="atLeast"/>
              <w:jc w:val="right"/>
              <w:rPr>
                <w:rFonts w:hint="default" w:ascii="Times New Roman" w:hAnsi="Times New Roman" w:eastAsia="隶书" w:cs="Times New Roman"/>
                <w:b/>
                <w:color w:val="auto"/>
                <w:szCs w:val="21"/>
                <w:highlight w:val="none"/>
              </w:rPr>
            </w:pPr>
          </w:p>
        </w:tc>
        <w:tc>
          <w:tcPr>
            <w:tcW w:w="1778" w:type="pct"/>
            <w:vAlign w:val="center"/>
          </w:tcPr>
          <w:p>
            <w:pPr>
              <w:pageBreakBefore w:val="0"/>
              <w:kinsoku/>
              <w:wordWrap w:val="0"/>
              <w:overflowPunct/>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39" w:type="pct"/>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2.2.4（4）</w:t>
            </w:r>
          </w:p>
        </w:tc>
        <w:tc>
          <w:tcPr>
            <w:tcW w:w="771" w:type="pct"/>
            <w:gridSpan w:val="2"/>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w:t>
            </w:r>
          </w:p>
        </w:tc>
        <w:tc>
          <w:tcPr>
            <w:tcW w:w="556" w:type="pc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2880" w:type="pct"/>
            <w:gridSpan w:val="3"/>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评标价得分计算公式示例：</w:t>
            </w:r>
          </w:p>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（1）如果投标人的评标价&gt;评标基准价，则评标价得分＝</w:t>
            </w:r>
            <w:r>
              <w:rPr>
                <w:rFonts w:hint="default" w:ascii="Times New Roman" w:hAnsi="Times New Roman" w:eastAsia="宋体" w:cs="Times New Roman"/>
                <w:color w:val="auto"/>
                <w:szCs w:val="21"/>
                <w:highlight w:val="none"/>
              </w:rPr>
              <w:t>评标价满分</w:t>
            </w:r>
            <w:r>
              <w:rPr>
                <w:rFonts w:hint="default" w:ascii="Times New Roman" w:hAnsi="Times New Roman" w:cs="Times New Roman"/>
                <w:color w:val="auto"/>
                <w:szCs w:val="21"/>
                <w:highlight w:val="none"/>
              </w:rPr>
              <w:t>－偏差率×100×</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w:t>
            </w:r>
          </w:p>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（2）如果投标人的评标价≤评标基准价，则评标价得分＝</w:t>
            </w:r>
            <w:r>
              <w:rPr>
                <w:rFonts w:hint="default" w:ascii="Times New Roman" w:hAnsi="Times New Roman" w:eastAsia="宋体" w:cs="Times New Roman"/>
                <w:color w:val="auto"/>
                <w:szCs w:val="21"/>
                <w:highlight w:val="none"/>
              </w:rPr>
              <w:t>评标价满分</w:t>
            </w:r>
            <w:r>
              <w:rPr>
                <w:rFonts w:hint="default" w:ascii="Times New Roman" w:hAnsi="Times New Roman" w:cs="Times New Roman"/>
                <w:color w:val="auto"/>
                <w:szCs w:val="21"/>
                <w:highlight w:val="none"/>
              </w:rPr>
              <w:t>＋偏差率× 100×</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restar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2.2.4（5）</w:t>
            </w:r>
          </w:p>
        </w:tc>
        <w:tc>
          <w:tcPr>
            <w:tcW w:w="254" w:type="pct"/>
            <w:vMerge w:val="restar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其他因素</w:t>
            </w:r>
          </w:p>
        </w:tc>
        <w:tc>
          <w:tcPr>
            <w:tcW w:w="516" w:type="pct"/>
            <w:vMerge w:val="restar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w:t>
            </w:r>
          </w:p>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能力</w:t>
            </w:r>
          </w:p>
        </w:tc>
        <w:tc>
          <w:tcPr>
            <w:tcW w:w="556" w:type="pct"/>
            <w:vMerge w:val="restar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8"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39" w:type="pc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54" w:type="pct"/>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16" w:type="pct"/>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6" w:type="pct"/>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p>
        </w:tc>
        <w:tc>
          <w:tcPr>
            <w:tcW w:w="1778"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39" w:type="pct"/>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54" w:type="pct"/>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16" w:type="pct"/>
            <w:vMerge w:val="restart"/>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财务</w:t>
            </w:r>
          </w:p>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能力</w:t>
            </w:r>
          </w:p>
        </w:tc>
        <w:tc>
          <w:tcPr>
            <w:tcW w:w="556" w:type="pct"/>
            <w:vMerge w:val="restar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8"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39" w:type="pc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54" w:type="pct"/>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16" w:type="pct"/>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6" w:type="pct"/>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u w:val="single"/>
              </w:rPr>
            </w:pPr>
          </w:p>
        </w:tc>
        <w:tc>
          <w:tcPr>
            <w:tcW w:w="1778"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39" w:type="pct"/>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54" w:type="pct"/>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16" w:type="pct"/>
            <w:vMerge w:val="restart"/>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业绩</w:t>
            </w:r>
          </w:p>
        </w:tc>
        <w:tc>
          <w:tcPr>
            <w:tcW w:w="556" w:type="pct"/>
            <w:vMerge w:val="restar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8"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39" w:type="pct"/>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54" w:type="pct"/>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16" w:type="pct"/>
            <w:vMerge w:val="continue"/>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6" w:type="pct"/>
            <w:vMerge w:val="continue"/>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p>
        </w:tc>
        <w:tc>
          <w:tcPr>
            <w:tcW w:w="1778"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39" w:type="pct"/>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54" w:type="pct"/>
            <w:vMerge w:val="continue"/>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eastAsia="隶书" w:cs="Times New Roman"/>
                <w:color w:val="auto"/>
                <w:szCs w:val="21"/>
                <w:highlight w:val="none"/>
              </w:rPr>
            </w:pPr>
          </w:p>
        </w:tc>
        <w:tc>
          <w:tcPr>
            <w:tcW w:w="516" w:type="pct"/>
            <w:vMerge w:val="restart"/>
            <w:vAlign w:val="center"/>
          </w:tcPr>
          <w:p>
            <w:pPr>
              <w:pageBreakBefore w:val="0"/>
              <w:kinsoku/>
              <w:wordWrap w:val="0"/>
              <w:overflowPunct/>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w:t>
            </w:r>
          </w:p>
          <w:p>
            <w:pPr>
              <w:pageBreakBefore w:val="0"/>
              <w:kinsoku/>
              <w:wordWrap w:val="0"/>
              <w:overflowPunct/>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信誉</w:t>
            </w:r>
          </w:p>
        </w:tc>
        <w:tc>
          <w:tcPr>
            <w:tcW w:w="989" w:type="dxa"/>
            <w:vMerge w:val="restart"/>
            <w:vAlign w:val="center"/>
          </w:tcPr>
          <w:p>
            <w:pPr>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62" w:type="dxa"/>
            <w:vAlign w:val="top"/>
          </w:tcPr>
          <w:p>
            <w:pPr>
              <w:spacing w:line="380" w:lineRule="atLeast"/>
              <w:jc w:val="left"/>
              <w:rPr>
                <w:rFonts w:hint="default" w:ascii="Times New Roman" w:hAnsi="Times New Roman" w:cs="Times New Roman"/>
                <w:color w:val="auto"/>
                <w:szCs w:val="21"/>
                <w:highlight w:val="none"/>
              </w:rPr>
            </w:pPr>
          </w:p>
        </w:tc>
        <w:tc>
          <w:tcPr>
            <w:tcW w:w="782" w:type="dxa"/>
            <w:vAlign w:val="center"/>
          </w:tcPr>
          <w:p>
            <w:pPr>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vAlign w:val="center"/>
          </w:tcPr>
          <w:p>
            <w:pPr>
              <w:spacing w:line="380" w:lineRule="atLeast"/>
              <w:jc w:val="righ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54" w:type="pct"/>
            <w:vMerge w:val="continue"/>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16" w:type="pct"/>
            <w:vMerge w:val="restar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56" w:type="pct"/>
            <w:vMerge w:val="restart"/>
            <w:vAlign w:val="center"/>
          </w:tcPr>
          <w:p>
            <w:pPr>
              <w:pageBreakBefore w:val="0"/>
              <w:kinsoku/>
              <w:wordWrap w:val="0"/>
              <w:overflowPunct/>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778"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39" w:type="pct"/>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vAlign w:val="center"/>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254" w:type="pct"/>
            <w:vMerge w:val="continue"/>
          </w:tcPr>
          <w:p>
            <w:pPr>
              <w:pageBreakBefore w:val="0"/>
              <w:kinsoku/>
              <w:wordWrap w:val="0"/>
              <w:overflowPunct/>
              <w:bidi w:val="0"/>
              <w:spacing w:line="380" w:lineRule="atLeast"/>
              <w:jc w:val="center"/>
              <w:rPr>
                <w:rFonts w:hint="default" w:ascii="Times New Roman" w:hAnsi="Times New Roman" w:eastAsia="隶书" w:cs="Times New Roman"/>
                <w:color w:val="auto"/>
                <w:szCs w:val="21"/>
                <w:highlight w:val="none"/>
              </w:rPr>
            </w:pPr>
          </w:p>
        </w:tc>
        <w:tc>
          <w:tcPr>
            <w:tcW w:w="516" w:type="pct"/>
            <w:vMerge w:val="continue"/>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p>
        </w:tc>
        <w:tc>
          <w:tcPr>
            <w:tcW w:w="556" w:type="pct"/>
            <w:vMerge w:val="continue"/>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u w:val="single"/>
              </w:rPr>
            </w:pPr>
          </w:p>
        </w:tc>
        <w:tc>
          <w:tcPr>
            <w:tcW w:w="1778"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39" w:type="pct"/>
            <w:vAlign w:val="center"/>
          </w:tcPr>
          <w:p>
            <w:pPr>
              <w:pageBreakBefore w:val="0"/>
              <w:kinsoku/>
              <w:wordWrap w:val="0"/>
              <w:overflowPunct/>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663" w:type="pct"/>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7"/>
            <w:vAlign w:val="center"/>
          </w:tcPr>
          <w:p>
            <w:pPr>
              <w:pageBreakBefore w:val="0"/>
              <w:kinsoku/>
              <w:wordWrap w:val="0"/>
              <w:overflowPunct/>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需要补充的其他内容：</w:t>
            </w:r>
          </w:p>
          <w:p>
            <w:pPr>
              <w:pageBreakBefore w:val="0"/>
              <w:kinsoku/>
              <w:wordWrap w:val="0"/>
              <w:overflowPunct/>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pPr>
        <w:pStyle w:val="2"/>
        <w:pageBreakBefore w:val="0"/>
        <w:kinsoku/>
        <w:wordWrap w:val="0"/>
        <w:overflowPunct/>
        <w:bidi w:val="0"/>
        <w:spacing w:before="240" w:after="240" w:line="240" w:lineRule="atLeast"/>
        <w:outlineLvl w:val="1"/>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7"/>
          <w:szCs w:val="27"/>
          <w:highlight w:val="none"/>
        </w:rPr>
        <w:br w:type="page"/>
      </w:r>
      <w:bookmarkStart w:id="412" w:name="_Toc29053"/>
      <w:bookmarkStart w:id="413" w:name="_Toc501257158"/>
      <w:bookmarkStart w:id="414" w:name="_Toc23747604"/>
      <w:bookmarkStart w:id="415" w:name="_Toc32012"/>
      <w:bookmarkStart w:id="416" w:name="_Toc23819"/>
      <w:bookmarkStart w:id="417" w:name="_Toc234832944"/>
      <w:r>
        <w:rPr>
          <w:rFonts w:hint="default" w:ascii="Times New Roman" w:hAnsi="Times New Roman" w:eastAsia="黑体" w:cs="Times New Roman"/>
          <w:b w:val="0"/>
          <w:color w:val="auto"/>
          <w:sz w:val="28"/>
          <w:szCs w:val="28"/>
          <w:highlight w:val="none"/>
        </w:rPr>
        <w:t>1. 评标方法</w:t>
      </w:r>
      <w:bookmarkEnd w:id="412"/>
      <w:bookmarkEnd w:id="413"/>
      <w:bookmarkEnd w:id="414"/>
      <w:bookmarkEnd w:id="415"/>
      <w:bookmarkEnd w:id="416"/>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本次评标采用</w:t>
      </w:r>
      <w:r>
        <w:rPr>
          <w:rFonts w:hint="default" w:ascii="Times New Roman" w:hAnsi="Times New Roman" w:cs="Times New Roman"/>
          <w:color w:val="auto"/>
          <w:sz w:val="24"/>
          <w:highlight w:val="none"/>
          <w:lang w:eastAsia="zh-CN"/>
        </w:rPr>
        <w:t>综合评分法</w:t>
      </w:r>
      <w:r>
        <w:rPr>
          <w:rFonts w:hint="default" w:ascii="Times New Roman" w:hAnsi="Times New Roman" w:eastAsia="宋体" w:cs="Times New Roman"/>
          <w:color w:val="auto"/>
          <w:sz w:val="24"/>
          <w:highlight w:val="none"/>
        </w:rPr>
        <w:t>。评标委员会对满足招标文件实质性要求的投标文件，按照本章第2.2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pPr>
        <w:pStyle w:val="2"/>
        <w:pageBreakBefore w:val="0"/>
        <w:kinsoku/>
        <w:wordWrap w:val="0"/>
        <w:overflowPunct/>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418" w:name="_Toc501257159"/>
      <w:bookmarkStart w:id="419" w:name="_Toc16247"/>
      <w:bookmarkStart w:id="420" w:name="_Toc23747605"/>
      <w:bookmarkStart w:id="421" w:name="_Toc28947"/>
      <w:bookmarkStart w:id="422" w:name="_Toc812"/>
      <w:r>
        <w:rPr>
          <w:rFonts w:hint="default" w:ascii="Times New Roman" w:hAnsi="Times New Roman" w:eastAsia="黑体" w:cs="Times New Roman"/>
          <w:b w:val="0"/>
          <w:color w:val="auto"/>
          <w:sz w:val="28"/>
          <w:szCs w:val="28"/>
          <w:highlight w:val="none"/>
        </w:rPr>
        <w:t>2. 评审标准</w:t>
      </w:r>
      <w:bookmarkEnd w:id="418"/>
      <w:bookmarkEnd w:id="419"/>
      <w:bookmarkEnd w:id="420"/>
      <w:bookmarkEnd w:id="421"/>
      <w:bookmarkEnd w:id="422"/>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423" w:name="_Toc23747606"/>
      <w:bookmarkStart w:id="424" w:name="_Toc501257160"/>
      <w:r>
        <w:rPr>
          <w:rFonts w:hint="default" w:ascii="Times New Roman" w:hAnsi="Times New Roman" w:eastAsia="黑体" w:cs="Times New Roman"/>
          <w:b w:val="0"/>
          <w:color w:val="auto"/>
          <w:sz w:val="24"/>
          <w:szCs w:val="24"/>
          <w:highlight w:val="none"/>
        </w:rPr>
        <w:t>2.1 初步评审标准</w:t>
      </w:r>
      <w:bookmarkEnd w:id="423"/>
      <w:bookmarkEnd w:id="424"/>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 形式评审标准：见评标办法前附表。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 资格评审标准：见评标办法前附表。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 响应性评审标准：见评标办法前附表。</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425" w:name="_Toc23747607"/>
      <w:bookmarkStart w:id="426" w:name="_Toc501257161"/>
      <w:r>
        <w:rPr>
          <w:rFonts w:hint="default" w:ascii="Times New Roman" w:hAnsi="Times New Roman" w:eastAsia="黑体" w:cs="Times New Roman"/>
          <w:b w:val="0"/>
          <w:color w:val="auto"/>
          <w:sz w:val="24"/>
          <w:szCs w:val="24"/>
          <w:highlight w:val="none"/>
        </w:rPr>
        <w:t>2.2 分值构成与评分标准</w:t>
      </w:r>
      <w:bookmarkEnd w:id="425"/>
      <w:bookmarkEnd w:id="426"/>
    </w:p>
    <w:p>
      <w:pPr>
        <w:pageBreakBefore w:val="0"/>
        <w:tabs>
          <w:tab w:val="left" w:pos="360"/>
        </w:tabs>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2.2.1 </w:t>
      </w:r>
      <w:r>
        <w:rPr>
          <w:rFonts w:hint="default" w:ascii="Times New Roman" w:hAnsi="Times New Roman" w:eastAsia="黑体" w:cs="Times New Roman"/>
          <w:color w:val="auto"/>
          <w:sz w:val="24"/>
          <w:highlight w:val="none"/>
        </w:rPr>
        <w:t>分值构成</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（1）承包人建议书：见评标办法前附表；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（2）承包人实施计划：见评标办法前附表；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（3）主要人员：见评标办法前附表；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（4）评标价：见评标办法前附表；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（5）其他评分因素：见评标办法前附表。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2.2.2 </w:t>
      </w:r>
      <w:r>
        <w:rPr>
          <w:rFonts w:hint="default" w:ascii="Times New Roman" w:hAnsi="Times New Roman" w:eastAsia="黑体" w:cs="Times New Roman"/>
          <w:color w:val="auto"/>
          <w:sz w:val="24"/>
          <w:highlight w:val="none"/>
        </w:rPr>
        <w:t>评标基准价计算</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评标基准价计算方法：见评标办法前附表。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2.2.3 </w:t>
      </w:r>
      <w:r>
        <w:rPr>
          <w:rFonts w:hint="default" w:ascii="Times New Roman" w:hAnsi="Times New Roman" w:eastAsia="黑体" w:cs="Times New Roman"/>
          <w:color w:val="auto"/>
          <w:sz w:val="24"/>
          <w:highlight w:val="none"/>
        </w:rPr>
        <w:t>评标价的偏差率计算</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评标价的偏差率计算公式：见评标办法前附表。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2.2.4 </w:t>
      </w:r>
      <w:r>
        <w:rPr>
          <w:rFonts w:hint="default" w:ascii="Times New Roman" w:hAnsi="Times New Roman" w:eastAsia="黑体" w:cs="Times New Roman"/>
          <w:color w:val="auto"/>
          <w:sz w:val="24"/>
          <w:highlight w:val="none"/>
        </w:rPr>
        <w:t>评分标准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（1）承包人建议书评分标准：见评标办法前附表；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（2）承包人实施计划评分标准：见评标办法前附表；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（3）主要人员评分标准：见评标办法前附表；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（4）评标价评分标准：见评标办法前附表；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（5）其他因素评分标准：见评标办法前附表。</w:t>
      </w:r>
    </w:p>
    <w:p>
      <w:pPr>
        <w:pStyle w:val="2"/>
        <w:pageBreakBefore w:val="0"/>
        <w:kinsoku/>
        <w:wordWrap w:val="0"/>
        <w:overflowPunct/>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427" w:name="_Toc501257162"/>
      <w:bookmarkStart w:id="428" w:name="_Toc23598"/>
      <w:bookmarkStart w:id="429" w:name="_Toc11305"/>
      <w:bookmarkStart w:id="430" w:name="_Toc4937"/>
      <w:bookmarkStart w:id="431" w:name="_Toc23747608"/>
      <w:r>
        <w:rPr>
          <w:rFonts w:hint="default" w:ascii="Times New Roman" w:hAnsi="Times New Roman" w:eastAsia="黑体" w:cs="Times New Roman"/>
          <w:b w:val="0"/>
          <w:color w:val="auto"/>
          <w:sz w:val="28"/>
          <w:szCs w:val="28"/>
          <w:highlight w:val="none"/>
        </w:rPr>
        <w:t>3. 评标程序</w:t>
      </w:r>
      <w:bookmarkEnd w:id="427"/>
      <w:bookmarkEnd w:id="428"/>
      <w:bookmarkEnd w:id="429"/>
      <w:bookmarkEnd w:id="430"/>
      <w:bookmarkEnd w:id="431"/>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432" w:name="_Toc501257163"/>
      <w:bookmarkStart w:id="433" w:name="_Toc23747609"/>
      <w:r>
        <w:rPr>
          <w:rFonts w:hint="default" w:ascii="Times New Roman" w:hAnsi="Times New Roman" w:eastAsia="黑体" w:cs="Times New Roman"/>
          <w:b w:val="0"/>
          <w:color w:val="auto"/>
          <w:sz w:val="24"/>
          <w:szCs w:val="24"/>
          <w:highlight w:val="none"/>
        </w:rPr>
        <w:t>3.1 第一个信封初步评审</w:t>
      </w:r>
      <w:bookmarkEnd w:id="432"/>
      <w:bookmarkEnd w:id="433"/>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评标委员会依据本章第2.1款规定的评审标准对投标文件第一个信封（商务及技术文件）进行初步评审。有一项不符合评审标准的，评标委员会应否决其投标。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投标文件的标的、质量标准、工期等实质性要求和条件不得出现（存在）不利于招标人的偏差，否则，评标委员会应否决其投标。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434" w:name="_Toc501257164"/>
      <w:bookmarkStart w:id="435" w:name="_Toc23747610"/>
      <w:r>
        <w:rPr>
          <w:rFonts w:hint="default" w:ascii="Times New Roman" w:hAnsi="Times New Roman" w:eastAsia="黑体" w:cs="Times New Roman"/>
          <w:b w:val="0"/>
          <w:color w:val="auto"/>
          <w:sz w:val="24"/>
          <w:szCs w:val="24"/>
          <w:highlight w:val="none"/>
        </w:rPr>
        <w:t>3.2 第一个信封详细评审</w:t>
      </w:r>
      <w:bookmarkEnd w:id="434"/>
      <w:bookmarkEnd w:id="435"/>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3.2.1 评标委员会按本章第2.2款规定的量化因素和分值进行打分，并计算出各投标人的商务和技术得分。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（1）按本章第2.2.4项（1）目规定的评审因素和分值对承包人建议书和承包人实施计划部分计算出得分A；</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（2）按本章第2.2.4项（2）目规定的评审因素和分值对主要人员部分计算出得分B；</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（3）按本章第2.2.4项（4）目规定的评审因素和分值对其他部分计算出得分D。</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3.2.2 投标人的商务和技术得分分值计算保留小数点后两位，小数点后第三位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四舍五入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3.2.3 投标人的商务和技术得分=A+B+D。 </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436" w:name="_Toc23747611"/>
      <w:bookmarkStart w:id="437" w:name="_Toc501257165"/>
      <w:r>
        <w:rPr>
          <w:rFonts w:hint="default" w:ascii="Times New Roman" w:hAnsi="Times New Roman" w:eastAsia="黑体" w:cs="Times New Roman"/>
          <w:b w:val="0"/>
          <w:color w:val="auto"/>
          <w:sz w:val="24"/>
          <w:szCs w:val="24"/>
          <w:highlight w:val="none"/>
        </w:rPr>
        <w:t>3.3 第二个信封开标</w:t>
      </w:r>
      <w:bookmarkEnd w:id="436"/>
      <w:bookmarkEnd w:id="437"/>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第一个信封（商务及技术文件）评审结束后，招标人将按照第二章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第5.1款规定的时间和地点对通过投标文件第一个信封（商务及技术文件）评审的投标文件第二个信封（报价文件）进行开标。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438" w:name="_Toc501257166"/>
      <w:bookmarkStart w:id="439" w:name="_Toc23747612"/>
      <w:r>
        <w:rPr>
          <w:rFonts w:hint="default" w:ascii="Times New Roman" w:hAnsi="Times New Roman" w:eastAsia="黑体" w:cs="Times New Roman"/>
          <w:b w:val="0"/>
          <w:color w:val="auto"/>
          <w:sz w:val="24"/>
          <w:szCs w:val="24"/>
          <w:highlight w:val="none"/>
        </w:rPr>
        <w:t>3.4第二个信封初步评审</w:t>
      </w:r>
      <w:bookmarkEnd w:id="438"/>
      <w:bookmarkEnd w:id="439"/>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 评标委员会依据本章第2.1.1项、第2.1.3项规定的评审标准对投标文件第二个信封（报价文件）进行初步评审。有一项不符合评审标准的，评标委员会应否决其投标。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 投标报价有算术错误的，评标委员会按以下原则对投标报价进行修正，修正的价格经投标人书面确认后具有约束力。投标人不接受修正价格的，评标委员会应否决其投标。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（1）投标文件中的大写金额与小写金额不一致的，以大写金额为准；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（2）总价金额与依据单价计算出的结果不一致的，以单价金额为准修正总价，但单价金额小数点有明显错误的除外;</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（3）当单价与数量相乘不等于合价时，以单价计算为准，如果单价有明显的小数点位置差错，应以标出的合价为准，同时对单价予以修正；</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（4）当各子目的合价累计不等于总价时，应以各子目合价累计数为准，修正总价。</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3.4.3 修正后的最终投标报价若超过最高投标限价（如有），评标委员会应否决其投标。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3.4.4 修正后的最终投标报价仅作为签订合同的一个依据，不参与评标价得分的计算。</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440" w:name="_Toc501257167"/>
      <w:bookmarkStart w:id="441" w:name="_Toc23747613"/>
      <w:r>
        <w:rPr>
          <w:rFonts w:hint="default" w:ascii="Times New Roman" w:hAnsi="Times New Roman" w:eastAsia="黑体" w:cs="Times New Roman"/>
          <w:b w:val="0"/>
          <w:color w:val="auto"/>
          <w:sz w:val="24"/>
          <w:szCs w:val="24"/>
          <w:highlight w:val="none"/>
        </w:rPr>
        <w:t>3.5 第二个信封详细评审</w:t>
      </w:r>
      <w:bookmarkEnd w:id="440"/>
      <w:bookmarkEnd w:id="441"/>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 评标委员会按本章第2.2.4（3）目规定的评审因素和分值对评标价计算出得分C。评标价得分分值计算保留小数点后两位，小数点后第三位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四舍五入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3.5.2 投标人综合得分=投标人的商务和技术得分+C。</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3.5.3 评标委员会发现投标人的报价明显低于其他投标报价，是有可能影响履约的异常低价，应按本章3.7款的规定向投标人发出澄清，要求该投标人作出书面说明该报价的合理性并提供相应证明材料。当投标人不能合理说明并证明其报价的合理性的，评标委员会应以少数服从多数的原则否决其投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442" w:name="_Toc501257168"/>
      <w:bookmarkStart w:id="443" w:name="_Toc23747614"/>
      <w:r>
        <w:rPr>
          <w:rFonts w:hint="default" w:ascii="Times New Roman" w:hAnsi="Times New Roman" w:eastAsia="黑体" w:cs="Times New Roman"/>
          <w:b w:val="0"/>
          <w:color w:val="auto"/>
          <w:sz w:val="24"/>
          <w:szCs w:val="24"/>
          <w:highlight w:val="none"/>
        </w:rPr>
        <w:t>3.6 投标文件相关信息的核查</w:t>
      </w:r>
      <w:bookmarkEnd w:id="442"/>
      <w:bookmarkEnd w:id="443"/>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 在评标过程中，评标委员会应查询交通运输主管部门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，对投标人的资质、业绩、主要人员资历和目前在岗情况、信用等级等信息进行核实。若投标文件载明的信息与交通运输主管部门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发布的信息不符，使得投标人的资格条件不符合招标文件规定的，评标委员会应否决其投标。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 评标委员会应对在评标过程中发现的投标人与投标人之间、投标人与招标人之间存在的串通投标的情形进行评审和认定。投标人存在串通投标、弄虚作假、行贿等违法行为的，评标委员会应否决其投标。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（1）有下列情形之一的，属于投标人相互串通投标：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a.投标人之间协商投标报价等投标文件的实质性内容；</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b.投标人之间约定中标人；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c.投标人之间约定部分投标人放弃投标或中标；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d.属于同一集团、协会、商会等组织成员的投标人按照该组织要求协同投标；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e.投标人之间为谋取中标或排斥特定投标人而采取的其他联合行动。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（2）有下列情形之一的，视为投标人相互串通投标：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a.不同投标人的投标文件由同一单位或个人编制；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b.不同投标人委托同一单位或个人办理投标事宜；</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c.不同投标人的投标文件载明的项目管理成员为同一人；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d.不同投标人的投标文件异常一致或投标报价呈规律性差异；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e.不同投标人的投标文件相互混装；</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f.不同投标人的投标保证金从同一单位或个人的账户转出。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（3）有下列情形之一的，属于招标人与投标人串通投标：</w:t>
      </w:r>
    </w:p>
    <w:p>
      <w:pPr>
        <w:pageBreakBefore w:val="0"/>
        <w:kinsoku/>
        <w:wordWrap w:val="0"/>
        <w:overflowPunct/>
        <w:autoSpaceDE/>
        <w:autoSpaceDN/>
        <w:bidi w:val="0"/>
        <w:spacing w:line="400" w:lineRule="atLeast"/>
        <w:ind w:firstLine="480" w:firstLineChars="200"/>
        <w:textAlignment w:val="auto"/>
        <w:outlineLvl w:val="9"/>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a.招标人在开标前开启投标文件并将有关信息泄露给其他投标人</w:t>
      </w:r>
      <w:r>
        <w:rPr>
          <w:rFonts w:hint="eastAsia" w:cs="Times New Roman"/>
          <w:color w:val="auto"/>
          <w:sz w:val="24"/>
          <w:highlight w:val="none"/>
          <w:lang w:eastAsia="zh-CN"/>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b.招标人直接或间接向投标人泄露标底、评标委员会成员等信息；</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c.招标人明示或暗示投标人压低或抬高投标报价；</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d.招标人授意投标人撤换、修改投标文件；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e.招标人明示或暗示投标人为特定投标人中标提供方便；</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f.招标人与投标人为谋求特定投标人中标而采取的其他串通行为。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（4）投标人有下列情形之一的，属于弄虚作假的行为：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a.使用通过受让或租借等方式获取的资格、资质证书投标；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b.使用伪造、变造的许可证件；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c.提供虚假的财务状况或业绩；</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d.提供虚假的项目负责人或主要技术人员简历、劳动关系证明；</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e.提供虚假的信用状况；</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f.其他弄虚作假的行为。</w:t>
      </w:r>
    </w:p>
    <w:p>
      <w:pPr>
        <w:keepNext/>
        <w:keepLines/>
        <w:pageBreakBefore w:val="0"/>
        <w:widowControl w:val="0"/>
        <w:kinsoku/>
        <w:wordWrap w:val="0"/>
        <w:overflowPunct/>
        <w:topLinePunct w:val="0"/>
        <w:autoSpaceDE/>
        <w:autoSpaceDN/>
        <w:bidi w:val="0"/>
        <w:adjustRightInd/>
        <w:snapToGrid/>
        <w:spacing w:before="240" w:after="240" w:line="400" w:lineRule="atLeast"/>
        <w:textAlignment w:val="auto"/>
        <w:outlineLvl w:val="9"/>
        <w:rPr>
          <w:rFonts w:hint="default" w:ascii="Times New Roman" w:hAnsi="Times New Roman" w:eastAsia="黑体" w:cs="Times New Roman"/>
          <w:b w:val="0"/>
          <w:color w:val="auto"/>
          <w:sz w:val="24"/>
          <w:szCs w:val="24"/>
          <w:highlight w:val="none"/>
        </w:rPr>
      </w:pPr>
      <w:bookmarkStart w:id="444" w:name="_Toc23747615"/>
      <w:bookmarkStart w:id="445" w:name="_Toc501257169"/>
      <w:r>
        <w:rPr>
          <w:rFonts w:hint="default" w:ascii="Times New Roman" w:hAnsi="Times New Roman" w:eastAsia="黑体" w:cs="Times New Roman"/>
          <w:b w:val="0"/>
          <w:color w:val="auto"/>
          <w:sz w:val="24"/>
          <w:szCs w:val="24"/>
          <w:highlight w:val="none"/>
        </w:rPr>
        <w:t>3.7 投标文件的澄清和说明</w:t>
      </w:r>
      <w:bookmarkEnd w:id="444"/>
      <w:bookmarkEnd w:id="445"/>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3.7.2 澄清和说明不得超出投标文件的范围或改变投标文件的实质性内容（算术性错误的修正除外）。投标人的书面澄清、说明属于投标文件的组成部分。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3.7.3 评标委员会不得暗示或诱导投标人作出澄清、说明，对投标人提交的澄清、说明有疑问的，可以要求投标人进一步澄清或说明，直至满足评标委员会的要求。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3.7.4 凡超出招标文件规定的或给发包人带来未曾要求的利益的变化、偏差或其他因素在评标时不予考虑。</w:t>
      </w:r>
    </w:p>
    <w:p>
      <w:pPr>
        <w:keepNext/>
        <w:keepLines/>
        <w:pageBreakBefore w:val="0"/>
        <w:widowControl w:val="0"/>
        <w:kinsoku/>
        <w:wordWrap w:val="0"/>
        <w:overflowPunct/>
        <w:topLinePunct w:val="0"/>
        <w:autoSpaceDE/>
        <w:autoSpaceDN/>
        <w:bidi w:val="0"/>
        <w:adjustRightInd/>
        <w:snapToGrid/>
        <w:spacing w:before="240" w:after="240" w:line="400" w:lineRule="atLeast"/>
        <w:textAlignment w:val="auto"/>
        <w:outlineLvl w:val="9"/>
        <w:rPr>
          <w:rFonts w:hint="default" w:ascii="Times New Roman" w:hAnsi="Times New Roman" w:eastAsia="黑体" w:cs="Times New Roman"/>
          <w:b w:val="0"/>
          <w:color w:val="auto"/>
          <w:sz w:val="24"/>
          <w:szCs w:val="24"/>
          <w:highlight w:val="none"/>
        </w:rPr>
      </w:pPr>
      <w:bookmarkStart w:id="446" w:name="_Toc23747616"/>
      <w:bookmarkStart w:id="447" w:name="_Toc501257170"/>
      <w:r>
        <w:rPr>
          <w:rFonts w:hint="default" w:ascii="Times New Roman" w:hAnsi="Times New Roman" w:eastAsia="黑体" w:cs="Times New Roman"/>
          <w:b w:val="0"/>
          <w:color w:val="auto"/>
          <w:sz w:val="24"/>
          <w:szCs w:val="24"/>
          <w:highlight w:val="none"/>
        </w:rPr>
        <w:t>3.8 不得否决投标的情形</w:t>
      </w:r>
      <w:bookmarkEnd w:id="446"/>
      <w:bookmarkEnd w:id="447"/>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投标文件存在第二章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第1.12.3项所列情形的，均视为细微偏差，评标委员会不得否决投标人的投标，应按照第二章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第1.12.4项规定的原则处理。</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448" w:name="_Toc501257171"/>
      <w:bookmarkStart w:id="449" w:name="_Toc23747617"/>
      <w:r>
        <w:rPr>
          <w:rFonts w:hint="default" w:ascii="Times New Roman" w:hAnsi="Times New Roman" w:eastAsia="黑体" w:cs="Times New Roman"/>
          <w:b w:val="0"/>
          <w:color w:val="auto"/>
          <w:sz w:val="24"/>
          <w:szCs w:val="24"/>
          <w:highlight w:val="none"/>
        </w:rPr>
        <w:t>3.9 评标结果</w:t>
      </w:r>
      <w:bookmarkEnd w:id="448"/>
      <w:bookmarkEnd w:id="449"/>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3.9.1 除第二章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前附表授权直接确定中标人外，评标委员会按照得分由高到低的顺序推荐中标候选人，并标明排序。</w:t>
      </w:r>
    </w:p>
    <w:p>
      <w:pPr>
        <w:pageBreakBefore w:val="0"/>
        <w:kinsoku/>
        <w:wordWrap w:val="0"/>
        <w:overflowPunct/>
        <w:bidi w:val="0"/>
        <w:spacing w:line="400" w:lineRule="atLeast"/>
        <w:ind w:firstLine="480" w:firstLineChars="200"/>
        <w:rPr>
          <w:rFonts w:hint="default" w:ascii="Times New Roman" w:hAnsi="Times New Roman" w:eastAsia="宋体" w:cs="Times New Roman"/>
          <w:color w:val="auto"/>
          <w:sz w:val="24"/>
          <w:highlight w:val="none"/>
        </w:rPr>
        <w:sectPr>
          <w:footnotePr>
            <w:numFmt w:val="decimalEnclosedCircleChinese"/>
            <w:numRestart w:val="eachPage"/>
          </w:footnotePr>
          <w:type w:val="continuous"/>
          <w:pgSz w:w="11910" w:h="16850"/>
          <w:pgMar w:top="1480" w:right="1200" w:bottom="1040" w:left="1220" w:header="876" w:footer="853" w:gutter="0"/>
          <w:pgNumType w:fmt="decimal"/>
          <w:cols w:space="720" w:num="1"/>
        </w:sectPr>
      </w:pPr>
      <w:bookmarkStart w:id="450" w:name="_Toc3215"/>
      <w:r>
        <w:rPr>
          <w:rFonts w:hint="default" w:ascii="Times New Roman" w:hAnsi="Times New Roman" w:eastAsia="宋体" w:cs="Times New Roman"/>
          <w:color w:val="auto"/>
          <w:sz w:val="24"/>
          <w:highlight w:val="none"/>
        </w:rPr>
        <w:t>3.9.2 评标委员会完成评标后，应向招标人提交评标报告。</w:t>
      </w:r>
      <w:bookmarkEnd w:id="417"/>
      <w:bookmarkEnd w:id="450"/>
      <w:bookmarkStart w:id="451" w:name="_Toc300835019"/>
    </w:p>
    <w:p>
      <w:pPr>
        <w:pStyle w:val="2"/>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rPr>
          <w:rFonts w:hint="default" w:ascii="Times New Roman" w:hAnsi="Times New Roman" w:eastAsia="黑体" w:cs="Times New Roman"/>
          <w:b w:val="0"/>
          <w:color w:val="auto"/>
          <w:highlight w:val="none"/>
        </w:rPr>
      </w:pPr>
      <w:bookmarkStart w:id="452" w:name="_Toc17131"/>
      <w:bookmarkStart w:id="453" w:name="_Toc15253"/>
      <w:bookmarkStart w:id="454" w:name="_Toc20223"/>
      <w:r>
        <w:rPr>
          <w:rFonts w:hint="default" w:ascii="Times New Roman" w:hAnsi="Times New Roman" w:eastAsia="黑体" w:cs="Times New Roman"/>
          <w:b w:val="0"/>
          <w:color w:val="auto"/>
          <w:highlight w:val="none"/>
        </w:rPr>
        <w:t>第三章  评标办法（</w:t>
      </w:r>
      <w:r>
        <w:rPr>
          <w:rFonts w:hint="default" w:ascii="Times New Roman" w:hAnsi="Times New Roman" w:eastAsia="黑体" w:cs="Times New Roman"/>
          <w:b w:val="0"/>
          <w:color w:val="auto"/>
          <w:highlight w:val="none"/>
          <w:lang w:eastAsia="zh-CN"/>
        </w:rPr>
        <w:t>经评审的最低投标价法</w:t>
      </w:r>
      <w:r>
        <w:rPr>
          <w:rFonts w:hint="default" w:ascii="Times New Roman" w:hAnsi="Times New Roman" w:eastAsia="黑体" w:cs="Times New Roman"/>
          <w:b w:val="0"/>
          <w:color w:val="auto"/>
          <w:highlight w:val="none"/>
        </w:rPr>
        <w:t>）</w:t>
      </w:r>
      <w:bookmarkEnd w:id="452"/>
      <w:bookmarkEnd w:id="453"/>
      <w:bookmarkEnd w:id="454"/>
    </w:p>
    <w:p>
      <w:pPr>
        <w:keepNext/>
        <w:keepLines/>
        <w:pageBreakBefore w:val="0"/>
        <w:widowControl w:val="0"/>
        <w:kinsoku/>
        <w:wordWrap w:val="0"/>
        <w:overflowPunct/>
        <w:topLinePunct w:val="0"/>
        <w:autoSpaceDE/>
        <w:autoSpaceDN/>
        <w:bidi w:val="0"/>
        <w:adjustRightInd/>
        <w:snapToGrid/>
        <w:spacing w:before="480" w:after="240" w:line="38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评标办法前附表</w:t>
      </w:r>
      <w:r>
        <w:rPr>
          <w:rStyle w:val="45"/>
          <w:rFonts w:hint="default" w:ascii="Times New Roman" w:hAnsi="Times New Roman" w:eastAsia="黑体" w:cs="Times New Roman"/>
          <w:color w:val="auto"/>
          <w:kern w:val="2"/>
          <w:sz w:val="28"/>
          <w:szCs w:val="28"/>
          <w:highlight w:val="none"/>
          <w:lang w:val="en-US"/>
        </w:rPr>
        <w:footnoteReference w:id="43"/>
      </w:r>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072"/>
        <w:gridCol w:w="1405"/>
        <w:gridCol w:w="1699"/>
        <w:gridCol w:w="55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1276" w:type="pct"/>
            <w:gridSpan w:val="2"/>
            <w:tcBorders>
              <w:top w:val="single" w:color="auto" w:sz="4" w:space="0"/>
              <w:bottom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3723" w:type="pct"/>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b/>
                <w:color w:val="auto"/>
                <w:spacing w:val="4"/>
                <w:szCs w:val="21"/>
                <w:highlight w:val="none"/>
              </w:rPr>
            </w:pPr>
            <w:r>
              <w:rPr>
                <w:rFonts w:hint="default" w:ascii="Times New Roman" w:hAnsi="Times New Roman" w:cs="Times New Roman"/>
                <w:b/>
                <w:color w:val="auto"/>
                <w:spacing w:val="4"/>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52" w:type="pct"/>
            <w:tcBorders>
              <w:top w:val="single" w:color="auto" w:sz="4" w:space="0"/>
              <w:bottom w:val="single" w:color="auto" w:sz="4" w:space="0"/>
              <w:right w:val="single" w:color="auto" w:sz="4" w:space="0"/>
            </w:tcBorders>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723" w:type="pct"/>
            <w:tcBorders>
              <w:top w:val="single" w:color="auto" w:sz="4" w:space="0"/>
              <w:bottom w:val="single" w:color="auto" w:sz="4" w:space="0"/>
              <w:right w:val="single" w:color="auto" w:sz="4" w:space="0"/>
            </w:tcBorders>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评标方法</w:t>
            </w:r>
          </w:p>
        </w:tc>
        <w:tc>
          <w:tcPr>
            <w:tcW w:w="3723" w:type="pct"/>
            <w:gridSpan w:val="2"/>
            <w:tcBorders>
              <w:top w:val="single" w:color="auto" w:sz="4" w:space="0"/>
              <w:left w:val="single" w:color="auto" w:sz="4" w:space="0"/>
              <w:right w:val="single" w:color="auto" w:sz="4" w:space="0"/>
            </w:tcBorders>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经评审的投标价相等时，评标委员会依次按照以下优先顺序推荐中标候选人或确定中标人：</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）被辽宁省交通运输厅评为较高信用等级的投标人优先；</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52" w:type="pct"/>
            <w:tcBorders>
              <w:top w:val="single" w:color="auto" w:sz="4" w:space="0"/>
              <w:bottom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2.1.1</w:t>
            </w:r>
          </w:p>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2.1.3</w:t>
            </w:r>
          </w:p>
        </w:tc>
        <w:tc>
          <w:tcPr>
            <w:tcW w:w="723" w:type="pct"/>
            <w:tcBorders>
              <w:top w:val="single" w:color="auto" w:sz="4" w:space="0"/>
              <w:bottom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形式评审与响应性评审标准</w:t>
            </w:r>
          </w:p>
        </w:tc>
        <w:tc>
          <w:tcPr>
            <w:tcW w:w="3723" w:type="pct"/>
            <w:gridSpan w:val="2"/>
            <w:tcBorders>
              <w:top w:val="single" w:color="auto" w:sz="4" w:space="0"/>
              <w:left w:val="single" w:color="auto" w:sz="4" w:space="0"/>
              <w:right w:val="single" w:color="auto" w:sz="4" w:space="0"/>
            </w:tcBorders>
            <w:vAlign w:val="center"/>
          </w:tcPr>
          <w:p>
            <w:pPr>
              <w:pageBreakBefore w:val="0"/>
              <w:kinsoku/>
              <w:wordWrap w:val="0"/>
              <w:overflowPunct/>
              <w:bidi w:val="0"/>
              <w:spacing w:line="356"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第一个信封（商务及技术文件）评审标准：</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a.投标函按招标文件规定填报了项目名称、标段号、补遗书编号（如有）、工期、工程质量要求及安全目标；</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b.投标函附录的所有数据均符合招标文件规定；</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）投标人按照招标文件的规定提供了投标保证金：</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a.投标保证金金额符合招标文件规定的金额，且投标保证金有效期不少于投标有效期；</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b.若投标保证金采用现金或支票形式提交，投标人应在递交投标文件截止时间之前，将投标保证金由投标人的基本账户转入招标人指定账户；</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c.若投标保证金采用银行保函形式提交，银行保函的格式、开具保函的银行均满足招标文件要求；</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d.若投标保证金采用电子保函形式提交，投标人应在投标文件中提供电子保函的原件扫描件、电子化保函验真渠道和从投标人基本账户支出的保函财务费用支付凭证。</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（4）投标人法定代表人授权委托代理人签署投标文件的，须提交授权委托书，且授权人和被授权人均在授权委托书上使用CA 数字证书加盖个人电子印章或电子签名。</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（5）投标人法定代表人亲自签署投标文件的，提供了法定代表人身份证明，且法定代表人在法定代表人身份证明上使用CA 数字证书加盖个人电子印章或电子签名。</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（6）投标人以联合体形式投标时，联合体满足招标文件的要求：投标人按照招标文件提供的格式签订了联合体协议书，明确各方承担连带责任，并明确了联合体牵头人。</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（7）投标人如有分包计划，符合招标文件第二章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第1.11款规定，且按招标文件第七章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投标文件格式</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的要求填写了</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拟分包项目情况表</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（8）同一投标人未提交两个以上不同的投标文件，但招标文件要求提交备选投标的除外。</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（9）投标文件中未出现有关投标报价的内容。</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（10）投标文件载明的招标项目完成期限未超过招标文件规定的时限。</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（11）投标文件对招标文件的实质性要求和条件作出响应。</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（12）权利义务符合招标文件规定：</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a.投标人应接受招标文件规定的风险划分原则，未提出新的风险划分办法；</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b.投标人未增加发包人的责任范围，或减少投标人义务；</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c.投标人未提出不同的工程验收、计量、支付办法；</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d.投标人对合同纠纷、事故处理办法未提出异议；</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e.投标人在投标活动中无欺诈行为；</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f.投标人未对合同条款有重要保留。</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）投标人上传投标文件的标段数量满足第一章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招标公告</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第3.3款规定，投标函上填写的标段号与上传的对应项目标段号一致。</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（14）未发现投标人与其他投标人存在使用同一不可篡改的唯一标识软硬件设备投标的（如：MAC地址、标书制作特征码、标书唯一特征码等）。</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p>
          <w:p>
            <w:pPr>
              <w:pageBreakBefore w:val="0"/>
              <w:kinsoku/>
              <w:wordWrap w:val="0"/>
              <w:overflowPunct/>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第二个信封（报价文件）评审标准：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a.投标函按招标文件规定填报了项目名称、标段号、补遗书编号（如有）、投标价（包括大写金额和小写金额）；</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b.价格清单说明文字与招标文件规定一致，未进行实质性修改和删减；</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（3）投标报价未超过招标文件设定的最高投标限价（如有）。</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（4）投标报价的大写金额能够确定具体数值。</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（5）同一投标人未提交两个以上不同的投标报价，但招标文件要求提交备选投标的除外。</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552" w:type="pct"/>
            <w:tcBorders>
              <w:top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w:t>
            </w:r>
          </w:p>
        </w:tc>
        <w:tc>
          <w:tcPr>
            <w:tcW w:w="723" w:type="pct"/>
            <w:tcBorders>
              <w:top w:val="single" w:color="auto" w:sz="4" w:space="0"/>
              <w:right w:val="single" w:color="auto" w:sz="4" w:space="0"/>
            </w:tcBorders>
            <w:vAlign w:val="center"/>
          </w:tcPr>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资格评审</w:t>
            </w:r>
          </w:p>
          <w:p>
            <w:pPr>
              <w:pageBreakBefore w:val="0"/>
              <w:kinsoku/>
              <w:wordWrap w:val="0"/>
              <w:overflowPunct/>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w:t>
            </w:r>
          </w:p>
        </w:tc>
        <w:tc>
          <w:tcPr>
            <w:tcW w:w="3723" w:type="pct"/>
            <w:gridSpan w:val="2"/>
            <w:tcBorders>
              <w:top w:val="single" w:color="auto" w:sz="4" w:space="0"/>
              <w:left w:val="single" w:color="auto" w:sz="4" w:space="0"/>
              <w:right w:val="single" w:color="auto" w:sz="4" w:space="0"/>
            </w:tcBorders>
            <w:vAlign w:val="center"/>
          </w:tcPr>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（1）投标人具备有效的营业执照、资质证书、安全生产许可证。 </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（2）投标人的资质等级符合招标文件规定。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（3）投标人的财务状况符合招标文件规定。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（4）投标人的类似项目业绩符合招标文件规定。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（5）投标人的信誉符合招标文件规定。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（6）投标人的项目负责人、设计负责人和施工负责人资格、项目负责人和施工负责人的在岗情况符合招标文件规定。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（7）投标人的其他要求符合招标文件规定。</w:t>
            </w:r>
            <w:r>
              <w:rPr>
                <w:rFonts w:hint="default" w:ascii="Times New Roman" w:hAnsi="Times New Roman" w:cs="Times New Roman"/>
                <w:color w:val="auto"/>
                <w:szCs w:val="21"/>
                <w:highlight w:val="none"/>
                <w:vertAlign w:val="superscript"/>
              </w:rPr>
              <w:footnoteReference w:id="44"/>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（8）投标人不存在第二章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第1.4.3项或第1.4.4项规定的任何一种情形。</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（9）投标人符合第二章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第1.4.5项规定。</w:t>
            </w:r>
            <w:r>
              <w:rPr>
                <w:rStyle w:val="45"/>
                <w:rFonts w:hint="default" w:ascii="Times New Roman" w:hAnsi="Times New Roman" w:cs="Times New Roman"/>
                <w:color w:val="auto"/>
                <w:highlight w:val="none"/>
              </w:rPr>
              <w:footnoteReference w:id="45"/>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（10）以联合体形式参与投标的，联合体各方均未再以自己名义单独或参加其他联合体在同一标段中投标；独立参与投标的，投标人未同时参加联合体在同一标段中投标。</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52" w:type="pct"/>
            <w:tcBorders>
              <w:top w:val="single" w:color="auto" w:sz="4" w:space="0"/>
              <w:right w:val="single" w:color="auto" w:sz="4" w:space="0"/>
            </w:tcBorders>
            <w:vAlign w:val="center"/>
          </w:tcPr>
          <w:p>
            <w:pPr>
              <w:spacing w:line="360" w:lineRule="atLeast"/>
              <w:jc w:val="center"/>
              <w:rPr>
                <w:rFonts w:hint="default" w:ascii="Times New Roman" w:hAnsi="Times New Roman" w:cs="Times New Roman"/>
                <w:color w:val="auto"/>
                <w:szCs w:val="21"/>
                <w:highlight w:val="none"/>
              </w:rPr>
            </w:pPr>
          </w:p>
          <w:p>
            <w:pPr>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2.1.4</w:t>
            </w:r>
          </w:p>
          <w:p>
            <w:pPr>
              <w:spacing w:line="360" w:lineRule="atLeast"/>
              <w:jc w:val="center"/>
              <w:rPr>
                <w:rFonts w:hint="default" w:ascii="Times New Roman" w:hAnsi="Times New Roman" w:cs="Times New Roman"/>
                <w:b/>
                <w:color w:val="auto"/>
                <w:szCs w:val="21"/>
                <w:highlight w:val="none"/>
              </w:rPr>
            </w:pPr>
          </w:p>
        </w:tc>
        <w:tc>
          <w:tcPr>
            <w:tcW w:w="723" w:type="pct"/>
            <w:tcBorders>
              <w:top w:val="single" w:color="auto" w:sz="4" w:space="0"/>
              <w:right w:val="single" w:color="auto" w:sz="4" w:space="0"/>
            </w:tcBorders>
            <w:vAlign w:val="center"/>
          </w:tcPr>
          <w:p>
            <w:pPr>
              <w:spacing w:line="36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承包人建议书、承包人实施计划和主要人员评审标准</w:t>
            </w:r>
          </w:p>
        </w:tc>
        <w:tc>
          <w:tcPr>
            <w:tcW w:w="3723" w:type="pct"/>
            <w:gridSpan w:val="2"/>
            <w:tcBorders>
              <w:top w:val="single" w:color="auto" w:sz="4" w:space="0"/>
              <w:left w:val="single" w:color="auto" w:sz="4" w:space="0"/>
              <w:right w:val="single" w:color="auto" w:sz="4" w:space="0"/>
            </w:tcBorders>
            <w:vAlign w:val="center"/>
          </w:tcPr>
          <w:p>
            <w:pPr>
              <w:spacing w:line="360" w:lineRule="atLeast"/>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76" w:type="pct"/>
            <w:gridSpan w:val="2"/>
            <w:tcBorders>
              <w:top w:val="single" w:color="auto" w:sz="4" w:space="0"/>
              <w:bottom w:val="single" w:color="auto" w:sz="4" w:space="0"/>
              <w:right w:val="single" w:color="auto" w:sz="4" w:space="0"/>
            </w:tcBorders>
            <w:vAlign w:val="center"/>
          </w:tcPr>
          <w:p>
            <w:pPr>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875" w:type="pct"/>
            <w:tcBorders>
              <w:top w:val="single" w:color="auto" w:sz="4" w:space="0"/>
              <w:left w:val="single" w:color="auto" w:sz="4" w:space="0"/>
              <w:bottom w:val="single" w:color="auto" w:sz="4" w:space="0"/>
              <w:right w:val="single" w:color="auto" w:sz="4" w:space="0"/>
            </w:tcBorders>
            <w:vAlign w:val="center"/>
          </w:tcPr>
          <w:p>
            <w:pPr>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量化因素</w:t>
            </w:r>
          </w:p>
        </w:tc>
        <w:tc>
          <w:tcPr>
            <w:tcW w:w="2848" w:type="pct"/>
            <w:tcBorders>
              <w:top w:val="single" w:color="auto" w:sz="4" w:space="0"/>
              <w:left w:val="single" w:color="auto" w:sz="4" w:space="0"/>
              <w:bottom w:val="single" w:color="auto" w:sz="4" w:space="0"/>
              <w:right w:val="single" w:color="auto" w:sz="4" w:space="0"/>
            </w:tcBorders>
            <w:vAlign w:val="center"/>
          </w:tcPr>
          <w:p>
            <w:pPr>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量化标准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52" w:type="pct"/>
            <w:tcBorders>
              <w:top w:val="single" w:color="auto" w:sz="4" w:space="0"/>
              <w:bottom w:val="single" w:color="auto" w:sz="4" w:space="0"/>
              <w:right w:val="single" w:color="auto" w:sz="4" w:space="0"/>
            </w:tcBorders>
            <w:vAlign w:val="center"/>
          </w:tcPr>
          <w:p>
            <w:pPr>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2.2</w:t>
            </w:r>
          </w:p>
        </w:tc>
        <w:tc>
          <w:tcPr>
            <w:tcW w:w="723" w:type="pct"/>
            <w:tcBorders>
              <w:top w:val="single" w:color="auto" w:sz="4" w:space="0"/>
              <w:bottom w:val="single" w:color="auto" w:sz="4" w:space="0"/>
              <w:right w:val="single" w:color="auto" w:sz="4" w:space="0"/>
            </w:tcBorders>
            <w:vAlign w:val="center"/>
          </w:tcPr>
          <w:p>
            <w:pPr>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详细评审标准</w:t>
            </w:r>
          </w:p>
        </w:tc>
        <w:tc>
          <w:tcPr>
            <w:tcW w:w="875" w:type="pct"/>
            <w:tcBorders>
              <w:top w:val="single" w:color="auto" w:sz="4" w:space="0"/>
              <w:left w:val="single" w:color="auto" w:sz="4" w:space="0"/>
              <w:bottom w:val="single" w:color="auto" w:sz="4" w:space="0"/>
              <w:right w:val="single" w:color="auto" w:sz="4" w:space="0"/>
            </w:tcBorders>
            <w:vAlign w:val="center"/>
          </w:tcPr>
          <w:p>
            <w:pPr>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评标价计算</w:t>
            </w:r>
          </w:p>
        </w:tc>
        <w:tc>
          <w:tcPr>
            <w:tcW w:w="2848" w:type="pct"/>
            <w:tcBorders>
              <w:top w:val="single" w:color="auto" w:sz="4" w:space="0"/>
              <w:left w:val="single" w:color="auto" w:sz="4" w:space="0"/>
              <w:bottom w:val="single" w:color="auto" w:sz="4" w:space="0"/>
              <w:right w:val="single" w:color="auto" w:sz="4" w:space="0"/>
            </w:tcBorders>
            <w:vAlign w:val="top"/>
          </w:tcPr>
          <w:p>
            <w:pPr>
              <w:spacing w:line="360" w:lineRule="atLeast"/>
              <w:ind w:left="-105" w:leftChars="-50" w:right="-105" w:rightChars="-50"/>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经评审的投标价（评标价）＝修正后的投标报价－暂估价－暂列金额（不含计日工总额）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5000" w:type="pct"/>
            <w:gridSpan w:val="4"/>
            <w:tcBorders>
              <w:top w:val="single" w:color="auto" w:sz="4" w:space="0"/>
              <w:right w:val="single" w:color="auto" w:sz="4" w:space="0"/>
            </w:tcBorders>
            <w:vAlign w:val="center"/>
          </w:tcPr>
          <w:p>
            <w:pPr>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需要补充的其他内容：</w:t>
            </w:r>
          </w:p>
          <w:p>
            <w:pPr>
              <w:spacing w:line="360" w:lineRule="atLeast"/>
              <w:ind w:left="-105" w:leftChars="-50" w:right="-105" w:rightChars="-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pPr>
        <w:pageBreakBefore w:val="0"/>
        <w:kinsoku/>
        <w:wordWrap w:val="0"/>
        <w:overflowPunct/>
        <w:bidi w:val="0"/>
        <w:rPr>
          <w:rFonts w:hint="default" w:ascii="Times New Roman" w:hAnsi="Times New Roman" w:cs="Times New Roman"/>
          <w:color w:val="auto"/>
          <w:highlight w:val="none"/>
        </w:rPr>
      </w:pPr>
    </w:p>
    <w:p>
      <w:pPr>
        <w:pStyle w:val="2"/>
        <w:pageBreakBefore w:val="0"/>
        <w:kinsoku/>
        <w:wordWrap w:val="0"/>
        <w:overflowPunct/>
        <w:bidi w:val="0"/>
        <w:spacing w:before="240" w:after="240" w:line="240" w:lineRule="atLeast"/>
        <w:outlineLvl w:val="1"/>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7"/>
          <w:szCs w:val="27"/>
          <w:highlight w:val="none"/>
        </w:rPr>
        <w:br w:type="page"/>
      </w:r>
      <w:bookmarkStart w:id="455" w:name="_Toc30908"/>
      <w:bookmarkStart w:id="456" w:name="_Toc32154"/>
      <w:bookmarkStart w:id="457" w:name="_Toc25866"/>
      <w:r>
        <w:rPr>
          <w:rFonts w:hint="default" w:ascii="Times New Roman" w:hAnsi="Times New Roman" w:eastAsia="黑体" w:cs="Times New Roman"/>
          <w:b w:val="0"/>
          <w:color w:val="auto"/>
          <w:sz w:val="28"/>
          <w:szCs w:val="28"/>
          <w:highlight w:val="none"/>
        </w:rPr>
        <w:t>1. 评标方法</w:t>
      </w:r>
      <w:bookmarkEnd w:id="455"/>
      <w:bookmarkEnd w:id="456"/>
      <w:bookmarkEnd w:id="457"/>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次评标采用经评审的最低投标价法。评标委员会对满足招标文件实质要求的投标文件，根据本章第2.2款规定的量化因素及标准进行价格折算，按照经评审的投标价由低到高的顺序推荐中标候选人，或根据招标人授权直接确定中标人，但投标报价低于其成本的除外。经评审的投标价相等时，投标报价低的优先；投标报价也相等的，由招标人或者招标人授权的评标委员会自行确定。</w:t>
      </w:r>
    </w:p>
    <w:p>
      <w:pPr>
        <w:pStyle w:val="2"/>
        <w:pageBreakBefore w:val="0"/>
        <w:kinsoku/>
        <w:wordWrap w:val="0"/>
        <w:overflowPunct/>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458" w:name="_Toc29770"/>
      <w:bookmarkStart w:id="459" w:name="_Toc14007"/>
      <w:bookmarkStart w:id="460" w:name="_Toc15187"/>
      <w:r>
        <w:rPr>
          <w:rFonts w:hint="default" w:ascii="Times New Roman" w:hAnsi="Times New Roman" w:eastAsia="黑体" w:cs="Times New Roman"/>
          <w:b w:val="0"/>
          <w:color w:val="auto"/>
          <w:sz w:val="28"/>
          <w:szCs w:val="28"/>
          <w:highlight w:val="none"/>
        </w:rPr>
        <w:t>2. 评审标准</w:t>
      </w:r>
      <w:bookmarkEnd w:id="458"/>
      <w:bookmarkEnd w:id="459"/>
      <w:bookmarkEnd w:id="460"/>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2.1 初步评审标准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 形式评审标准：见评标办法前附表。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 资格评审标准：见评标办法前附表。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 响应性评审标准：见评标办法前附表。</w:t>
      </w:r>
    </w:p>
    <w:p>
      <w:pPr>
        <w:keepNext/>
        <w:keepLines/>
        <w:pageBreakBefore w:val="0"/>
        <w:kinsoku/>
        <w:wordWrap w:val="0"/>
        <w:overflowPunct/>
        <w:bidi w:val="0"/>
        <w:spacing w:before="240" w:after="240" w:line="240" w:lineRule="atLeast"/>
        <w:ind w:firstLine="480" w:firstLineChars="200"/>
        <w:outlineLvl w:val="9"/>
        <w:rPr>
          <w:rFonts w:hint="default" w:ascii="Times New Roman" w:hAnsi="Times New Roman" w:eastAsia="黑体" w:cs="Times New Roman"/>
          <w:b w:val="0"/>
          <w:color w:val="auto"/>
          <w:sz w:val="24"/>
          <w:highlight w:val="none"/>
        </w:rPr>
      </w:pPr>
      <w:r>
        <w:rPr>
          <w:rFonts w:hint="default" w:ascii="Times New Roman" w:hAnsi="Times New Roman" w:eastAsia="黑体" w:cs="Times New Roman"/>
          <w:b w:val="0"/>
          <w:color w:val="auto"/>
          <w:sz w:val="24"/>
          <w:highlight w:val="none"/>
        </w:rPr>
        <w:t>2.2 详细评审标准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详细评审标准：见评标办法前附表。</w:t>
      </w:r>
    </w:p>
    <w:p>
      <w:pPr>
        <w:pStyle w:val="2"/>
        <w:pageBreakBefore w:val="0"/>
        <w:kinsoku/>
        <w:wordWrap w:val="0"/>
        <w:overflowPunct/>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461" w:name="_Toc21352"/>
      <w:bookmarkStart w:id="462" w:name="_Toc13664"/>
      <w:bookmarkStart w:id="463" w:name="_Toc434"/>
      <w:r>
        <w:rPr>
          <w:rFonts w:hint="default" w:ascii="Times New Roman" w:hAnsi="Times New Roman" w:eastAsia="黑体" w:cs="Times New Roman"/>
          <w:b w:val="0"/>
          <w:color w:val="auto"/>
          <w:sz w:val="28"/>
          <w:szCs w:val="28"/>
          <w:highlight w:val="none"/>
        </w:rPr>
        <w:t>3. 评标程序</w:t>
      </w:r>
      <w:bookmarkEnd w:id="461"/>
      <w:bookmarkEnd w:id="462"/>
      <w:bookmarkEnd w:id="463"/>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3.1 第一个信封初步评审</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评标委员会依据本章第2.1款规定的评审标准对投标文件第一个信封（商务及技术文件）进行初步评审。有一项不符合评审标准的，评标委员会应否决其投标。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投标文件的标的、质量标准、工期等实质性要求和条件不得出现（存在）不利于招标人的偏差，否则，评标委员会应否决其投标。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val="en-US" w:eastAsia="zh-CN"/>
        </w:rPr>
        <w:t>2</w:t>
      </w:r>
      <w:r>
        <w:rPr>
          <w:rFonts w:hint="default" w:ascii="Times New Roman" w:hAnsi="Times New Roman" w:eastAsia="黑体" w:cs="Times New Roman"/>
          <w:b w:val="0"/>
          <w:color w:val="auto"/>
          <w:sz w:val="24"/>
          <w:szCs w:val="24"/>
          <w:highlight w:val="none"/>
        </w:rPr>
        <w:t xml:space="preserve"> 第二个信封开标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第一个信封（商务及技术文件）评审结束后，招标人将按照第二章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第5.1款规定的时间和地点对通过投标文件第一个信封（商务及技术文件）评审的投标文件第二个信封（报价文件）进行开标。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val="en-US" w:eastAsia="zh-CN"/>
        </w:rPr>
        <w:t>3</w:t>
      </w:r>
      <w:r>
        <w:rPr>
          <w:rFonts w:hint="default" w:ascii="Times New Roman" w:hAnsi="Times New Roman" w:eastAsia="黑体" w:cs="Times New Roman"/>
          <w:b w:val="0"/>
          <w:color w:val="auto"/>
          <w:sz w:val="24"/>
          <w:szCs w:val="24"/>
          <w:highlight w:val="none"/>
        </w:rPr>
        <w:t>第二个信封初步评审</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3</w:t>
      </w:r>
      <w:r>
        <w:rPr>
          <w:rFonts w:hint="default" w:ascii="Times New Roman" w:hAnsi="Times New Roman" w:eastAsia="宋体" w:cs="Times New Roman"/>
          <w:color w:val="auto"/>
          <w:sz w:val="24"/>
          <w:highlight w:val="none"/>
        </w:rPr>
        <w:t>.1 评标委员会依据本章第2.1.1项、第2.1.3项规定的评审标准对投标文件第二个信封（报价文件）进行初步评审。有一项不符合评审标准的，评标委员会应否决其投标。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3</w:t>
      </w:r>
      <w:r>
        <w:rPr>
          <w:rFonts w:hint="default" w:ascii="Times New Roman" w:hAnsi="Times New Roman" w:eastAsia="宋体" w:cs="Times New Roman"/>
          <w:color w:val="auto"/>
          <w:sz w:val="24"/>
          <w:highlight w:val="none"/>
        </w:rPr>
        <w:t>.2 投标报价有算术错误的，评标委员会按以下原则对投标报价进行修正，修正的价格经投标人书面确认后具有约束力。投标人不接受修正价格的，评标委员会应否决其投标。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（1）投标文件中的大写金额与小写金额不一致的，以大写金额为准；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（2）总价金额与依据单价计算出的结果不一致的，以单价金额为准修正总价，但单价金额小数点有明显错误的除外;</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（3）当单价与数量相乘不等于合价时，以单价计算为准，如果单价有明显的小数点位置差错，应以标出的合价为准，同时对单价予以修正；</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（4）当各子目的合价累计不等于总价时，应以各子目合价累计数为准，修正总价。</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3</w:t>
      </w:r>
      <w:r>
        <w:rPr>
          <w:rFonts w:hint="default" w:ascii="Times New Roman" w:hAnsi="Times New Roman" w:eastAsia="宋体" w:cs="Times New Roman"/>
          <w:color w:val="auto"/>
          <w:sz w:val="24"/>
          <w:highlight w:val="none"/>
        </w:rPr>
        <w:t>.3 修正后的最终投标报价若超过最高投标限价（如有），评标委员会应否决其投标。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3</w:t>
      </w:r>
      <w:r>
        <w:rPr>
          <w:rFonts w:hint="default" w:ascii="Times New Roman" w:hAnsi="Times New Roman" w:eastAsia="宋体" w:cs="Times New Roman"/>
          <w:color w:val="auto"/>
          <w:sz w:val="24"/>
          <w:highlight w:val="none"/>
        </w:rPr>
        <w:t>.4 修正后的最终投标报价仅作为签订合同的一个依据，不参与评标价得分的计算。</w:t>
      </w:r>
    </w:p>
    <w:p>
      <w:pPr>
        <w:keepNext/>
        <w:keepLines/>
        <w:wordWrap w:val="0"/>
        <w:spacing w:before="240" w:after="240" w:line="240" w:lineRule="atLeast"/>
        <w:outlineLvl w:val="9"/>
        <w:rPr>
          <w:rFonts w:ascii="Times New Roman" w:hAnsi="Times New Roman" w:eastAsia="黑体" w:cs="Times New Roman"/>
          <w:b w:val="0"/>
          <w:color w:val="auto"/>
          <w:sz w:val="24"/>
          <w:szCs w:val="24"/>
          <w:highlight w:val="none"/>
        </w:rPr>
      </w:pPr>
      <w:bookmarkStart w:id="464" w:name="_Toc23747628"/>
      <w:bookmarkStart w:id="465" w:name="_Toc501257182"/>
      <w:r>
        <w:rPr>
          <w:rFonts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rPr>
        <w:t>4 第二个信封</w:t>
      </w:r>
      <w:r>
        <w:rPr>
          <w:rFonts w:ascii="Times New Roman" w:hAnsi="Times New Roman" w:eastAsia="黑体" w:cs="Times New Roman"/>
          <w:b w:val="0"/>
          <w:color w:val="auto"/>
          <w:sz w:val="24"/>
          <w:szCs w:val="24"/>
          <w:highlight w:val="none"/>
        </w:rPr>
        <w:t>详细评审</w:t>
      </w:r>
      <w:bookmarkEnd w:id="464"/>
      <w:bookmarkEnd w:id="465"/>
    </w:p>
    <w:p>
      <w:pPr>
        <w:wordWrap w:val="0"/>
        <w:spacing w:line="400" w:lineRule="atLeast"/>
        <w:ind w:firstLine="480" w:firstLineChars="200"/>
        <w:rPr>
          <w:rFonts w:ascii="Times New Roman" w:eastAsia="宋体"/>
          <w:color w:val="auto"/>
          <w:sz w:val="24"/>
          <w:highlight w:val="none"/>
        </w:rPr>
      </w:pPr>
      <w:r>
        <w:rPr>
          <w:rFonts w:ascii="Times New Roman" w:eastAsia="宋体"/>
          <w:color w:val="auto"/>
          <w:sz w:val="24"/>
          <w:highlight w:val="none"/>
        </w:rPr>
        <w:t>3.</w:t>
      </w:r>
      <w:r>
        <w:rPr>
          <w:rFonts w:hint="default" w:ascii="Times New Roman" w:eastAsia="宋体"/>
          <w:color w:val="auto"/>
          <w:sz w:val="24"/>
          <w:highlight w:val="none"/>
        </w:rPr>
        <w:t>4</w:t>
      </w:r>
      <w:r>
        <w:rPr>
          <w:rFonts w:ascii="Times New Roman" w:eastAsia="宋体"/>
          <w:color w:val="auto"/>
          <w:sz w:val="24"/>
          <w:highlight w:val="none"/>
        </w:rPr>
        <w:t>.1</w:t>
      </w:r>
      <w:r>
        <w:rPr>
          <w:rFonts w:hint="default" w:ascii="Times New Roman" w:eastAsia="宋体"/>
          <w:color w:val="auto"/>
          <w:sz w:val="24"/>
          <w:highlight w:val="none"/>
        </w:rPr>
        <w:t xml:space="preserve"> </w:t>
      </w:r>
      <w:r>
        <w:rPr>
          <w:rFonts w:ascii="Times New Roman" w:eastAsia="宋体"/>
          <w:color w:val="auto"/>
          <w:sz w:val="24"/>
          <w:highlight w:val="none"/>
        </w:rPr>
        <w:t>评标委员会按本章第2.2款规定的量化因素和标准进行价格折算，计算出经评审的投标价</w:t>
      </w:r>
      <w:r>
        <w:rPr>
          <w:rFonts w:hint="default" w:ascii="Times New Roman" w:eastAsia="宋体"/>
          <w:color w:val="auto"/>
          <w:sz w:val="24"/>
          <w:highlight w:val="none"/>
        </w:rPr>
        <w:t>（即</w:t>
      </w:r>
      <w:r>
        <w:rPr>
          <w:rFonts w:ascii="Times New Roman" w:eastAsia="宋体"/>
          <w:color w:val="auto"/>
          <w:sz w:val="24"/>
          <w:highlight w:val="none"/>
        </w:rPr>
        <w:t>评标价</w:t>
      </w:r>
      <w:r>
        <w:rPr>
          <w:rFonts w:hint="default" w:ascii="Times New Roman" w:eastAsia="宋体"/>
          <w:color w:val="auto"/>
          <w:sz w:val="24"/>
          <w:highlight w:val="none"/>
        </w:rPr>
        <w:t>）</w:t>
      </w:r>
      <w:r>
        <w:rPr>
          <w:rFonts w:ascii="Times New Roman" w:eastAsia="宋体"/>
          <w:color w:val="auto"/>
          <w:sz w:val="24"/>
          <w:highlight w:val="none"/>
        </w:rPr>
        <w:t>，并编制价格比较一览表。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ascii="Times New Roman" w:eastAsia="宋体"/>
          <w:color w:val="auto"/>
          <w:sz w:val="24"/>
          <w:highlight w:val="none"/>
        </w:rPr>
        <w:t>3.</w:t>
      </w:r>
      <w:r>
        <w:rPr>
          <w:rFonts w:hint="default" w:ascii="Times New Roman" w:eastAsia="宋体"/>
          <w:color w:val="auto"/>
          <w:sz w:val="24"/>
          <w:highlight w:val="none"/>
        </w:rPr>
        <w:t>4</w:t>
      </w:r>
      <w:r>
        <w:rPr>
          <w:rFonts w:ascii="Times New Roman" w:eastAsia="宋体"/>
          <w:color w:val="auto"/>
          <w:sz w:val="24"/>
          <w:highlight w:val="none"/>
        </w:rPr>
        <w:t>.</w:t>
      </w:r>
      <w:r>
        <w:rPr>
          <w:rFonts w:hint="default" w:ascii="Times New Roman" w:eastAsia="宋体"/>
          <w:color w:val="auto"/>
          <w:sz w:val="24"/>
          <w:highlight w:val="none"/>
        </w:rPr>
        <w:t xml:space="preserve">2 </w:t>
      </w:r>
      <w:r>
        <w:rPr>
          <w:rFonts w:hint="default" w:ascii="Times New Roman" w:hAnsi="Times New Roman" w:eastAsia="宋体" w:cs="Times New Roman"/>
          <w:color w:val="auto"/>
          <w:sz w:val="24"/>
          <w:highlight w:val="none"/>
        </w:rPr>
        <w:t>评标委员会发现投标人的报价明显低于其他投标报价，是有可能影响履约的异常低价，应按本章3.</w:t>
      </w:r>
      <w:r>
        <w:rPr>
          <w:rFonts w:hint="default" w:ascii="Times New Roman" w:hAnsi="Times New Roman" w:cs="Times New Roman"/>
          <w:color w:val="auto"/>
          <w:sz w:val="24"/>
          <w:highlight w:val="none"/>
          <w:lang w:val="en-US" w:eastAsia="zh-CN"/>
        </w:rPr>
        <w:t>6</w:t>
      </w:r>
      <w:r>
        <w:rPr>
          <w:rFonts w:hint="default" w:ascii="Times New Roman" w:hAnsi="Times New Roman" w:eastAsia="宋体" w:cs="Times New Roman"/>
          <w:color w:val="auto"/>
          <w:sz w:val="24"/>
          <w:highlight w:val="none"/>
        </w:rPr>
        <w:t>款的规定向投标人发出澄清，要求该投标人作出书面说明该报价的合理性并提供相应证明材料。当投标人不能合理说明并证明其报价的合理性的，评标委员会应以少数服从多数的原则否决其投标。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val="en-US" w:eastAsia="zh-CN"/>
        </w:rPr>
        <w:t>5</w:t>
      </w:r>
      <w:r>
        <w:rPr>
          <w:rFonts w:hint="default" w:ascii="Times New Roman" w:hAnsi="Times New Roman" w:eastAsia="黑体" w:cs="Times New Roman"/>
          <w:b w:val="0"/>
          <w:color w:val="auto"/>
          <w:sz w:val="24"/>
          <w:szCs w:val="24"/>
          <w:highlight w:val="none"/>
        </w:rPr>
        <w:t xml:space="preserve"> 投标文件相关信息的核查</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5</w:t>
      </w:r>
      <w:r>
        <w:rPr>
          <w:rFonts w:hint="default" w:ascii="Times New Roman" w:hAnsi="Times New Roman" w:eastAsia="宋体" w:cs="Times New Roman"/>
          <w:color w:val="auto"/>
          <w:sz w:val="24"/>
          <w:highlight w:val="none"/>
        </w:rPr>
        <w:t>.1 在评标过程中，评标委员会应查询交通运输主管部门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，对投标人的资质、业绩、主要人员资历和目前在岗情况、信用等级等信息进行核实。若投标文件载明的信息与交通运输主管部门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发布的信息不符，使得投标人的资格条件不符合招标文件规定的，评标委员会应否决其投标。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5</w:t>
      </w:r>
      <w:r>
        <w:rPr>
          <w:rFonts w:hint="default" w:ascii="Times New Roman" w:hAnsi="Times New Roman" w:eastAsia="宋体" w:cs="Times New Roman"/>
          <w:color w:val="auto"/>
          <w:sz w:val="24"/>
          <w:highlight w:val="none"/>
        </w:rPr>
        <w:t>.2 评标委员会应对在评标过程中发现的投标人与投标人之间、投标人与招标人之间存在的串通投标的情形进行评审和认定。投标人存在串通投标、弄虚作假、行贿等违法行为的，评标委员会应否决其投标。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（1）有下列情形之一的，属于投标人相互串通投标：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a.投标人之间协商投标报价等投标文件的实质性内容；</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b.投标人之间约定中标人；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c.投标人之间约定部分投标人放弃投标或中标；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d.属于同一集团、协会、商会等组织成员的投标人按照该组织要求协同投标；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e.投标人之间为谋取中标或排斥特定投标人而采取的其他联合行动。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（2）有下列情形之一的，视为投标人相互串通投标：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a.不同投标人的投标文件由同一单位或个人编制；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b.不同投标人委托同一单位或个人办理投标事宜；</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c.不同投标人的投标文件载明的项目管理成员为同一人；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d.不同投标人的投标文件异常一致或投标报价呈规律性差异；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e.不同投标人的投标文件相互混装；</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f.不同投标人的投标保证金从同一单位或个人的账户转出。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（3）有下列情形之一的，属于招标人与投标人串通投标：</w:t>
      </w:r>
    </w:p>
    <w:p>
      <w:pPr>
        <w:pageBreakBefore w:val="0"/>
        <w:kinsoku/>
        <w:wordWrap w:val="0"/>
        <w:overflowPunct/>
        <w:autoSpaceDE/>
        <w:autoSpaceDN/>
        <w:bidi w:val="0"/>
        <w:spacing w:line="400" w:lineRule="atLeast"/>
        <w:ind w:firstLine="480" w:firstLineChars="200"/>
        <w:textAlignment w:val="auto"/>
        <w:outlineLvl w:val="9"/>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a.招标人在开标前开启投标文件并将有关信息泄露给其他投标人</w:t>
      </w:r>
      <w:r>
        <w:rPr>
          <w:rFonts w:hint="eastAsia" w:cs="Times New Roman"/>
          <w:color w:val="auto"/>
          <w:sz w:val="24"/>
          <w:highlight w:val="none"/>
          <w:lang w:eastAsia="zh-CN"/>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b.招标人直接或间接向投标人泄露标底、评标委员会成员等信息；</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c.招标人明示或暗示投标人压低或抬高投标报价；</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d.招标人授意投标人撤换、修改投标文件；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e.招标人明示或暗示投标人为特定投标人中标提供方便；</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f.招标人与投标人为谋求特定投标人中标而采取的其他串通行为。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（4）投标人有下列情形之一的，属于弄虚作假的行为：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a.使用通过受让或租借等方式获取的资格、资质证书投标；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b.使用伪造、变造的许可证件；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c.提供虚假的财务状况或业绩；</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d.提供虚假的项目负责人或主要技术人员简历、劳动关系证明；</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e.提供虚假的信用状况；</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f.其他弄虚作假的行为。</w:t>
      </w:r>
    </w:p>
    <w:p>
      <w:pPr>
        <w:keepNext/>
        <w:keepLines/>
        <w:pageBreakBefore w:val="0"/>
        <w:widowControl w:val="0"/>
        <w:kinsoku/>
        <w:wordWrap w:val="0"/>
        <w:overflowPunct/>
        <w:topLinePunct w:val="0"/>
        <w:autoSpaceDE/>
        <w:autoSpaceDN/>
        <w:bidi w:val="0"/>
        <w:adjustRightInd/>
        <w:snapToGrid/>
        <w:spacing w:before="240" w:after="240" w:line="40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val="en-US" w:eastAsia="zh-CN"/>
        </w:rPr>
        <w:t>6</w:t>
      </w:r>
      <w:r>
        <w:rPr>
          <w:rFonts w:hint="default" w:ascii="Times New Roman" w:hAnsi="Times New Roman" w:eastAsia="黑体" w:cs="Times New Roman"/>
          <w:b w:val="0"/>
          <w:color w:val="auto"/>
          <w:sz w:val="24"/>
          <w:szCs w:val="24"/>
          <w:highlight w:val="none"/>
        </w:rPr>
        <w:t xml:space="preserve"> 投标文件的澄清和说明</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5</w:t>
      </w:r>
      <w:r>
        <w:rPr>
          <w:rFonts w:hint="default" w:ascii="Times New Roman" w:hAnsi="Times New Roman" w:eastAsia="宋体" w:cs="Times New Roman"/>
          <w:color w:val="auto"/>
          <w:sz w:val="24"/>
          <w:highlight w:val="none"/>
        </w:rPr>
        <w:t>.1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5</w:t>
      </w:r>
      <w:r>
        <w:rPr>
          <w:rFonts w:hint="default" w:ascii="Times New Roman" w:hAnsi="Times New Roman" w:eastAsia="宋体" w:cs="Times New Roman"/>
          <w:color w:val="auto"/>
          <w:sz w:val="24"/>
          <w:highlight w:val="none"/>
        </w:rPr>
        <w:t>.2 澄清和说明不得超出投标文件的范围或改变投标文件的实质性内容（算术性错误的修正除外）。投标人的书面澄清、说明属于投标文件的组成部分。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5</w:t>
      </w:r>
      <w:r>
        <w:rPr>
          <w:rFonts w:hint="default" w:ascii="Times New Roman" w:hAnsi="Times New Roman" w:eastAsia="宋体" w:cs="Times New Roman"/>
          <w:color w:val="auto"/>
          <w:sz w:val="24"/>
          <w:highlight w:val="none"/>
        </w:rPr>
        <w:t>.3 评标委员会不得暗示或诱导投标人作出澄清、说明，对投标人提交的澄清、说明有疑问的，可以要求投标人进一步澄清或说明，直至满足评标委员会的要求。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5</w:t>
      </w:r>
      <w:r>
        <w:rPr>
          <w:rFonts w:hint="default" w:ascii="Times New Roman" w:hAnsi="Times New Roman" w:eastAsia="宋体" w:cs="Times New Roman"/>
          <w:color w:val="auto"/>
          <w:sz w:val="24"/>
          <w:highlight w:val="none"/>
        </w:rPr>
        <w:t>.4 凡超出招标文件规定的或给发包人带来未曾要求的利益的变化、偏差或其他因素在评标时不予考虑。</w:t>
      </w:r>
    </w:p>
    <w:p>
      <w:pPr>
        <w:keepNext/>
        <w:keepLines/>
        <w:pageBreakBefore w:val="0"/>
        <w:widowControl w:val="0"/>
        <w:kinsoku/>
        <w:wordWrap w:val="0"/>
        <w:overflowPunct/>
        <w:topLinePunct w:val="0"/>
        <w:autoSpaceDE/>
        <w:autoSpaceDN/>
        <w:bidi w:val="0"/>
        <w:adjustRightInd/>
        <w:snapToGrid/>
        <w:spacing w:before="240" w:after="240" w:line="40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val="en-US" w:eastAsia="zh-CN"/>
        </w:rPr>
        <w:t>7</w:t>
      </w:r>
      <w:r>
        <w:rPr>
          <w:rFonts w:hint="default" w:ascii="Times New Roman" w:hAnsi="Times New Roman" w:eastAsia="黑体" w:cs="Times New Roman"/>
          <w:b w:val="0"/>
          <w:color w:val="auto"/>
          <w:sz w:val="24"/>
          <w:szCs w:val="24"/>
          <w:highlight w:val="none"/>
        </w:rPr>
        <w:t xml:space="preserve"> 不得否决投标的情形</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投标文件存在第二章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第1.12.3项所列情形的，均视为细微偏差，评标委员会不得否决投标人的投标，应按照第二章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第1.12.4项规定的原则处理。</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val="en-US" w:eastAsia="zh-CN"/>
        </w:rPr>
        <w:t>8</w:t>
      </w:r>
      <w:r>
        <w:rPr>
          <w:rFonts w:hint="default" w:ascii="Times New Roman" w:hAnsi="Times New Roman" w:eastAsia="黑体" w:cs="Times New Roman"/>
          <w:b w:val="0"/>
          <w:color w:val="auto"/>
          <w:sz w:val="24"/>
          <w:szCs w:val="24"/>
          <w:highlight w:val="none"/>
        </w:rPr>
        <w:t xml:space="preserve"> 评标结果</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7</w:t>
      </w:r>
      <w:r>
        <w:rPr>
          <w:rFonts w:hint="default" w:ascii="Times New Roman" w:hAnsi="Times New Roman" w:eastAsia="宋体" w:cs="Times New Roman"/>
          <w:color w:val="auto"/>
          <w:sz w:val="24"/>
          <w:highlight w:val="none"/>
        </w:rPr>
        <w:t>.1 除第二章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前附表授权直接确定中标人外，评标委员会按照经评审的价格由低到高的顺序推荐中标候选人，并标明排序。</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7</w:t>
      </w:r>
      <w:r>
        <w:rPr>
          <w:rFonts w:hint="default" w:ascii="Times New Roman" w:hAnsi="Times New Roman" w:eastAsia="宋体" w:cs="Times New Roman"/>
          <w:color w:val="auto"/>
          <w:sz w:val="24"/>
          <w:highlight w:val="none"/>
        </w:rPr>
        <w:t>.2 评标委员会完成评标后，应向招标人提交评标报告。</w:t>
      </w:r>
    </w:p>
    <w:p>
      <w:pPr>
        <w:pageBreakBefore w:val="0"/>
        <w:kinsoku/>
        <w:overflowPunct/>
        <w:autoSpaceDE/>
        <w:autoSpaceDN/>
        <w:bidi w:val="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br w:type="page"/>
      </w:r>
    </w:p>
    <w:p>
      <w:pPr>
        <w:pStyle w:val="2"/>
        <w:pageBreakBefore w:val="0"/>
        <w:kinsoku/>
        <w:wordWrap w:val="0"/>
        <w:bidi w:val="0"/>
        <w:spacing w:before="0" w:after="120" w:afterLines="50" w:line="240" w:lineRule="atLeast"/>
        <w:jc w:val="center"/>
        <w:outlineLvl w:val="9"/>
        <w:rPr>
          <w:rFonts w:hint="default" w:ascii="Times New Roman" w:hAnsi="Times New Roman" w:eastAsia="黑体" w:cs="Times New Roman"/>
          <w:b w:val="0"/>
          <w:color w:val="auto"/>
          <w:sz w:val="42"/>
          <w:szCs w:val="42"/>
          <w:highlight w:val="none"/>
        </w:rPr>
        <w:sectPr>
          <w:footnotePr>
            <w:numFmt w:val="decimalEnclosedCircleChinese"/>
            <w:numRestart w:val="eachPage"/>
          </w:footnotePr>
          <w:pgSz w:w="11910" w:h="16850"/>
          <w:pgMar w:top="1480" w:right="1200" w:bottom="1040" w:left="1220" w:header="876" w:footer="853" w:gutter="0"/>
          <w:pgNumType w:fmt="decimal"/>
          <w:cols w:space="720" w:num="1"/>
        </w:sectPr>
      </w:pPr>
      <w:bookmarkStart w:id="466" w:name="_Toc234832931"/>
      <w:bookmarkStart w:id="467" w:name="_Toc12924"/>
    </w:p>
    <w:p>
      <w:pPr>
        <w:pStyle w:val="2"/>
        <w:pageBreakBefore w:val="0"/>
        <w:kinsoku/>
        <w:wordWrap w:val="0"/>
        <w:bidi w:val="0"/>
        <w:spacing w:before="0" w:after="120" w:afterLines="50" w:line="240" w:lineRule="atLeast"/>
        <w:jc w:val="center"/>
        <w:rPr>
          <w:rFonts w:hint="default" w:ascii="Times New Roman" w:hAnsi="Times New Roman" w:eastAsia="黑体" w:cs="Times New Roman"/>
          <w:b w:val="0"/>
          <w:color w:val="auto"/>
          <w:sz w:val="42"/>
          <w:szCs w:val="42"/>
          <w:highlight w:val="none"/>
        </w:rPr>
      </w:pPr>
      <w:bookmarkStart w:id="468" w:name="_Toc19918"/>
      <w:bookmarkStart w:id="469" w:name="_Toc1218"/>
      <w:bookmarkStart w:id="470" w:name="_Toc5124"/>
      <w:r>
        <w:rPr>
          <w:rFonts w:hint="default" w:ascii="Times New Roman" w:hAnsi="Times New Roman" w:eastAsia="黑体" w:cs="Times New Roman"/>
          <w:b w:val="0"/>
          <w:color w:val="auto"/>
          <w:sz w:val="42"/>
          <w:szCs w:val="42"/>
          <w:highlight w:val="none"/>
        </w:rPr>
        <w:t>第三章  评标办法（合理低价法）</w:t>
      </w:r>
      <w:r>
        <w:rPr>
          <w:rStyle w:val="45"/>
          <w:rFonts w:hint="default" w:ascii="Times New Roman" w:hAnsi="Times New Roman" w:eastAsia="黑体" w:cs="Times New Roman"/>
          <w:color w:val="auto"/>
          <w:sz w:val="42"/>
          <w:szCs w:val="42"/>
          <w:highlight w:val="none"/>
        </w:rPr>
        <w:footnoteReference w:id="46"/>
      </w:r>
      <w:bookmarkEnd w:id="466"/>
      <w:bookmarkEnd w:id="467"/>
      <w:bookmarkEnd w:id="468"/>
      <w:bookmarkEnd w:id="469"/>
      <w:bookmarkEnd w:id="470"/>
    </w:p>
    <w:p>
      <w:pPr>
        <w:pageBreakBefore w:val="0"/>
        <w:kinsoku/>
        <w:wordWrap w:val="0"/>
        <w:bidi w:val="0"/>
        <w:spacing w:line="420" w:lineRule="atLeast"/>
        <w:rPr>
          <w:rFonts w:hint="default" w:ascii="Times New Roman" w:hAnsi="Times New Roman" w:eastAsia="黑体" w:cs="Times New Roman"/>
          <w:color w:val="auto"/>
          <w:sz w:val="20"/>
          <w:szCs w:val="20"/>
          <w:highlight w:val="none"/>
        </w:rPr>
      </w:pPr>
    </w:p>
    <w:p>
      <w:pPr>
        <w:keepNext/>
        <w:keepLines/>
        <w:pageBreakBefore w:val="0"/>
        <w:widowControl w:val="0"/>
        <w:kinsoku/>
        <w:wordWrap w:val="0"/>
        <w:overflowPunct/>
        <w:topLinePunct w:val="0"/>
        <w:autoSpaceDE/>
        <w:autoSpaceDN/>
        <w:bidi w:val="0"/>
        <w:adjustRightInd/>
        <w:snapToGrid/>
        <w:spacing w:before="0" w:after="0" w:line="240" w:lineRule="atLeast"/>
        <w:textAlignment w:val="auto"/>
        <w:outlineLvl w:val="9"/>
        <w:rPr>
          <w:rFonts w:hint="default" w:ascii="Times New Roman" w:hAnsi="Times New Roman" w:eastAsia="黑体" w:cs="Times New Roman"/>
          <w:b w:val="0"/>
          <w:color w:val="auto"/>
          <w:sz w:val="28"/>
          <w:szCs w:val="28"/>
          <w:highlight w:val="none"/>
        </w:rPr>
      </w:pPr>
      <w:bookmarkStart w:id="471" w:name="_Toc10239"/>
      <w:bookmarkStart w:id="472" w:name="_Toc234832932"/>
      <w:r>
        <w:rPr>
          <w:rFonts w:hint="default" w:ascii="Times New Roman" w:hAnsi="Times New Roman" w:eastAsia="黑体" w:cs="Times New Roman"/>
          <w:b w:val="0"/>
          <w:color w:val="auto"/>
          <w:sz w:val="24"/>
          <w:szCs w:val="24"/>
          <w:highlight w:val="none"/>
        </w:rPr>
        <w:t>评标办法前附表</w:t>
      </w:r>
      <w:r>
        <w:rPr>
          <w:rFonts w:hint="default" w:ascii="Times New Roman" w:hAnsi="Times New Roman" w:eastAsia="黑体" w:cs="Times New Roman"/>
          <w:b w:val="0"/>
          <w:color w:val="auto"/>
          <w:sz w:val="28"/>
          <w:szCs w:val="28"/>
          <w:highlight w:val="none"/>
        </w:rPr>
        <w:t xml:space="preserve"> </w:t>
      </w:r>
      <w:r>
        <w:rPr>
          <w:rStyle w:val="45"/>
          <w:rFonts w:hint="default" w:ascii="Times New Roman" w:hAnsi="Times New Roman" w:cs="Times New Roman"/>
          <w:color w:val="auto"/>
          <w:sz w:val="28"/>
          <w:szCs w:val="28"/>
          <w:highlight w:val="none"/>
        </w:rPr>
        <w:footnoteReference w:id="47"/>
      </w:r>
      <w:bookmarkEnd w:id="471"/>
      <w:bookmarkEnd w:id="472"/>
    </w:p>
    <w:tbl>
      <w:tblPr>
        <w:tblStyle w:val="37"/>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124"/>
        <w:gridCol w:w="12"/>
        <w:gridCol w:w="1505"/>
        <w:gridCol w:w="509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2024" w:type="dxa"/>
            <w:gridSpan w:val="2"/>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6616"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124"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评标方法</w:t>
            </w:r>
          </w:p>
        </w:tc>
        <w:tc>
          <w:tcPr>
            <w:tcW w:w="6616" w:type="dxa"/>
            <w:gridSpan w:val="3"/>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综合评分相等时，评标委员会依次按照以下优先顺序推荐中标候选人或确定中标人：</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（1）评标价低的投标人优先；</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（2）被</w:t>
            </w:r>
            <w:r>
              <w:rPr>
                <w:rFonts w:hint="default" w:ascii="Times New Roman" w:hAnsi="Times New Roman" w:cs="Times New Roman"/>
                <w:color w:val="auto"/>
                <w:szCs w:val="21"/>
                <w:highlight w:val="none"/>
                <w:lang w:val="en-US" w:eastAsia="zh-CN"/>
              </w:rPr>
              <w:t>辽宁</w:t>
            </w:r>
            <w:r>
              <w:rPr>
                <w:rFonts w:hint="default" w:ascii="Times New Roman" w:hAnsi="Times New Roman" w:cs="Times New Roman"/>
                <w:color w:val="auto"/>
                <w:szCs w:val="21"/>
                <w:highlight w:val="none"/>
              </w:rPr>
              <w:t>省交通运输</w:t>
            </w:r>
            <w:r>
              <w:rPr>
                <w:rFonts w:hint="default" w:ascii="Times New Roman" w:hAnsi="Times New Roman" w:cs="Times New Roman"/>
                <w:color w:val="auto"/>
                <w:szCs w:val="21"/>
                <w:highlight w:val="none"/>
                <w:lang w:val="en-US" w:eastAsia="zh-CN"/>
              </w:rPr>
              <w:t>厅</w:t>
            </w:r>
            <w:r>
              <w:rPr>
                <w:rFonts w:hint="default" w:ascii="Times New Roman" w:hAnsi="Times New Roman" w:cs="Times New Roman"/>
                <w:color w:val="auto"/>
                <w:szCs w:val="21"/>
                <w:highlight w:val="none"/>
              </w:rPr>
              <w:t>评为较高信用等级的投标人优先；</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2.1.1</w:t>
            </w:r>
          </w:p>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2.1.3</w:t>
            </w:r>
          </w:p>
        </w:tc>
        <w:tc>
          <w:tcPr>
            <w:tcW w:w="1124"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形式评审与响应性评审标准</w:t>
            </w:r>
          </w:p>
        </w:tc>
        <w:tc>
          <w:tcPr>
            <w:tcW w:w="6616" w:type="dxa"/>
            <w:gridSpan w:val="3"/>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第一个信封（商务及技术文件）评审标准：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a.投标函按招标文件规定填报了项目名称、标段号、补遗书编号（如有）、工期、工程质量要求及安全目标；</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b.投标函附录的所有数据均符合招标文件规定；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）投标人按照招标文件的规定提供了投标保证金：</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a.投标保证金金额符合招标文件规定的金额，且投标保证金有效期不少于投标有效期；</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b.若投标保证金采用现金或支票形式提交，投标人应在递交投标文件截止时间之前，将投标保证金由投标人的基本账户转入招标人指定账户；</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c.若投标保证金采用银行保函形式提交，银行保函的格式、开具保函的银行均满足招标文件要求；</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d.若投标保证金采用电子保函形式提交，投标人应在投标文件中提供电子保函的原件扫描件、电子化保函验真渠道和从投标人基本账户支出的保函财务费用支付凭证。</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（4）投标人法定代表人授权委托代理人签署投标文件的，须提交授权委托书，且授权人和被授权人均在授权委托书上使用CA 数字证书加盖个人电子印章或电子签名。</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（5）投标人法定代表人亲自签署投标文件的，提供了法定代表人身份证明，且法定代表人在法定代表人身份证明上使用CA 数字证书加盖个人电子印章或电子签名。</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（6）投标人以联合体形式投标时，联合体满足招标文件的要求：投标人按照招标文件提供的格式签订了联合体协议书，明确各方承担连带责任，并明确了联合体牵头人。</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（7）投标人如有分包计划，符合招标文件第二章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第1.11款规定，且按招标文件第七章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投标文件格式</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的要求填写了</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拟分包项目情况表</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（8）同一投标人未提交两个以上不同的投标文件，但招标文件要求提交备选投标的除外。</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（9）投标文件中未出现有关投标报价的内容。</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（10）投标文件载明的招标项目完成期限未超过招标文件规定的时限。</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（11）投标文件对招标文件的实质性要求和条件作出响应。</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（12）权利义务符合招标文件规定：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a.投标人应接受招标文件规定的风险划分原则，未提出新的风险划分办法；</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b.投标人未增加发包人的责任范围，或减少投标人义务；</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c.投标人未提出不同的工程验收、计量、支付办法；</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d.投标人对合同纠纷、事故处理办法未提出异议；</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e.投标人在投标活动中无欺诈行为；</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f.投标人未对合同条款有重要保留。</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13</w:t>
            </w:r>
            <w:r>
              <w:rPr>
                <w:rFonts w:hint="default" w:ascii="Times New Roman" w:hAnsi="Times New Roman" w:cs="Times New Roman"/>
                <w:color w:val="auto"/>
                <w:szCs w:val="21"/>
                <w:highlight w:val="none"/>
              </w:rPr>
              <w:t>）投标人上传投标文件的标段数量满足第一章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招标公告</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第3.3款规定，投标函上填写的标段号与上传的对应项目标段号一致。</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（14）未发现投标人与其他投标人存在使用同一不可篡改的唯一标识软硬件设备投标的（如：MAC地址、标书制作特征码、标书唯一特征码等）。</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p>
          <w:p>
            <w:pPr>
              <w:pageBreakBefore w:val="0"/>
              <w:kinsoku/>
              <w:wordWrap w:val="0"/>
              <w:overflowPunct/>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第二个信封（报价文件）评审标准：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a.投标函按招标文件规定填报了项目名称、标段号、补遗书编号（如有）、投标价（包括大写金额和小写金额）；</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b.价格清单说明文字与招标文件规定一致，未进行实质性修改和删减；</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（3）投标报价未超过招标文件设定的最高投标限价（如有）。</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（4）投标报价的大写金额能够确定具体数值。</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（5）同一投标人未提交两个以上不同的投标报价，但招标文件要求提交备选投标的除外。</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30" w:hRule="atLeast"/>
        </w:trPr>
        <w:tc>
          <w:tcPr>
            <w:tcW w:w="900" w:type="dxa"/>
            <w:tcBorders>
              <w:top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w:t>
            </w:r>
          </w:p>
        </w:tc>
        <w:tc>
          <w:tcPr>
            <w:tcW w:w="1136" w:type="dxa"/>
            <w:gridSpan w:val="2"/>
            <w:tcBorders>
              <w:top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资格评审标准</w:t>
            </w:r>
          </w:p>
        </w:tc>
        <w:tc>
          <w:tcPr>
            <w:tcW w:w="6604" w:type="dxa"/>
            <w:gridSpan w:val="2"/>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（1）投标人具备有效的营业执照、资质证书、安全生产许可证。 </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（2）投标人的资质等级符合招标文件规定。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（3）投标人的财务状况符合招标文件规定。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（4）投标人的类似项目业绩符合招标文件规定。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（5）投标人的信誉符合招标文件规定。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（6）投标人的项目负责人、设计负责人和施工负责人资格、项目负责人和施工负责人的在岗情况符合招标文件规定。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（7）投标人的其他要求符合招标文件规定。</w:t>
            </w:r>
            <w:r>
              <w:rPr>
                <w:rFonts w:hint="default" w:ascii="Times New Roman" w:hAnsi="Times New Roman" w:cs="Times New Roman"/>
                <w:color w:val="auto"/>
                <w:szCs w:val="21"/>
                <w:highlight w:val="none"/>
                <w:vertAlign w:val="superscript"/>
              </w:rPr>
              <w:footnoteReference w:id="48"/>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rPr>
              <w:t>（8）投标人不存在第二章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第1.4.3项或第1.4.4项规定的任何一种情形</w:t>
            </w:r>
            <w:r>
              <w:rPr>
                <w:rFonts w:hint="default" w:ascii="Times New Roman" w:hAnsi="Times New Roman" w:cs="Times New Roman"/>
                <w:color w:val="auto"/>
                <w:szCs w:val="21"/>
                <w:highlight w:val="none"/>
                <w:lang w:eastAsia="zh-CN"/>
              </w:rPr>
              <w:t>。</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9</w:t>
            </w:r>
            <w:r>
              <w:rPr>
                <w:rFonts w:hint="default" w:ascii="Times New Roman" w:hAnsi="Times New Roman" w:cs="Times New Roman"/>
                <w:color w:val="auto"/>
                <w:szCs w:val="21"/>
                <w:highlight w:val="none"/>
              </w:rPr>
              <w:t>）投标人符合第二章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第1.4.5项规定。</w:t>
            </w:r>
            <w:r>
              <w:rPr>
                <w:rStyle w:val="45"/>
                <w:rFonts w:hint="default" w:ascii="Times New Roman" w:hAnsi="Times New Roman" w:cs="Times New Roman"/>
                <w:color w:val="auto"/>
                <w:highlight w:val="none"/>
              </w:rPr>
              <w:footnoteReference w:id="49"/>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rPr>
              <w:t>）以联合体形式参与投标的，联合体各方均未再以自己名义单独或参加其他联合体在同一标段中投标；独立参与投标的，投标人未同时参加联合体在同一标段中投标。</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150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条款内容</w:t>
            </w:r>
          </w:p>
        </w:tc>
        <w:tc>
          <w:tcPr>
            <w:tcW w:w="509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w:t>
            </w:r>
          </w:p>
        </w:tc>
        <w:tc>
          <w:tcPr>
            <w:tcW w:w="150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分值构成</w:t>
            </w:r>
          </w:p>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（总分100分）</w:t>
            </w:r>
          </w:p>
        </w:tc>
        <w:tc>
          <w:tcPr>
            <w:tcW w:w="509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评标价：100分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12" w:hRule="atLeast"/>
        </w:trPr>
        <w:tc>
          <w:tcPr>
            <w:tcW w:w="2036" w:type="dxa"/>
            <w:gridSpan w:val="3"/>
            <w:tcBorders>
              <w:top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w:t>
            </w:r>
          </w:p>
        </w:tc>
        <w:tc>
          <w:tcPr>
            <w:tcW w:w="1505"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评标基准价计算方法</w:t>
            </w:r>
          </w:p>
        </w:tc>
        <w:tc>
          <w:tcPr>
            <w:tcW w:w="50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在开标现场，招标人将当场计算并宣布各标段评标基准价。在评标过程中，评标委员会将对招标人计算的评标基准价进行复核，存在计算错误的应予以修正并在评标报告中作出说明。除此之外，评标基准价在整个评标期间保持不变，不随任何因素发生变化。</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计算差错，仅限于以下两种情况：1、纯算术性四则运算差错；2、未按约定的规则，多计或少计参加评标价平均值计算的评标价。</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本次招标设定3种评标价平均值（B）计算方法，在第二个信封（报价文件）开标现场，每个标段随机抽取其中1种作为该标段的评标价平均值计算方法。</w:t>
            </w:r>
          </w:p>
          <w:p>
            <w:pPr>
              <w:keepNext w:val="0"/>
              <w:keepLines w:val="0"/>
              <w:pageBreakBefore w:val="0"/>
              <w:widowControl/>
              <w:kinsoku/>
              <w:wordWrap/>
              <w:overflowPunct/>
              <w:topLinePunct w:val="0"/>
              <w:autoSpaceDE/>
              <w:autoSpaceDN/>
              <w:bidi w:val="0"/>
              <w:adjustRightInd/>
              <w:snapToGrid/>
              <w:spacing w:line="360" w:lineRule="atLeast"/>
              <w:ind w:firstLine="421" w:firstLineChars="200"/>
              <w:jc w:val="left"/>
              <w:textAlignment w:val="auto"/>
              <w:outlineLvl w:val="0"/>
              <w:rPr>
                <w:rFonts w:hint="default" w:ascii="Times New Roman" w:hAnsi="Times New Roman" w:eastAsia="宋体" w:cs="Times New Roman"/>
                <w:b/>
                <w:bCs/>
                <w:color w:val="auto"/>
                <w:highlight w:val="none"/>
              </w:rPr>
            </w:pPr>
            <w:bookmarkStart w:id="473" w:name="_Toc15337"/>
            <w:bookmarkStart w:id="474" w:name="_Toc3708"/>
            <w:bookmarkStart w:id="475" w:name="_Toc7259"/>
            <w:bookmarkStart w:id="476" w:name="_Toc16540"/>
            <w:bookmarkStart w:id="477" w:name="_Toc5364"/>
            <w:bookmarkStart w:id="478" w:name="_Toc28445"/>
            <w:bookmarkStart w:id="479" w:name="_Toc8106"/>
            <w:r>
              <w:rPr>
                <w:rFonts w:hint="default" w:ascii="Times New Roman" w:hAnsi="Times New Roman" w:eastAsia="宋体" w:cs="Times New Roman"/>
                <w:b/>
                <w:bCs/>
                <w:color w:val="auto"/>
                <w:kern w:val="0"/>
                <w:szCs w:val="21"/>
                <w:highlight w:val="none"/>
                <w:lang w:bidi="ar"/>
              </w:rPr>
              <w:t>一、评标价（A）</w:t>
            </w:r>
            <w:bookmarkEnd w:id="473"/>
            <w:bookmarkEnd w:id="474"/>
            <w:bookmarkEnd w:id="475"/>
            <w:bookmarkEnd w:id="476"/>
            <w:bookmarkEnd w:id="477"/>
            <w:bookmarkEnd w:id="478"/>
            <w:bookmarkEnd w:id="479"/>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评标价=投标函的文字报价</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如果投标文件出现以下1～5任一情况，不参加评标价平均值的计算：</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1、未按要求在投标函上填写投标总价；</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黑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2、投标报价超出招标人公布的最高投标限价，或低于招标人公布的最高投标限价的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w:t>
            </w:r>
            <w:r>
              <w:rPr>
                <w:rFonts w:hint="default" w:ascii="Times New Roman" w:hAnsi="Times New Roman" w:eastAsia="黑体" w:cs="Times New Roman"/>
                <w:color w:val="auto"/>
                <w:kern w:val="0"/>
                <w:szCs w:val="21"/>
                <w:highlight w:val="none"/>
                <w:lang w:bidi="ar"/>
              </w:rPr>
              <w:t>（注：由招标人在招标文件中约定低于投标最高限价一定范围值的投标报价不参与评标基准价的计算，G%原则上在85%～90%之间取值。）</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3、无法确定投标报价具体数值；</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4、投标函上填写的标段号与投标文件封套上标记的标段号不一致（如分标段）；</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5、投标函中的投标报价大写金额与投标文件工程量清单中的投标报价金额不一致。</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投标文件存在以上1～5任一情况，但招标人在第二个信封（报价文件）开标现场未发现的，视为计算过程中基础数据取用错误，由评标委员会在评标过程中予以修正。投标文件未出现以上1～5情况的，均参加评标价平均值的计算。</w:t>
            </w:r>
          </w:p>
          <w:p>
            <w:pPr>
              <w:keepNext w:val="0"/>
              <w:keepLines w:val="0"/>
              <w:pageBreakBefore w:val="0"/>
              <w:widowControl/>
              <w:kinsoku/>
              <w:wordWrap/>
              <w:overflowPunct/>
              <w:topLinePunct w:val="0"/>
              <w:autoSpaceDE/>
              <w:autoSpaceDN/>
              <w:bidi w:val="0"/>
              <w:adjustRightInd/>
              <w:snapToGrid/>
              <w:spacing w:line="360" w:lineRule="atLeast"/>
              <w:ind w:firstLine="421" w:firstLineChars="200"/>
              <w:jc w:val="left"/>
              <w:textAlignment w:val="auto"/>
              <w:outlineLvl w:val="0"/>
              <w:rPr>
                <w:rFonts w:hint="default" w:ascii="Times New Roman" w:hAnsi="Times New Roman" w:eastAsia="宋体" w:cs="Times New Roman"/>
                <w:b/>
                <w:bCs/>
                <w:color w:val="auto"/>
                <w:kern w:val="0"/>
                <w:szCs w:val="21"/>
                <w:highlight w:val="none"/>
                <w:lang w:bidi="ar"/>
              </w:rPr>
            </w:pPr>
            <w:bookmarkStart w:id="480" w:name="_Toc32370"/>
            <w:bookmarkStart w:id="481" w:name="_Toc25325"/>
            <w:bookmarkStart w:id="482" w:name="_Toc14581"/>
            <w:bookmarkStart w:id="483" w:name="_Toc5785"/>
            <w:bookmarkStart w:id="484" w:name="_Toc9831"/>
            <w:bookmarkStart w:id="485" w:name="_Toc29755"/>
            <w:bookmarkStart w:id="486" w:name="_Toc2055"/>
            <w:r>
              <w:rPr>
                <w:rFonts w:hint="default" w:ascii="Times New Roman" w:hAnsi="Times New Roman" w:eastAsia="宋体" w:cs="Times New Roman"/>
                <w:b/>
                <w:bCs/>
                <w:color w:val="auto"/>
                <w:kern w:val="0"/>
                <w:szCs w:val="21"/>
                <w:highlight w:val="none"/>
                <w:lang w:bidi="ar"/>
              </w:rPr>
              <w:t>二、评标价平均值（B）计算方法1</w:t>
            </w:r>
            <w:bookmarkEnd w:id="480"/>
            <w:bookmarkEnd w:id="481"/>
            <w:bookmarkEnd w:id="482"/>
            <w:bookmarkEnd w:id="483"/>
            <w:bookmarkEnd w:id="484"/>
            <w:bookmarkEnd w:id="485"/>
            <w:bookmarkEnd w:id="486"/>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如果所有评标价均低于</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%），则评标价平均值（B）直接为</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）。否则，按以下方式计算评标价平均值（B）：</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1、评标价初始平均值（B1）</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所有参加评标价平均值计算的评标价的算术平均值为评标价初始平均值B1。</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评标价初始平均值（B1）保留七位小数，小数点后第八位</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2、评标价区段平均值（B2）</w:t>
            </w:r>
          </w:p>
          <w:p>
            <w:pPr>
              <w:keepNext w:val="0"/>
              <w:keepLines w:val="0"/>
              <w:pageBreakBefore w:val="0"/>
              <w:widowControl/>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根据下述区段计算评标价区段平均值（</w:t>
            </w:r>
            <w:r>
              <w:rPr>
                <w:rFonts w:hint="default" w:ascii="Times New Roman" w:hAnsi="Times New Roman" w:eastAsia="宋体" w:cs="Times New Roman"/>
                <w:color w:val="auto"/>
                <w:szCs w:val="21"/>
                <w:highlight w:val="none"/>
              </w:rPr>
              <w:t>B2.1、B2.2、……、B2.15、B2.16</w:t>
            </w:r>
            <w:r>
              <w:rPr>
                <w:rFonts w:hint="default" w:ascii="Times New Roman" w:hAnsi="Times New Roman" w:eastAsia="宋体" w:cs="Times New Roman"/>
                <w:color w:val="auto"/>
                <w:kern w:val="0"/>
                <w:szCs w:val="21"/>
                <w:highlight w:val="none"/>
                <w:lang w:bidi="ar"/>
              </w:rPr>
              <w:t>），各区段平均值为该区段内各评标价的算术平均值。如：B2.2为</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1.03*B1（不含）～1.035*B1（含）</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范围内的所有评标价的算术平均值。评标价区段平均值（B2）保留七位小数，小数点后第八位</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46"/>
              <w:gridCol w:w="1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vAlign w:val="center"/>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区段</w:t>
                  </w:r>
                </w:p>
              </w:tc>
              <w:tc>
                <w:tcPr>
                  <w:tcW w:w="1464" w:type="pct"/>
                  <w:vAlign w:val="center"/>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区段平均值（B2）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1.035*B1&lt;评标价</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1.03*B1&lt;评标价≤1.035*B1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536" w:type="pct"/>
                </w:tcPr>
                <w:p>
                  <w:pPr>
                    <w:widowControl/>
                    <w:jc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1.025*B1&lt;评标价≤1.03*B1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1.02*B1&lt;评标价≤1.025*B1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1.015*B1&lt;评标价≤1.02*B1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1.01*B1&lt;评标价≤1.015*B1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1.005*B1&lt;评标价≤1.01*B1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vAlign w:val="center"/>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1.00*B1&lt;评标价≤1.005*B1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vAlign w:val="center"/>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0.995*B1&lt;评标价≤1.00*B1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vAlign w:val="center"/>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0.99*B1&lt;评标价≤0.995*B1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0.985*B1&lt;评标价≤0.99*B1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0.98*B1&lt;评标价≤0.985*B1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0.975*B1&lt;评标价≤0.98*B1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0.97*B1&lt;评标价≤0.975*B1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536" w:type="pct"/>
                </w:tcPr>
                <w:p>
                  <w:pPr>
                    <w:widowControl/>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0.965*B1≤评标价≤0.97*B1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6" w:type="pct"/>
                </w:tcPr>
                <w:p>
                  <w:pPr>
                    <w:widowControl/>
                    <w:jc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评标价&lt;0.965*B1</w:t>
                  </w:r>
                </w:p>
              </w:tc>
              <w:tc>
                <w:tcPr>
                  <w:tcW w:w="1464" w:type="pct"/>
                  <w:vAlign w:val="center"/>
                </w:tcPr>
                <w:p>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1"/>
                      <w:highlight w:val="none"/>
                    </w:rPr>
                    <w:t>B2.16</w:t>
                  </w:r>
                </w:p>
              </w:tc>
            </w:tr>
          </w:tbl>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3、评标价平均值（B）</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（1）按下列公式，将计算得出的区段平均值（</w:t>
            </w:r>
            <w:r>
              <w:rPr>
                <w:rFonts w:hint="default" w:ascii="Times New Roman" w:hAnsi="Times New Roman" w:eastAsia="宋体" w:cs="Times New Roman"/>
                <w:color w:val="auto"/>
                <w:szCs w:val="21"/>
                <w:highlight w:val="none"/>
              </w:rPr>
              <w:t>B2.1、B2.2、……、B2.15、B2.16</w:t>
            </w:r>
            <w:r>
              <w:rPr>
                <w:rFonts w:hint="default" w:ascii="Times New Roman" w:hAnsi="Times New Roman" w:eastAsia="宋体" w:cs="Times New Roman"/>
                <w:color w:val="auto"/>
                <w:kern w:val="0"/>
                <w:szCs w:val="21"/>
                <w:highlight w:val="none"/>
                <w:lang w:bidi="ar"/>
              </w:rPr>
              <w:t>）进行加权平均（B2.1和B2.16权重为0.1，B2.2和B2.15权重为0.3，B2.3和B2.14权重为0.5，其余权重为1.0），得出评标价平均值（B）。评标价平均值（B）保留七位小数，小数点后第八位</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w:t>
            </w:r>
          </w:p>
          <w:p>
            <w:pPr>
              <w:keepNext w:val="0"/>
              <w:keepLines w:val="0"/>
              <w:pageBreakBefore w:val="0"/>
              <w:widowControl/>
              <w:kinsoku/>
              <w:wordWrap w:val="0"/>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B=[0.1*</w:t>
            </w:r>
            <w:r>
              <w:rPr>
                <w:rFonts w:hint="default" w:ascii="Times New Roman" w:hAnsi="Times New Roman" w:eastAsia="宋体" w:cs="Times New Roman"/>
                <w:color w:val="auto"/>
                <w:szCs w:val="21"/>
                <w:highlight w:val="none"/>
              </w:rPr>
              <w:t>B2.1</w:t>
            </w:r>
            <w:r>
              <w:rPr>
                <w:rFonts w:hint="default" w:ascii="Times New Roman" w:hAnsi="Times New Roman" w:eastAsia="宋体" w:cs="Times New Roman"/>
                <w:color w:val="auto"/>
                <w:kern w:val="0"/>
                <w:szCs w:val="21"/>
                <w:highlight w:val="none"/>
                <w:lang w:bidi="ar"/>
              </w:rPr>
              <w:t>+0.3*</w:t>
            </w:r>
            <w:r>
              <w:rPr>
                <w:rFonts w:hint="default" w:ascii="Times New Roman" w:hAnsi="Times New Roman" w:eastAsia="宋体" w:cs="Times New Roman"/>
                <w:color w:val="auto"/>
                <w:szCs w:val="21"/>
                <w:highlight w:val="none"/>
              </w:rPr>
              <w:t>B2.2</w:t>
            </w:r>
            <w:r>
              <w:rPr>
                <w:rFonts w:hint="default" w:ascii="Times New Roman" w:hAnsi="Times New Roman" w:eastAsia="宋体" w:cs="Times New Roman"/>
                <w:color w:val="auto"/>
                <w:kern w:val="0"/>
                <w:szCs w:val="21"/>
                <w:highlight w:val="none"/>
                <w:lang w:bidi="ar"/>
              </w:rPr>
              <w:t>+0.5*</w:t>
            </w:r>
            <w:r>
              <w:rPr>
                <w:rFonts w:hint="default" w:ascii="Times New Roman" w:hAnsi="Times New Roman" w:eastAsia="宋体" w:cs="Times New Roman"/>
                <w:color w:val="auto"/>
                <w:szCs w:val="21"/>
                <w:highlight w:val="none"/>
              </w:rPr>
              <w:t>B2.3</w:t>
            </w:r>
            <w:r>
              <w:rPr>
                <w:rFonts w:hint="default" w:ascii="Times New Roman" w:hAnsi="Times New Roman" w:eastAsia="宋体" w:cs="Times New Roman"/>
                <w:color w:val="auto"/>
                <w:kern w:val="0"/>
                <w:szCs w:val="21"/>
                <w:highlight w:val="none"/>
                <w:lang w:bidi="ar"/>
              </w:rPr>
              <w:t>+1.0*（</w:t>
            </w:r>
            <w:r>
              <w:rPr>
                <w:rFonts w:hint="default" w:ascii="Times New Roman" w:hAnsi="Times New Roman" w:eastAsia="宋体" w:cs="Times New Roman"/>
                <w:color w:val="auto"/>
                <w:szCs w:val="21"/>
                <w:highlight w:val="none"/>
              </w:rPr>
              <w:t>B2.4+B2.5+……+B2.12+B2.13</w:t>
            </w:r>
            <w:r>
              <w:rPr>
                <w:rFonts w:hint="default" w:ascii="Times New Roman" w:hAnsi="Times New Roman" w:eastAsia="宋体" w:cs="Times New Roman"/>
                <w:color w:val="auto"/>
                <w:kern w:val="0"/>
                <w:szCs w:val="21"/>
                <w:highlight w:val="none"/>
                <w:lang w:bidi="ar"/>
              </w:rPr>
              <w:t>）+0.5*</w:t>
            </w:r>
            <w:r>
              <w:rPr>
                <w:rFonts w:hint="default" w:ascii="Times New Roman" w:hAnsi="Times New Roman" w:eastAsia="宋体" w:cs="Times New Roman"/>
                <w:color w:val="auto"/>
                <w:szCs w:val="21"/>
                <w:highlight w:val="none"/>
              </w:rPr>
              <w:t>B2.14+</w:t>
            </w:r>
            <w:r>
              <w:rPr>
                <w:rFonts w:hint="default" w:ascii="Times New Roman" w:hAnsi="Times New Roman" w:eastAsia="宋体" w:cs="Times New Roman"/>
                <w:color w:val="auto"/>
                <w:kern w:val="0"/>
                <w:szCs w:val="21"/>
                <w:highlight w:val="none"/>
                <w:lang w:bidi="ar"/>
              </w:rPr>
              <w:t>0.3*</w:t>
            </w:r>
            <w:r>
              <w:rPr>
                <w:rFonts w:hint="default" w:ascii="Times New Roman" w:hAnsi="Times New Roman" w:eastAsia="宋体" w:cs="Times New Roman"/>
                <w:color w:val="auto"/>
                <w:szCs w:val="21"/>
                <w:highlight w:val="none"/>
              </w:rPr>
              <w:t>B2.15+0.1*B2.16</w:t>
            </w:r>
            <w:r>
              <w:rPr>
                <w:rFonts w:hint="default" w:ascii="Times New Roman" w:hAnsi="Times New Roman" w:eastAsia="宋体" w:cs="Times New Roman"/>
                <w:color w:val="auto"/>
                <w:kern w:val="0"/>
                <w:szCs w:val="21"/>
                <w:highlight w:val="none"/>
                <w:lang w:bidi="ar"/>
              </w:rPr>
              <w:t>]/[0.1+0.3+0.5+1.0+1.0+1.0+1.0+1.0+1.0+1.0+1.0+1.0+1.0+0.5+0.3+0.1]。</w:t>
            </w:r>
          </w:p>
          <w:p>
            <w:pPr>
              <w:keepNext w:val="0"/>
              <w:keepLines w:val="0"/>
              <w:pageBreakBefore w:val="0"/>
              <w:widowControl/>
              <w:kinsoku/>
              <w:wordWrap w:val="0"/>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（2）如果某区段无区段平均值，则该区段不计区段平均值。如：无B2.1、B2.3、B2.9、B2.15等区段平均值，即B2.1、B2.3、B2.9、B2.15以及其权重均等于0，则评标价平均值B=[0.0*0.0+0.3*</w:t>
            </w:r>
            <w:r>
              <w:rPr>
                <w:rFonts w:hint="default" w:ascii="Times New Roman" w:hAnsi="Times New Roman" w:eastAsia="宋体" w:cs="Times New Roman"/>
                <w:color w:val="auto"/>
                <w:szCs w:val="21"/>
                <w:highlight w:val="none"/>
              </w:rPr>
              <w:t>B2.2+</w:t>
            </w:r>
            <w:r>
              <w:rPr>
                <w:rFonts w:hint="default" w:ascii="Times New Roman" w:hAnsi="Times New Roman" w:eastAsia="宋体" w:cs="Times New Roman"/>
                <w:color w:val="auto"/>
                <w:kern w:val="0"/>
                <w:szCs w:val="21"/>
                <w:highlight w:val="none"/>
                <w:lang w:bidi="ar"/>
              </w:rPr>
              <w:t>0.0*0.0+1.0*（</w:t>
            </w:r>
            <w:r>
              <w:rPr>
                <w:rFonts w:hint="default" w:ascii="Times New Roman" w:hAnsi="Times New Roman" w:eastAsia="宋体" w:cs="Times New Roman"/>
                <w:color w:val="auto"/>
                <w:szCs w:val="21"/>
                <w:highlight w:val="none"/>
              </w:rPr>
              <w:t>B2.4+B2.5+……+B2.8+</w:t>
            </w:r>
            <w:r>
              <w:rPr>
                <w:rFonts w:hint="default" w:ascii="Times New Roman" w:hAnsi="Times New Roman" w:eastAsia="宋体" w:cs="Times New Roman"/>
                <w:color w:val="auto"/>
                <w:kern w:val="0"/>
                <w:szCs w:val="21"/>
                <w:highlight w:val="none"/>
                <w:lang w:bidi="ar"/>
              </w:rPr>
              <w:t>0.0+</w:t>
            </w:r>
            <w:r>
              <w:rPr>
                <w:rFonts w:hint="default" w:ascii="Times New Roman" w:hAnsi="Times New Roman" w:eastAsia="宋体" w:cs="Times New Roman"/>
                <w:color w:val="auto"/>
                <w:szCs w:val="21"/>
                <w:highlight w:val="none"/>
              </w:rPr>
              <w:t>B2.10+……B2.12+B2.13</w:t>
            </w:r>
            <w:r>
              <w:rPr>
                <w:rFonts w:hint="default" w:ascii="Times New Roman" w:hAnsi="Times New Roman" w:eastAsia="宋体" w:cs="Times New Roman"/>
                <w:color w:val="auto"/>
                <w:kern w:val="0"/>
                <w:szCs w:val="21"/>
                <w:highlight w:val="none"/>
                <w:lang w:bidi="ar"/>
              </w:rPr>
              <w:t>）+0.5*</w:t>
            </w:r>
            <w:r>
              <w:rPr>
                <w:rFonts w:hint="default" w:ascii="Times New Roman" w:hAnsi="Times New Roman" w:eastAsia="宋体" w:cs="Times New Roman"/>
                <w:color w:val="auto"/>
                <w:szCs w:val="21"/>
                <w:highlight w:val="none"/>
              </w:rPr>
              <w:t>B2.14+</w:t>
            </w:r>
            <w:r>
              <w:rPr>
                <w:rFonts w:hint="default" w:ascii="Times New Roman" w:hAnsi="Times New Roman" w:eastAsia="宋体" w:cs="Times New Roman"/>
                <w:color w:val="auto"/>
                <w:kern w:val="0"/>
                <w:szCs w:val="21"/>
                <w:highlight w:val="none"/>
                <w:lang w:bidi="ar"/>
              </w:rPr>
              <w:t>0.0*0.0+</w:t>
            </w:r>
            <w:r>
              <w:rPr>
                <w:rFonts w:hint="default" w:ascii="Times New Roman" w:hAnsi="Times New Roman" w:eastAsia="宋体" w:cs="Times New Roman"/>
                <w:color w:val="auto"/>
                <w:szCs w:val="21"/>
                <w:highlight w:val="none"/>
              </w:rPr>
              <w:t>0.1*B2.16</w:t>
            </w:r>
            <w:r>
              <w:rPr>
                <w:rFonts w:hint="default" w:ascii="Times New Roman" w:hAnsi="Times New Roman" w:eastAsia="宋体" w:cs="Times New Roman"/>
                <w:color w:val="auto"/>
                <w:kern w:val="0"/>
                <w:szCs w:val="21"/>
                <w:highlight w:val="none"/>
                <w:lang w:bidi="ar"/>
              </w:rPr>
              <w:t>]/[0.0+0.3+0.0+1.0+1.0+1.0+1.0+1.0+0.0+1.0+1.0+1.0+1.0+0.5+0.0+0.1]。</w:t>
            </w:r>
          </w:p>
          <w:p>
            <w:pPr>
              <w:keepNext w:val="0"/>
              <w:keepLines w:val="0"/>
              <w:pageBreakBefore w:val="0"/>
              <w:widowControl/>
              <w:kinsoku/>
              <w:wordWrap/>
              <w:overflowPunct/>
              <w:topLinePunct w:val="0"/>
              <w:autoSpaceDE/>
              <w:autoSpaceDN/>
              <w:bidi w:val="0"/>
              <w:adjustRightInd/>
              <w:snapToGrid/>
              <w:spacing w:line="360" w:lineRule="atLeast"/>
              <w:ind w:firstLine="421" w:firstLineChars="200"/>
              <w:jc w:val="left"/>
              <w:textAlignment w:val="auto"/>
              <w:outlineLvl w:val="0"/>
              <w:rPr>
                <w:rFonts w:hint="default" w:ascii="Times New Roman" w:hAnsi="Times New Roman" w:eastAsia="宋体" w:cs="Times New Roman"/>
                <w:b/>
                <w:bCs/>
                <w:color w:val="auto"/>
                <w:kern w:val="0"/>
                <w:szCs w:val="21"/>
                <w:highlight w:val="none"/>
                <w:lang w:bidi="ar"/>
              </w:rPr>
            </w:pPr>
            <w:bookmarkStart w:id="487" w:name="_Toc5830"/>
            <w:bookmarkStart w:id="488" w:name="_Toc17555"/>
            <w:bookmarkStart w:id="489" w:name="_Toc10183"/>
            <w:bookmarkStart w:id="490" w:name="_Toc11783"/>
            <w:bookmarkStart w:id="491" w:name="_Toc23129"/>
            <w:bookmarkStart w:id="492" w:name="_Toc20399"/>
            <w:bookmarkStart w:id="493" w:name="_Toc15847"/>
            <w:r>
              <w:rPr>
                <w:rFonts w:hint="default" w:ascii="Times New Roman" w:hAnsi="Times New Roman" w:eastAsia="宋体" w:cs="Times New Roman"/>
                <w:b/>
                <w:bCs/>
                <w:color w:val="auto"/>
                <w:kern w:val="0"/>
                <w:szCs w:val="21"/>
                <w:highlight w:val="none"/>
                <w:lang w:bidi="ar"/>
              </w:rPr>
              <w:t>三、评标价平均值（B）计算方法2</w:t>
            </w:r>
            <w:bookmarkEnd w:id="487"/>
            <w:bookmarkEnd w:id="488"/>
            <w:bookmarkEnd w:id="489"/>
            <w:bookmarkEnd w:id="490"/>
            <w:bookmarkEnd w:id="491"/>
            <w:bookmarkEnd w:id="492"/>
            <w:bookmarkEnd w:id="493"/>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根据所有参加评标价平均值计算的评标价（个数用P表示）计算评标价平均值（B）。C为招标人设定的最高投标限价。评标价平均值保留七位小数，小数点后第八位</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1、当P=0时，即所有评标价均低于</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%），则评标价平均值（B）直接为</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2、当0＜P≤5时，评标价平均值（B）为P个评标价的算术平均值。</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3、当6≤P≤9时，在P个评标价中，去掉1个最高值和1个最低值后的其余评标价的算术平均值为评标价平均值（B）。</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4、当P≥10时，在P个评标价中，去掉P1个最高值和P2个最低值后的其余评标价的算术平均值为评标价平均值（B）。</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P1=Q1，P2=Q2。Q1、Q2是在取值区间（1～Q）中随机抽取的两个数值，较大的数值为Q1，较小的数值为Q2。Q=INT（P/5），即Q为（P/5）向下取整。</w:t>
            </w:r>
          </w:p>
          <w:p>
            <w:pPr>
              <w:keepNext w:val="0"/>
              <w:keepLines w:val="0"/>
              <w:pageBreakBefore w:val="0"/>
              <w:widowControl/>
              <w:kinsoku/>
              <w:wordWrap/>
              <w:overflowPunct/>
              <w:topLinePunct w:val="0"/>
              <w:autoSpaceDE/>
              <w:autoSpaceDN/>
              <w:bidi w:val="0"/>
              <w:adjustRightInd/>
              <w:snapToGrid/>
              <w:spacing w:line="360" w:lineRule="atLeast"/>
              <w:ind w:firstLine="421" w:firstLineChars="200"/>
              <w:jc w:val="left"/>
              <w:textAlignment w:val="auto"/>
              <w:outlineLvl w:val="0"/>
              <w:rPr>
                <w:rFonts w:hint="default" w:ascii="Times New Roman" w:hAnsi="Times New Roman" w:eastAsia="宋体" w:cs="Times New Roman"/>
                <w:b/>
                <w:bCs/>
                <w:color w:val="auto"/>
                <w:kern w:val="0"/>
                <w:szCs w:val="21"/>
                <w:highlight w:val="none"/>
                <w:lang w:bidi="ar"/>
              </w:rPr>
            </w:pPr>
            <w:bookmarkStart w:id="494" w:name="_Toc24276"/>
            <w:bookmarkStart w:id="495" w:name="_Toc29773"/>
            <w:bookmarkStart w:id="496" w:name="_Toc29136"/>
            <w:bookmarkStart w:id="497" w:name="_Toc21884"/>
            <w:bookmarkStart w:id="498" w:name="_Toc28336"/>
            <w:bookmarkStart w:id="499" w:name="_Toc15943"/>
            <w:bookmarkStart w:id="500" w:name="_Toc21378"/>
            <w:r>
              <w:rPr>
                <w:rFonts w:hint="default" w:ascii="Times New Roman" w:hAnsi="Times New Roman" w:eastAsia="宋体" w:cs="Times New Roman"/>
                <w:b/>
                <w:bCs/>
                <w:color w:val="auto"/>
                <w:kern w:val="0"/>
                <w:szCs w:val="21"/>
                <w:highlight w:val="none"/>
                <w:lang w:bidi="ar"/>
              </w:rPr>
              <w:t>四、评标价平均值（B）计算方法3</w:t>
            </w:r>
            <w:bookmarkEnd w:id="494"/>
            <w:bookmarkEnd w:id="495"/>
            <w:bookmarkEnd w:id="496"/>
            <w:bookmarkEnd w:id="497"/>
            <w:bookmarkEnd w:id="498"/>
            <w:bookmarkEnd w:id="499"/>
            <w:bookmarkEnd w:id="500"/>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根据所有参加评标价平均值计算的评标价（个数用P表示）计算评标价平均值（B）。C为招标人设定的最高投标限价。评标价平均值保留七位小数，小数点后第八位</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1、当P=0时，即所有评标价均低于</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%），则评标价平均值（B）直接为</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2、当0＜P≤5时，评标价平均值（B）为P个评标价的算术平均值。</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3、当P=6或7时，在P个评标价中，去掉1个最高值和1个最低值后的其余评标价的算术平均值为评标价平均值（B）。</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4、当P≥8时</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（1）首先，在P个评标价中，去掉P1个最高值和P2个最低值。</w:t>
            </w:r>
          </w:p>
          <w:p>
            <w:pPr>
              <w:widowControl/>
              <w:spacing w:line="360" w:lineRule="exact"/>
              <w:ind w:firstLine="420" w:firstLineChars="200"/>
              <w:jc w:val="left"/>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①当P=8或9时，P1=P2=1；</w:t>
            </w:r>
          </w:p>
          <w:p>
            <w:pPr>
              <w:widowControl/>
              <w:spacing w:line="360" w:lineRule="exact"/>
              <w:ind w:firstLine="420" w:firstLineChars="200"/>
              <w:jc w:val="left"/>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②当P=10或11或12或13或14时，P1=2，P2=1；</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cs="Times New Roman"/>
                <w:color w:val="auto"/>
                <w:kern w:val="0"/>
                <w:szCs w:val="21"/>
                <w:highlight w:val="none"/>
                <w:lang w:bidi="ar"/>
              </w:rPr>
              <w:t>③当P≥15时，</w:t>
            </w:r>
            <w:r>
              <w:rPr>
                <w:rFonts w:hint="default" w:ascii="Times New Roman" w:hAnsi="Times New Roman" w:eastAsia="宋体" w:cs="Times New Roman"/>
                <w:color w:val="auto"/>
                <w:kern w:val="0"/>
                <w:szCs w:val="21"/>
                <w:highlight w:val="none"/>
                <w:lang w:bidi="ar"/>
              </w:rPr>
              <w:t>P1=Q1，P2=Q2。Q1、Q2是在取值区间（1～Q）中随机抽取的两个数值，较大的数值为Q1，较小的数值为Q2。Q=INT（P/5），即Q为（P/5）向下取整且最小为1。</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（2）然后，将其余评标价由低到高排列，对排列第（1、1+R、1+2R、……、1+SR）</w:t>
            </w:r>
            <w:r>
              <w:rPr>
                <w:rFonts w:hint="default" w:ascii="Times New Roman" w:hAnsi="Times New Roman" w:eastAsia="宋体" w:cs="Times New Roman"/>
                <w:color w:val="auto"/>
                <w:highlight w:val="none"/>
              </w:rPr>
              <w:t>的评标价进行算术平均，该算术平均值为</w:t>
            </w:r>
            <w:r>
              <w:rPr>
                <w:rFonts w:hint="default" w:ascii="Times New Roman" w:hAnsi="Times New Roman" w:eastAsia="宋体" w:cs="Times New Roman"/>
                <w:color w:val="auto"/>
                <w:kern w:val="0"/>
                <w:szCs w:val="21"/>
                <w:highlight w:val="none"/>
                <w:lang w:bidi="ar"/>
              </w:rPr>
              <w:t>评标价平均值（B）。</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R为随机步距，在开标现场随机抽取，取值范围为3、4、5。</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S为步距个数，S=INT[（P-P1-P2-1）/R]，即S为[（P-P1-P2-1）/R]向下取整。</w:t>
            </w:r>
          </w:p>
          <w:p>
            <w:pPr>
              <w:keepNext w:val="0"/>
              <w:keepLines w:val="0"/>
              <w:pageBreakBefore w:val="0"/>
              <w:widowControl/>
              <w:kinsoku/>
              <w:wordWrap/>
              <w:overflowPunct/>
              <w:topLinePunct w:val="0"/>
              <w:autoSpaceDE/>
              <w:autoSpaceDN/>
              <w:bidi w:val="0"/>
              <w:adjustRightInd/>
              <w:snapToGrid/>
              <w:spacing w:line="360" w:lineRule="atLeast"/>
              <w:ind w:firstLine="421" w:firstLineChars="200"/>
              <w:jc w:val="left"/>
              <w:textAlignment w:val="auto"/>
              <w:outlineLvl w:val="0"/>
              <w:rPr>
                <w:rFonts w:hint="default" w:ascii="Times New Roman" w:hAnsi="Times New Roman" w:eastAsia="宋体" w:cs="Times New Roman"/>
                <w:b/>
                <w:bCs/>
                <w:color w:val="auto"/>
                <w:kern w:val="0"/>
                <w:szCs w:val="21"/>
                <w:highlight w:val="none"/>
                <w:lang w:bidi="ar"/>
              </w:rPr>
            </w:pPr>
            <w:bookmarkStart w:id="501" w:name="_Toc6234"/>
            <w:bookmarkStart w:id="502" w:name="_Toc6982"/>
            <w:bookmarkStart w:id="503" w:name="_Toc24804"/>
            <w:bookmarkStart w:id="504" w:name="_Toc26387"/>
            <w:bookmarkStart w:id="505" w:name="_Toc10256"/>
            <w:bookmarkStart w:id="506" w:name="_Toc28120"/>
            <w:bookmarkStart w:id="507" w:name="_Toc21074"/>
            <w:r>
              <w:rPr>
                <w:rFonts w:hint="default" w:ascii="Times New Roman" w:hAnsi="Times New Roman" w:eastAsia="宋体" w:cs="Times New Roman"/>
                <w:b/>
                <w:bCs/>
                <w:color w:val="auto"/>
                <w:kern w:val="0"/>
                <w:szCs w:val="21"/>
                <w:highlight w:val="none"/>
                <w:lang w:bidi="ar"/>
              </w:rPr>
              <w:t>五、评标基准价（D）</w:t>
            </w:r>
            <w:bookmarkEnd w:id="501"/>
            <w:bookmarkEnd w:id="502"/>
            <w:bookmarkEnd w:id="503"/>
            <w:bookmarkEnd w:id="504"/>
            <w:bookmarkEnd w:id="505"/>
            <w:bookmarkEnd w:id="506"/>
            <w:bookmarkEnd w:id="507"/>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D=[C*K+B*（1-K）]*[（100-Z）/100]，保留七位小数，小数点后第八位</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default" w:ascii="Times New Roman" w:hAnsi="Times New Roman" w:eastAsia="宋体" w:cs="Times New Roman"/>
                <w:color w:val="auto"/>
                <w:kern w:val="0"/>
                <w:szCs w:val="21"/>
                <w:highlight w:val="none"/>
                <w:lang w:bidi="ar"/>
              </w:rPr>
              <w:t>。</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式中：</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1、C为招标人设定的最高投标限价，B为评标价平均值。</w:t>
            </w:r>
          </w:p>
          <w:p>
            <w:pPr>
              <w:keepNext w:val="0"/>
              <w:keepLines w:val="0"/>
              <w:pageBreakBefore w:val="0"/>
              <w:widowControl/>
              <w:kinsoku/>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2、K为</w:t>
            </w:r>
            <w:r>
              <w:rPr>
                <w:rFonts w:hint="default" w:ascii="Times New Roman" w:hAnsi="Times New Roman" w:eastAsia="宋体" w:cs="Times New Roman"/>
                <w:color w:val="auto"/>
                <w:highlight w:val="none"/>
              </w:rPr>
              <w:t>权重系数，K=[（K1/10）+K2]/10。各标段的K1在开标现场从0、1、2、3、4、5、6、7、8、9等10个系数中随机抽取。各标段的K2在开标现场从0、0.5、1等3个系数中随机抽取。</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eastAsia="宋体" w:cs="Times New Roman"/>
                <w:color w:val="auto"/>
                <w:kern w:val="0"/>
                <w:szCs w:val="21"/>
                <w:highlight w:val="none"/>
                <w:lang w:bidi="ar"/>
              </w:rPr>
              <w:t>3、Z为下浮系数，各标段的Z</w:t>
            </w:r>
            <w:r>
              <w:rPr>
                <w:rFonts w:hint="default" w:ascii="Times New Roman" w:hAnsi="Times New Roman" w:eastAsia="宋体" w:cs="Times New Roman"/>
                <w:color w:val="auto"/>
                <w:szCs w:val="21"/>
                <w:highlight w:val="none"/>
              </w:rPr>
              <w:t>在开标现场</w:t>
            </w:r>
            <w:r>
              <w:rPr>
                <w:rFonts w:hint="default" w:ascii="Times New Roman" w:hAnsi="Times New Roman" w:eastAsia="宋体" w:cs="Times New Roman"/>
                <w:color w:val="auto"/>
                <w:kern w:val="0"/>
                <w:szCs w:val="21"/>
                <w:highlight w:val="none"/>
                <w:lang w:bidi="ar"/>
              </w:rPr>
              <w:t>均从0%、0.1%、0.2%、0.3%、0.4%、0.5%、0.6%、0.7%、0.8%、0.9%、1.0%、1.1%、1.2%、1.3%、1.4%、1.5%、1.6%、1.7%、1.8%、1.9%、2%等21个系数中随机抽取</w:t>
            </w:r>
            <w:r>
              <w:rPr>
                <w:rFonts w:hint="default" w:ascii="Times New Roman" w:hAnsi="Times New Roman" w:eastAsia="宋体" w:cs="Times New Roman"/>
                <w:color w:val="auto"/>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2.2.3</w:t>
            </w:r>
          </w:p>
        </w:tc>
        <w:tc>
          <w:tcPr>
            <w:tcW w:w="1505"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评标价的偏差率计算公式</w:t>
            </w:r>
          </w:p>
        </w:tc>
        <w:tc>
          <w:tcPr>
            <w:tcW w:w="5099"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偏差率=100% ×（投标人评标价－评标基准价）/评标基准价</w:t>
            </w:r>
          </w:p>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偏差率保留</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位小数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条款号</w:t>
            </w:r>
          </w:p>
        </w:tc>
        <w:tc>
          <w:tcPr>
            <w:tcW w:w="1505"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评分因素</w:t>
            </w:r>
          </w:p>
        </w:tc>
        <w:tc>
          <w:tcPr>
            <w:tcW w:w="5099"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w:t>
            </w:r>
          </w:p>
        </w:tc>
        <w:tc>
          <w:tcPr>
            <w:tcW w:w="1505"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w:t>
            </w:r>
          </w:p>
        </w:tc>
        <w:tc>
          <w:tcPr>
            <w:tcW w:w="5099" w:type="dxa"/>
            <w:tcBorders>
              <w:top w:val="single" w:color="auto" w:sz="4" w:space="0"/>
              <w:left w:val="single" w:color="auto" w:sz="4" w:space="0"/>
              <w:right w:val="single" w:color="auto" w:sz="4" w:space="0"/>
            </w:tcBorders>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100分</w:t>
            </w:r>
          </w:p>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评标价得分计算公式示例：</w:t>
            </w:r>
          </w:p>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（1）如果投标人的评标价&gt;评标基准价，则评标价得分＝100－偏差率×100×</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w:t>
            </w:r>
          </w:p>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（2）如果投标人的评标价≤评标基准价，则评标价得分＝100＋偏差率×100×</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40" w:type="dxa"/>
            <w:gridSpan w:val="5"/>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需要补充的其他内容：</w:t>
            </w:r>
          </w:p>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pPr>
        <w:pStyle w:val="2"/>
        <w:pageBreakBefore w:val="0"/>
        <w:kinsoku/>
        <w:wordWrap w:val="0"/>
        <w:bidi w:val="0"/>
        <w:spacing w:before="240" w:after="240" w:line="240" w:lineRule="atLeast"/>
        <w:outlineLvl w:val="1"/>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sz w:val="20"/>
          <w:szCs w:val="20"/>
          <w:highlight w:val="none"/>
        </w:rPr>
        <w:br w:type="page"/>
      </w:r>
      <w:bookmarkStart w:id="508" w:name="_Toc11729"/>
      <w:bookmarkStart w:id="509" w:name="_Toc5576"/>
      <w:bookmarkStart w:id="510" w:name="_Toc15841"/>
      <w:bookmarkStart w:id="511" w:name="_Toc24296"/>
      <w:bookmarkStart w:id="512" w:name="_Toc234832933"/>
      <w:r>
        <w:rPr>
          <w:rFonts w:hint="default" w:ascii="Times New Roman" w:hAnsi="Times New Roman" w:eastAsia="黑体" w:cs="Times New Roman"/>
          <w:b w:val="0"/>
          <w:color w:val="auto"/>
          <w:sz w:val="28"/>
          <w:szCs w:val="28"/>
          <w:highlight w:val="none"/>
        </w:rPr>
        <w:t>1. 评标方法</w:t>
      </w:r>
      <w:bookmarkEnd w:id="508"/>
      <w:bookmarkEnd w:id="509"/>
      <w:bookmarkEnd w:id="510"/>
      <w:bookmarkEnd w:id="511"/>
      <w:bookmarkEnd w:id="512"/>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华文隶书" w:cs="Times New Roman"/>
          <w:color w:val="auto"/>
          <w:sz w:val="24"/>
          <w:highlight w:val="none"/>
        </w:rPr>
      </w:pPr>
      <w:r>
        <w:rPr>
          <w:rFonts w:hint="default" w:ascii="Times New Roman" w:hAnsi="Times New Roman" w:eastAsia="宋体" w:cs="Times New Roman"/>
          <w:color w:val="auto"/>
          <w:sz w:val="24"/>
          <w:highlight w:val="none"/>
        </w:rPr>
        <w:t>本次评标采用合理低价法。评标委员会对满足招标文件实质性要求的投标文件，按照本章第2.2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513" w:name="_Toc234832934"/>
      <w:bookmarkStart w:id="514" w:name="_Toc6158"/>
      <w:bookmarkStart w:id="515" w:name="_Toc16126"/>
      <w:bookmarkStart w:id="516" w:name="_Toc21073"/>
      <w:bookmarkStart w:id="517" w:name="_Toc24564"/>
      <w:r>
        <w:rPr>
          <w:rFonts w:hint="default" w:ascii="Times New Roman" w:hAnsi="Times New Roman" w:eastAsia="黑体" w:cs="Times New Roman"/>
          <w:b w:val="0"/>
          <w:color w:val="auto"/>
          <w:sz w:val="28"/>
          <w:szCs w:val="28"/>
          <w:highlight w:val="none"/>
        </w:rPr>
        <w:t>2. 评审标准</w:t>
      </w:r>
      <w:bookmarkEnd w:id="513"/>
      <w:bookmarkEnd w:id="514"/>
      <w:bookmarkEnd w:id="515"/>
      <w:bookmarkEnd w:id="516"/>
      <w:bookmarkEnd w:id="517"/>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18" w:name="_Toc25214"/>
      <w:bookmarkStart w:id="519" w:name="_Toc234832935"/>
      <w:r>
        <w:rPr>
          <w:rFonts w:hint="default" w:ascii="Times New Roman" w:hAnsi="Times New Roman" w:eastAsia="黑体" w:cs="Times New Roman"/>
          <w:b w:val="0"/>
          <w:color w:val="auto"/>
          <w:sz w:val="24"/>
          <w:szCs w:val="24"/>
          <w:highlight w:val="none"/>
        </w:rPr>
        <w:t>2.1 初步评审标准</w:t>
      </w:r>
      <w:bookmarkEnd w:id="518"/>
      <w:bookmarkEnd w:id="519"/>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 形式评审标准：见评标办法前附表。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 资格评审标准：见评标办法前附表。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 响应性评审标准：见评标办法前附表。</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20" w:name="_Toc234832936"/>
      <w:bookmarkStart w:id="521" w:name="_Toc30233"/>
      <w:r>
        <w:rPr>
          <w:rFonts w:hint="default" w:ascii="Times New Roman" w:hAnsi="Times New Roman" w:eastAsia="黑体" w:cs="Times New Roman"/>
          <w:b w:val="0"/>
          <w:color w:val="auto"/>
          <w:sz w:val="24"/>
          <w:szCs w:val="24"/>
          <w:highlight w:val="none"/>
        </w:rPr>
        <w:t>2.2 分值构成与评分标准</w:t>
      </w:r>
      <w:bookmarkEnd w:id="520"/>
      <w:bookmarkEnd w:id="521"/>
    </w:p>
    <w:p>
      <w:pPr>
        <w:pageBreakBefore w:val="0"/>
        <w:tabs>
          <w:tab w:val="left" w:pos="360"/>
        </w:tabs>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2.2.1 分值构成</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评标价：见评标办法前附表。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2.2.2 评标基准价计算</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评标基准价计算方法：见评标办法前附表。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2.2.3 评标价的偏差率计算</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评标价的偏差率计算公式：见评标办法前附表。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2.2.4 评分标准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评标价评分标准：见评标办法前附表。</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522" w:name="_Toc30565"/>
      <w:bookmarkStart w:id="523" w:name="_Toc1333"/>
      <w:bookmarkStart w:id="524" w:name="_Toc9915"/>
      <w:bookmarkStart w:id="525" w:name="_Toc25836"/>
      <w:bookmarkStart w:id="526" w:name="_Toc234832937"/>
      <w:r>
        <w:rPr>
          <w:rFonts w:hint="default" w:ascii="Times New Roman" w:hAnsi="Times New Roman" w:eastAsia="黑体" w:cs="Times New Roman"/>
          <w:b w:val="0"/>
          <w:color w:val="auto"/>
          <w:sz w:val="28"/>
          <w:szCs w:val="28"/>
          <w:highlight w:val="none"/>
        </w:rPr>
        <w:t>3. 评标程序</w:t>
      </w:r>
      <w:bookmarkEnd w:id="522"/>
      <w:bookmarkEnd w:id="523"/>
      <w:bookmarkEnd w:id="524"/>
      <w:bookmarkEnd w:id="525"/>
      <w:bookmarkEnd w:id="526"/>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27" w:name="_Toc23507"/>
      <w:bookmarkStart w:id="528" w:name="_Toc234832938"/>
      <w:r>
        <w:rPr>
          <w:rFonts w:hint="default" w:ascii="Times New Roman" w:hAnsi="Times New Roman" w:eastAsia="黑体" w:cs="Times New Roman"/>
          <w:b w:val="0"/>
          <w:color w:val="auto"/>
          <w:sz w:val="24"/>
          <w:szCs w:val="24"/>
          <w:highlight w:val="none"/>
        </w:rPr>
        <w:t>3.1</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第一个信封初步评审</w:t>
      </w:r>
      <w:bookmarkEnd w:id="527"/>
      <w:bookmarkEnd w:id="528"/>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评标委员会依据本章第2.1款规定的评审标准对投标文件第一个信封（商务及技术文件）进行初步评审。有一项不符合评审标准的，评标委员会应否决其投标。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投标文件的标的、质量标准、工期等实质性要求和条件不得出现（存在）不利于招标人的偏差，否则，评标委员会应否决其投标。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29" w:name="_Toc24453"/>
      <w:r>
        <w:rPr>
          <w:rFonts w:hint="default" w:ascii="Times New Roman" w:hAnsi="Times New Roman" w:eastAsia="黑体" w:cs="Times New Roman"/>
          <w:b w:val="0"/>
          <w:color w:val="auto"/>
          <w:sz w:val="24"/>
          <w:szCs w:val="24"/>
          <w:highlight w:val="none"/>
        </w:rPr>
        <w:t>3.2</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第二个信封开标</w:t>
      </w:r>
      <w:bookmarkEnd w:id="529"/>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第一个信封（商务及技术文件）评审结束后，招标人将按照第二章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第5.1款规定的时间和地点对通过投标文件第一个信封（商务及技术文件）评审的投标文件第二个信封（报价文件）进行开标。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30" w:name="_Toc17326"/>
      <w:r>
        <w:rPr>
          <w:rFonts w:hint="default" w:ascii="Times New Roman" w:hAnsi="Times New Roman" w:eastAsia="黑体" w:cs="Times New Roman"/>
          <w:b w:val="0"/>
          <w:color w:val="auto"/>
          <w:sz w:val="24"/>
          <w:szCs w:val="24"/>
          <w:highlight w:val="none"/>
        </w:rPr>
        <w:t>3.3</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第二个信封初步评审</w:t>
      </w:r>
      <w:bookmarkEnd w:id="530"/>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3</w:t>
      </w:r>
      <w:r>
        <w:rPr>
          <w:rFonts w:hint="default" w:ascii="Times New Roman" w:hAnsi="Times New Roman" w:eastAsia="宋体" w:cs="Times New Roman"/>
          <w:color w:val="auto"/>
          <w:sz w:val="24"/>
          <w:highlight w:val="none"/>
        </w:rPr>
        <w:t>.1 评标委员会依据本章第2.1.1项、第2.1.3项规定的评审标准对投标文件第二个信封（报价文件）进行初步评审。有一项不符合评审标准的，评标委员会应否决其投标。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3</w:t>
      </w:r>
      <w:r>
        <w:rPr>
          <w:rFonts w:hint="default" w:ascii="Times New Roman" w:hAnsi="Times New Roman" w:eastAsia="宋体" w:cs="Times New Roman"/>
          <w:color w:val="auto"/>
          <w:sz w:val="24"/>
          <w:highlight w:val="none"/>
        </w:rPr>
        <w:t>.2 投标报价有算术错误的，评标委员会按以下原则对投标报价进行修正，修正的价格经投标人书面确认后具有约束力。投标人不接受修正价格的，评标委员会应否决其投标。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（1）投标文件中的大写金额与小写金额不一致的，以大写金额为准；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（2）总价金额与依据单价计算出的结果不一致的，以单价金额为准修正总价，但单价金额小数点有明显错误的除外;</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（3）当单价与数量相乘不等于合价时，以单价计算为准，如果单价有明显的小数点位置差错，应以标出的合价为准，同时对单价予以修正；</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（4）当各子目的合价累计不等于总价时，应以各子目合价累计数为准，修正总价。</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3</w:t>
      </w:r>
      <w:r>
        <w:rPr>
          <w:rFonts w:hint="default" w:ascii="Times New Roman" w:hAnsi="Times New Roman" w:eastAsia="宋体" w:cs="Times New Roman"/>
          <w:color w:val="auto"/>
          <w:sz w:val="24"/>
          <w:highlight w:val="none"/>
        </w:rPr>
        <w:t>.3 修正后的最终投标报价若超过最高投标限价（如有），评标委员会应否决其投标。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3</w:t>
      </w:r>
      <w:r>
        <w:rPr>
          <w:rFonts w:hint="default" w:ascii="Times New Roman" w:hAnsi="Times New Roman" w:eastAsia="宋体" w:cs="Times New Roman"/>
          <w:color w:val="auto"/>
          <w:sz w:val="24"/>
          <w:highlight w:val="none"/>
        </w:rPr>
        <w:t>.4 修正后的最终投标报价仅作为签订合同的一个依据，不参与评标价得分的计算。</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cs="Times New Roman"/>
          <w:color w:val="auto"/>
          <w:sz w:val="24"/>
          <w:highlight w:val="none"/>
          <w:lang w:val="en-US" w:eastAsia="zh-CN"/>
        </w:rPr>
        <w:t>3</w:t>
      </w:r>
      <w:r>
        <w:rPr>
          <w:rFonts w:hint="default" w:ascii="Times New Roman" w:hAnsi="Times New Roman" w:eastAsia="宋体" w:cs="Times New Roman"/>
          <w:color w:val="auto"/>
          <w:sz w:val="24"/>
          <w:highlight w:val="none"/>
        </w:rPr>
        <w:t>.</w:t>
      </w:r>
      <w:r>
        <w:rPr>
          <w:rFonts w:hint="default" w:ascii="Times New Roman" w:hAnsi="Times New Roman" w:cs="Times New Roman"/>
          <w:color w:val="auto"/>
          <w:sz w:val="24"/>
          <w:highlight w:val="none"/>
          <w:lang w:val="en-US" w:eastAsia="zh-CN"/>
        </w:rPr>
        <w:t>5</w:t>
      </w:r>
      <w:r>
        <w:rPr>
          <w:rFonts w:hint="default" w:ascii="Times New Roman" w:hAnsi="Times New Roman" w:eastAsia="宋体" w:cs="Times New Roman"/>
          <w:color w:val="auto"/>
          <w:sz w:val="24"/>
          <w:highlight w:val="none"/>
        </w:rPr>
        <w:t xml:space="preserve"> 评标委员会发现投标人的报价明显低于其他投标报价，使得其投标报价可能低于其个别成本的，应要求该投标人作出书面说明并提供相应的证明材料。投标人不能合理说明或不能提供相应证明材料的，评标委员会应认定该投标人以低于成本报价竞标，并否决其投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31" w:name="_Toc234832939"/>
      <w:bookmarkStart w:id="532" w:name="_Toc740"/>
      <w:r>
        <w:rPr>
          <w:rFonts w:hint="default" w:ascii="Times New Roman" w:hAnsi="Times New Roman" w:eastAsia="黑体" w:cs="Times New Roman"/>
          <w:b w:val="0"/>
          <w:color w:val="auto"/>
          <w:sz w:val="24"/>
          <w:szCs w:val="24"/>
          <w:highlight w:val="none"/>
        </w:rPr>
        <w:t>3.4</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第二个信封详细评审</w:t>
      </w:r>
      <w:bookmarkEnd w:id="531"/>
      <w:bookmarkEnd w:id="532"/>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 评标委员会按本章第2.2款规定的量化因素和分值进行打分，并计算出综合评估得分（即评标价得分）。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 投标人得分分值计算保留小数点后两位，小数点后第三位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四舍五入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3.4.3 评标委员会发现投标人的报价明显低于其他投标报价，是有可能影响履约的异常低价，应按本章3.</w:t>
      </w:r>
      <w:r>
        <w:rPr>
          <w:rFonts w:hint="default" w:ascii="Times New Roman" w:hAnsi="Times New Roman" w:cs="Times New Roman"/>
          <w:color w:val="auto"/>
          <w:sz w:val="24"/>
          <w:highlight w:val="none"/>
          <w:lang w:val="en-US" w:eastAsia="zh-CN"/>
        </w:rPr>
        <w:t>6</w:t>
      </w:r>
      <w:r>
        <w:rPr>
          <w:rFonts w:hint="default" w:ascii="Times New Roman" w:hAnsi="Times New Roman" w:eastAsia="宋体" w:cs="Times New Roman"/>
          <w:color w:val="auto"/>
          <w:sz w:val="24"/>
          <w:highlight w:val="none"/>
        </w:rPr>
        <w:t>款的规定向投标人发出澄清，要求该投标人作出书面说明该报价的合理性并提供相应证明材料。当投标人不能合理说明并证明其报价的合理性的，评标委员会应以少数服从多数的原则否决其投标。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33" w:name="_Toc5598"/>
      <w:r>
        <w:rPr>
          <w:rFonts w:hint="default" w:ascii="Times New Roman" w:hAnsi="Times New Roman" w:eastAsia="黑体" w:cs="Times New Roman"/>
          <w:b w:val="0"/>
          <w:color w:val="auto"/>
          <w:sz w:val="24"/>
          <w:szCs w:val="24"/>
          <w:highlight w:val="none"/>
        </w:rPr>
        <w:t>3.5</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投标文件相关信息的核查</w:t>
      </w:r>
      <w:bookmarkEnd w:id="533"/>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 在评标过程中，评标委员会应查询交通运输主管部门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，对投标人的资质、业绩、主要人员资历和目前在岗情况、信用等级等信息进行核实。若投标文件载明的信息与交通运输主管部门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发布的信息不符，使得投标人的资格条件不符合招标文件规定的，评标委员会应否决其投标。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3.5.2 评标委员会应对在评标过程中发现的投标人与投标人之间、投标人与招标人之间存在的串通投标的情形进行评审和认定。投标人存在串通投标、弄虚作假、行贿等违法行为的，评标委员会应否决其投标。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（1）有下列情形之一的，属于投标人相互串通投标：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a.投标人之间协商投标报价等投标文件的实质性内容；</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b.投标人之间约定中标人；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c.投标人之间约定部分投标人放弃投标或中标；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d.属于同一集团、协会、商会等组织成员的投标人按照该组织要求协同投标；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e.投标人之间为谋取中标或排斥特定投标人而采取的其他联合行动。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（2）有下列情形之一的，视为投标人相互串通投标：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a.不同投标人的投标文件由同一单位或个人编制；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b.不同投标人委托同一单位或个人办理投标事宜；</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c.不同投标人的投标文件载明的项目管理成员为同一人；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d.不同投标人的投标文件异常一致或投标报价呈规律性差异；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e.不同投标人的投标文件相互混装；</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f.不同投标人的投标保证金从同一单位或个人的账户转出。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（3）有下列情形之一的，属于招标人与投标人串通投标：</w:t>
      </w:r>
    </w:p>
    <w:p>
      <w:pPr>
        <w:pageBreakBefore w:val="0"/>
        <w:kinsoku/>
        <w:wordWrap w:val="0"/>
        <w:overflowPunct/>
        <w:autoSpaceDE/>
        <w:autoSpaceDN/>
        <w:bidi w:val="0"/>
        <w:spacing w:line="400" w:lineRule="atLeast"/>
        <w:ind w:firstLine="480" w:firstLineChars="200"/>
        <w:textAlignment w:val="auto"/>
        <w:outlineLvl w:val="9"/>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a.招标人在开标前开启投标文件并将有关信息泄露给其他投标人</w:t>
      </w:r>
      <w:r>
        <w:rPr>
          <w:rFonts w:hint="eastAsia" w:cs="Times New Roman"/>
          <w:color w:val="auto"/>
          <w:sz w:val="24"/>
          <w:highlight w:val="none"/>
          <w:lang w:eastAsia="zh-CN"/>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b.招标人直接或间接向投标人泄露标底、评标委员会成员等信息；</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c.招标人明示或暗示投标人压低或抬高投标报价；</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d.招标人授意投标人撤换、修改投标文件；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e.招标人明示或暗示投标人为特定投标人中标提供方便；</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f.招标人与投标人为谋求特定投标人中标而采取的其他串通行为。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（4）投标人有下列情形之一的，属于弄虚作假的行为：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a.使用通过受让或租借等方式获取的资格、资质证书投标；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b.使用伪造、变造的许可证件；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c.提供虚假的财务状况或业绩；</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d.提供虚假的项目负责人或主要技术人员简历、劳动关系证明；</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e.提供虚假的信用状况；</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f.其他弄虚作假的行为。</w:t>
      </w:r>
    </w:p>
    <w:p>
      <w:pPr>
        <w:keepNext/>
        <w:keepLines/>
        <w:pageBreakBefore w:val="0"/>
        <w:widowControl w:val="0"/>
        <w:kinsoku/>
        <w:wordWrap w:val="0"/>
        <w:overflowPunct/>
        <w:topLinePunct w:val="0"/>
        <w:autoSpaceDE/>
        <w:autoSpaceDN/>
        <w:bidi w:val="0"/>
        <w:adjustRightInd/>
        <w:snapToGrid/>
        <w:spacing w:before="240" w:after="240" w:line="400" w:lineRule="atLeast"/>
        <w:textAlignment w:val="auto"/>
        <w:outlineLvl w:val="9"/>
        <w:rPr>
          <w:rFonts w:hint="default" w:ascii="Times New Roman" w:hAnsi="Times New Roman" w:eastAsia="黑体" w:cs="Times New Roman"/>
          <w:b w:val="0"/>
          <w:color w:val="auto"/>
          <w:sz w:val="24"/>
          <w:szCs w:val="24"/>
          <w:highlight w:val="none"/>
        </w:rPr>
      </w:pPr>
      <w:bookmarkStart w:id="534" w:name="_Toc28683"/>
      <w:bookmarkStart w:id="535" w:name="_Toc234832940"/>
      <w:r>
        <w:rPr>
          <w:rFonts w:hint="default" w:ascii="Times New Roman" w:hAnsi="Times New Roman" w:eastAsia="黑体" w:cs="Times New Roman"/>
          <w:b w:val="0"/>
          <w:color w:val="auto"/>
          <w:sz w:val="24"/>
          <w:szCs w:val="24"/>
          <w:highlight w:val="none"/>
        </w:rPr>
        <w:t>3.6 投标文件的澄清和说明</w:t>
      </w:r>
      <w:bookmarkEnd w:id="534"/>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 澄清和说明不得超出投标文件的范围或改变投标文件的实质性内容（算术性错误的修正除外）。投标人的书面澄清、说明属于投标文件的组成部分。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3.6.3 评标委员会不得暗示或诱导投标人作出澄清、说明，对投标人提交的澄清、说明有疑问的，可以要求投标人进一步澄清或说明，直至满足评标委员会的要求。</w:t>
      </w:r>
      <w:bookmarkEnd w:id="535"/>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3.6.4 凡超出招标文件规定的或给发包人带来未曾要求的利益的变化、偏差或其他因素在评标时不予考虑。</w:t>
      </w:r>
    </w:p>
    <w:p>
      <w:pPr>
        <w:keepNext/>
        <w:keepLines/>
        <w:pageBreakBefore w:val="0"/>
        <w:widowControl w:val="0"/>
        <w:kinsoku/>
        <w:wordWrap w:val="0"/>
        <w:overflowPunct/>
        <w:topLinePunct w:val="0"/>
        <w:autoSpaceDE/>
        <w:autoSpaceDN/>
        <w:bidi w:val="0"/>
        <w:adjustRightInd/>
        <w:snapToGrid/>
        <w:spacing w:before="240" w:after="240" w:line="400" w:lineRule="atLeast"/>
        <w:textAlignment w:val="auto"/>
        <w:outlineLvl w:val="9"/>
        <w:rPr>
          <w:rFonts w:hint="default" w:ascii="Times New Roman" w:hAnsi="Times New Roman" w:eastAsia="黑体" w:cs="Times New Roman"/>
          <w:b w:val="0"/>
          <w:color w:val="auto"/>
          <w:sz w:val="24"/>
          <w:szCs w:val="24"/>
          <w:highlight w:val="none"/>
        </w:rPr>
      </w:pPr>
      <w:bookmarkStart w:id="536" w:name="_Toc22886"/>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w:t>
      </w:r>
      <w:r>
        <w:rPr>
          <w:rFonts w:hint="default" w:ascii="Times New Roman" w:hAnsi="Times New Roman" w:eastAsia="黑体" w:cs="Times New Roman"/>
          <w:b w:val="0"/>
          <w:color w:val="auto"/>
          <w:sz w:val="24"/>
          <w:szCs w:val="24"/>
          <w:highlight w:val="none"/>
        </w:rPr>
        <w:t>7 不得否决投标的情形</w:t>
      </w:r>
      <w:bookmarkEnd w:id="536"/>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投标文件存在第二章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第1.12.3项所列情形的，均视为细微偏差，评标委员会不得否决投标人的投标，应按照第二章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第1.12.4项规定的原则处理。</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37" w:name="_Toc234832941"/>
      <w:bookmarkStart w:id="538" w:name="_Toc25123"/>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 xml:space="preserve"> 评标结果</w:t>
      </w:r>
      <w:bookmarkEnd w:id="537"/>
      <w:bookmarkEnd w:id="538"/>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3.8.1 除第二章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前附表授权直接确定中标人外，评标委员会按照得分由高到低的顺序推荐中标候选人，并标明排序。</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3.8.2 评标委员会完成评标后，应向招标人提交评标报告。</w:t>
      </w:r>
    </w:p>
    <w:p>
      <w:pPr>
        <w:pageBreakBefore w:val="0"/>
        <w:kinsoku/>
        <w:overflowPunct/>
        <w:autoSpaceDE/>
        <w:autoSpaceDN/>
        <w:bidi w:val="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br w:type="page"/>
      </w:r>
    </w:p>
    <w:p>
      <w:pPr>
        <w:pStyle w:val="2"/>
        <w:pageBreakBefore w:val="0"/>
        <w:kinsoku/>
        <w:wordWrap w:val="0"/>
        <w:bidi w:val="0"/>
        <w:spacing w:before="480" w:after="240" w:line="380" w:lineRule="atLeast"/>
        <w:jc w:val="center"/>
        <w:outlineLvl w:val="9"/>
        <w:rPr>
          <w:rFonts w:hint="default" w:ascii="Times New Roman" w:hAnsi="Times New Roman" w:eastAsia="黑体" w:cs="Times New Roman"/>
          <w:b w:val="0"/>
          <w:color w:val="auto"/>
          <w:sz w:val="36"/>
          <w:szCs w:val="36"/>
          <w:highlight w:val="none"/>
        </w:rPr>
        <w:sectPr>
          <w:footnotePr>
            <w:numFmt w:val="decimalEnclosedCircleChinese"/>
            <w:numRestart w:val="eachPage"/>
          </w:footnotePr>
          <w:pgSz w:w="11910" w:h="16850"/>
          <w:pgMar w:top="1480" w:right="1200" w:bottom="1040" w:left="1220" w:header="876" w:footer="853" w:gutter="0"/>
          <w:pgNumType w:fmt="decimal"/>
          <w:cols w:space="720" w:num="1"/>
        </w:sectPr>
      </w:pPr>
      <w:bookmarkStart w:id="539" w:name="_Toc13358"/>
    </w:p>
    <w:p>
      <w:pPr>
        <w:pStyle w:val="2"/>
        <w:pageBreakBefore w:val="0"/>
        <w:kinsoku/>
        <w:wordWrap w:val="0"/>
        <w:bidi w:val="0"/>
        <w:spacing w:before="480" w:after="240" w:line="380" w:lineRule="atLeast"/>
        <w:jc w:val="center"/>
        <w:rPr>
          <w:rFonts w:hint="default" w:ascii="Times New Roman" w:hAnsi="Times New Roman" w:eastAsia="黑体" w:cs="Times New Roman"/>
          <w:b w:val="0"/>
          <w:color w:val="auto"/>
          <w:sz w:val="36"/>
          <w:szCs w:val="36"/>
          <w:highlight w:val="none"/>
        </w:rPr>
      </w:pPr>
      <w:bookmarkStart w:id="540" w:name="_Toc14731"/>
      <w:bookmarkStart w:id="541" w:name="_Toc1629"/>
      <w:bookmarkStart w:id="542" w:name="_Toc28477"/>
      <w:r>
        <w:rPr>
          <w:rFonts w:hint="default" w:ascii="Times New Roman" w:hAnsi="Times New Roman" w:eastAsia="黑体" w:cs="Times New Roman"/>
          <w:b w:val="0"/>
          <w:color w:val="auto"/>
          <w:sz w:val="36"/>
          <w:szCs w:val="36"/>
          <w:highlight w:val="none"/>
        </w:rPr>
        <w:t>第三章  评标办法（技术评分最低标价法）</w:t>
      </w:r>
      <w:bookmarkEnd w:id="539"/>
      <w:bookmarkEnd w:id="540"/>
      <w:bookmarkEnd w:id="541"/>
      <w:bookmarkEnd w:id="542"/>
    </w:p>
    <w:p>
      <w:pPr>
        <w:keepNext/>
        <w:keepLines/>
        <w:pageBreakBefore w:val="0"/>
        <w:widowControl w:val="0"/>
        <w:kinsoku/>
        <w:wordWrap w:val="0"/>
        <w:overflowPunct/>
        <w:topLinePunct w:val="0"/>
        <w:autoSpaceDE/>
        <w:autoSpaceDN/>
        <w:bidi w:val="0"/>
        <w:adjustRightInd/>
        <w:snapToGrid/>
        <w:spacing w:before="480" w:after="240" w:line="380" w:lineRule="atLeast"/>
        <w:textAlignment w:val="auto"/>
        <w:outlineLvl w:val="9"/>
        <w:rPr>
          <w:rFonts w:hint="default" w:ascii="Times New Roman" w:hAnsi="Times New Roman" w:eastAsia="黑体" w:cs="Times New Roman"/>
          <w:b w:val="0"/>
          <w:color w:val="auto"/>
          <w:sz w:val="24"/>
          <w:szCs w:val="24"/>
          <w:highlight w:val="none"/>
        </w:rPr>
      </w:pPr>
      <w:bookmarkStart w:id="543" w:name="_Toc2355"/>
      <w:r>
        <w:rPr>
          <w:rFonts w:hint="default" w:ascii="Times New Roman" w:hAnsi="Times New Roman" w:eastAsia="黑体" w:cs="Times New Roman"/>
          <w:b w:val="0"/>
          <w:color w:val="auto"/>
          <w:sz w:val="24"/>
          <w:szCs w:val="24"/>
          <w:highlight w:val="none"/>
        </w:rPr>
        <w:t>评标办法前附表</w:t>
      </w:r>
      <w:r>
        <w:rPr>
          <w:rStyle w:val="45"/>
          <w:rFonts w:hint="default" w:ascii="Times New Roman" w:hAnsi="Times New Roman" w:eastAsia="黑体" w:cs="Times New Roman"/>
          <w:color w:val="auto"/>
          <w:sz w:val="28"/>
          <w:szCs w:val="28"/>
          <w:highlight w:val="none"/>
        </w:rPr>
        <w:footnoteReference w:id="50"/>
      </w:r>
      <w:bookmarkEnd w:id="543"/>
    </w:p>
    <w:tbl>
      <w:tblPr>
        <w:tblStyle w:val="37"/>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89"/>
        <w:gridCol w:w="1280"/>
        <w:gridCol w:w="662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2269" w:type="dxa"/>
            <w:gridSpan w:val="2"/>
            <w:tcBorders>
              <w:top w:val="single" w:color="auto" w:sz="4" w:space="0"/>
              <w:bottom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66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pacing w:val="4"/>
                <w:szCs w:val="21"/>
                <w:highlight w:val="none"/>
              </w:rPr>
            </w:pPr>
            <w:r>
              <w:rPr>
                <w:rFonts w:hint="default" w:ascii="Times New Roman" w:hAnsi="Times New Roman" w:cs="Times New Roman"/>
                <w:b/>
                <w:color w:val="auto"/>
                <w:spacing w:val="4"/>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280"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评标方法</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评标价相等时，评标委员会依次按照以下优先顺序推荐中标候选人或确定中标人：</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）履约信誉得分较高的投标人优先；</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）被辽宁省交通运输厅评为较高信用等级的投标人优先；</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2.1.1</w:t>
            </w:r>
          </w:p>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2.1.3</w:t>
            </w:r>
          </w:p>
        </w:tc>
        <w:tc>
          <w:tcPr>
            <w:tcW w:w="1280" w:type="dxa"/>
            <w:tcBorders>
              <w:top w:val="single" w:color="auto" w:sz="4" w:space="0"/>
              <w:bottom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形式评审与响应性评审标准</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第一个信封（商务及技术文件）评审标准：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a.投标函按招标文件规定填报了项目名称、标段号、补遗书编号（如有）、工期、工程质量要求及安全目标；</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b.投标函附录的所有数据均符合招标文件规定；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）投标人按照招标文件的规定提供了投标保证金：</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a.投标保证金金额符合招标文件规定的金额，且投标保证金有效期不少于投标有效期；</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b.若投标保证金采用现金或支票形式提交，投标人应在递交投标文件截止时间之前，将投标保证金由投标人的基本账户转入招标人指定账户；</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c.若投标保证金采用银行保函形式提交，银行保函的格式、开具保函的银行均满足招标文件要求；</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d.若投标保证金采用电子保函形式提交，投标人应在投标文件中提供电子保函的原件扫描件、电子化保函验真渠道和从投标人基本账户支出的保函财务费用支付凭证。</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（4）投标人法定代表人授权委托代理人签署投标文件的，须提交授权委托书，且授权人和被授权人均在授权委托书上使用CA 数字证书加盖个人电子印章或电子签名。</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（5）投标人法定代表人亲自签署投标文件的，提供了法定代表人身份证明，且法定代表人在法定代表人身份证明上使用CA 数字证书加盖个人电子印章或电子签名。</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（6）投标人以联合体形式投标时，联合体满足招标文件的要求：投标人按照招标文件提供的格式签订了联合体协议书，明确各方承担连带责任，并明确了联合体牵头人。</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（7）投标人如有分包计划，符合招标文件第二章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第1.11款规定，且按招标文件第七章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投标文件格式</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的要求填写了</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拟分包项目情况表</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（8）同一投标人未提交两个以上不同的投标文件，但招标文件要求提交备选投标的除外。</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（9）投标文件中未出现有关投标报价的内容。</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（10）投标文件载明的招标项目完成期限未超过招标文件规定的时限。</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（11）投标文件对招标文件的实质性要求和条件作出响应。</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（12）权利义务符合招标文件规定：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a.投标人应接受招标文件规定的风险划分原则，未提出新的风险划分办法；</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b.投标人未增加发包人的责任范围，或减少投标人义务；</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c.投标人未提出不同的工程验收、计量、支付办法；</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d.投标人对合同纠纷、事故处理办法未提出异议；</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e.投标人在投标活动中无欺诈行为；</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f.投标人未对合同条款有重要保留。</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承包人建议书</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承包人实施计划</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采用暗标形式，其编制须满足招标文件要求。</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eastAsia="zh-CN"/>
              </w:rPr>
              <w:t>（14）投标人上传投标文件的标段数量满足第一章</w:t>
            </w:r>
            <w:r>
              <w:rPr>
                <w:rFonts w:hint="eastAsia" w:ascii="宋体" w:hAnsi="宋体" w:eastAsia="宋体" w:cs="宋体"/>
                <w:color w:val="auto"/>
                <w:szCs w:val="21"/>
                <w:highlight w:val="none"/>
                <w:lang w:eastAsia="zh-CN"/>
              </w:rPr>
              <w:t>“</w:t>
            </w:r>
            <w:r>
              <w:rPr>
                <w:rFonts w:hint="default" w:ascii="Times New Roman" w:hAnsi="Times New Roman" w:cs="Times New Roman"/>
                <w:color w:val="auto"/>
                <w:szCs w:val="21"/>
                <w:highlight w:val="none"/>
                <w:lang w:eastAsia="zh-CN"/>
              </w:rPr>
              <w:t>招标公告</w:t>
            </w:r>
            <w:r>
              <w:rPr>
                <w:rFonts w:hint="eastAsia" w:ascii="宋体" w:hAnsi="宋体" w:eastAsia="宋体" w:cs="宋体"/>
                <w:color w:val="auto"/>
                <w:szCs w:val="21"/>
                <w:highlight w:val="none"/>
                <w:lang w:eastAsia="zh-CN"/>
              </w:rPr>
              <w:t>”</w:t>
            </w:r>
            <w:r>
              <w:rPr>
                <w:rFonts w:hint="default" w:ascii="Times New Roman" w:hAnsi="Times New Roman" w:cs="Times New Roman"/>
                <w:color w:val="auto"/>
                <w:szCs w:val="21"/>
                <w:highlight w:val="none"/>
                <w:lang w:eastAsia="zh-CN"/>
              </w:rPr>
              <w:t>第3.3款规定，投标函上填写的标段号与上传的对应项目标段号一致。</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p>
          <w:p>
            <w:pPr>
              <w:pageBreakBefore w:val="0"/>
              <w:kinsoku/>
              <w:wordWrap w:val="0"/>
              <w:overflowPunct/>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第二个信封（报价文件）评审标准：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a.投标函按招标文件规定填报了项目名称、标段号、补遗书编号（如有）、投标价（包括大写金额和小写金额）；</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b.价格清单说明文字与招标文件规定一致，未进行实质性修改和删减；</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（3）投标报价未超过招标文件设定的最高投标限价（如有）。</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（4）投标报价的大写金额能够确定具体数值。</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（5）同一投标人未提交两个以上不同的投标报价，但招标文件要求提交备选投标的除外。</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30" w:hRule="atLeast"/>
        </w:trPr>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w:t>
            </w:r>
          </w:p>
        </w:tc>
        <w:tc>
          <w:tcPr>
            <w:tcW w:w="1280"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资格评审</w:t>
            </w:r>
          </w:p>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（1）投标人具备有效的营业执照、资质证书、安全生产许可证。 </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（2）投标人的资质等级符合招标文件规定。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（3）投标人的财务状况符合招标文件规定。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（4）投标人的类似项目业绩符合招标文件规定。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（5）投标人的信誉符合招标文件规定。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（6）投标人的项目负责人、设计负责人和施工负责人资格、项目负责人和施工负责人的在岗情况符合招标文件规定。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（7）投标人的其他要求符合招标文件规定。</w:t>
            </w:r>
            <w:r>
              <w:rPr>
                <w:rFonts w:hint="default" w:ascii="Times New Roman" w:hAnsi="Times New Roman" w:cs="Times New Roman"/>
                <w:color w:val="auto"/>
                <w:szCs w:val="21"/>
                <w:highlight w:val="none"/>
                <w:vertAlign w:val="superscript"/>
              </w:rPr>
              <w:footnoteReference w:id="51"/>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rPr>
              <w:t>（8）投标人不存在第二章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第1.4.3项或第1.4.4项规定的任何一种情形</w:t>
            </w:r>
            <w:r>
              <w:rPr>
                <w:rFonts w:hint="default" w:ascii="Times New Roman" w:hAnsi="Times New Roman" w:cs="Times New Roman"/>
                <w:color w:val="auto"/>
                <w:szCs w:val="21"/>
                <w:highlight w:val="none"/>
                <w:lang w:eastAsia="zh-CN"/>
              </w:rPr>
              <w:t>。</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9</w:t>
            </w:r>
            <w:r>
              <w:rPr>
                <w:rFonts w:hint="default" w:ascii="Times New Roman" w:hAnsi="Times New Roman" w:cs="Times New Roman"/>
                <w:color w:val="auto"/>
                <w:szCs w:val="21"/>
                <w:highlight w:val="none"/>
              </w:rPr>
              <w:t>）投标人符合第二章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第1.4.5项规定。</w:t>
            </w:r>
            <w:r>
              <w:rPr>
                <w:rStyle w:val="45"/>
                <w:rFonts w:hint="default" w:ascii="Times New Roman" w:hAnsi="Times New Roman" w:cs="Times New Roman"/>
                <w:color w:val="auto"/>
                <w:highlight w:val="none"/>
              </w:rPr>
              <w:footnoteReference w:id="52"/>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rPr>
              <w:t>）以联合体形式参与投标的，联合体各方均未再以自己名义单独或参加其他联合体在同一标段中投标；独立参与投标的，投标人未同时参加联合体在同一标段中投标。</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1280"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条款内容</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w:t>
            </w:r>
          </w:p>
        </w:tc>
        <w:tc>
          <w:tcPr>
            <w:tcW w:w="1280"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第一个信封评分分值构成</w:t>
            </w:r>
            <w:r>
              <w:rPr>
                <w:rStyle w:val="45"/>
                <w:rFonts w:hint="default" w:ascii="Times New Roman" w:hAnsi="Times New Roman" w:cs="Times New Roman"/>
                <w:color w:val="auto"/>
                <w:highlight w:val="none"/>
              </w:rPr>
              <w:footnoteReference w:id="53"/>
            </w:r>
          </w:p>
          <w:p>
            <w:pPr>
              <w:pageBreakBefore w:val="0"/>
              <w:kinsoku/>
              <w:wordWrap w:val="0"/>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（总分100分）</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承包人建议书：</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承包人实施计划：</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技术能力</w:t>
            </w:r>
            <w:r>
              <w:rPr>
                <w:rStyle w:val="45"/>
                <w:rFonts w:hint="default" w:ascii="Times New Roman" w:hAnsi="Times New Roman" w:cs="Times New Roman"/>
                <w:color w:val="auto"/>
                <w:highlight w:val="none"/>
              </w:rPr>
              <w:footnoteReference w:id="54"/>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履约信誉：</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bidi w:val="0"/>
              <w:spacing w:line="360" w:lineRule="atLeast"/>
              <w:ind w:firstLine="420" w:firstLineChars="200"/>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2.2.3</w:t>
            </w:r>
          </w:p>
        </w:tc>
        <w:tc>
          <w:tcPr>
            <w:tcW w:w="1280"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第二个信封详细评审标准</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评标价计算公式：</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评标价＝修正后的投标报价－暂估价－暂列金额（不含计日工总额）</w:t>
            </w:r>
          </w:p>
          <w:p>
            <w:pPr>
              <w:pageBreakBefore w:val="0"/>
              <w:kinsoku/>
              <w:wordWrap w:val="0"/>
              <w:bidi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3.2.4</w:t>
            </w:r>
          </w:p>
        </w:tc>
        <w:tc>
          <w:tcPr>
            <w:tcW w:w="1280"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通过第一个信封详细评审的投标人数量</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rPr>
              <w:t>按照商务和技术得分由高到低排序，对排名在n以内的投标人的报价文件进行评审，n值按参与商务和技术评分投标人数量的30%</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数值向下取整</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确定，n值不得小于3，不得大于10</w:t>
            </w:r>
            <w:r>
              <w:rPr>
                <w:rFonts w:hint="default" w:ascii="Times New Roman" w:hAnsi="Times New Roman" w:cs="Times New Roman"/>
                <w:color w:val="auto"/>
                <w:szCs w:val="21"/>
                <w:highlight w:val="none"/>
                <w:lang w:eastAsia="zh-CN"/>
              </w:rPr>
              <w:t>。</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eastAsia="zh-CN"/>
              </w:rPr>
              <w:t>注：</w:t>
            </w:r>
            <w:r>
              <w:rPr>
                <w:rFonts w:hint="eastAsia" w:cs="Times New Roman"/>
                <w:color w:val="auto"/>
                <w:szCs w:val="21"/>
                <w:highlight w:val="none"/>
                <w:lang w:eastAsia="zh-CN"/>
              </w:rPr>
              <w:t>若商务和技术得分相同，排名并列为n时，则同时进入第二信封</w:t>
            </w:r>
            <w:r>
              <w:rPr>
                <w:rFonts w:hint="default" w:ascii="Times New Roman" w:hAnsi="Times New Roman" w:cs="Times New Roman"/>
                <w:color w:val="auto"/>
                <w:szCs w:val="21"/>
                <w:highlight w:val="none"/>
                <w:lang w:eastAsia="zh-CN"/>
              </w:rPr>
              <w:t>。</w:t>
            </w:r>
          </w:p>
        </w:tc>
      </w:tr>
    </w:tbl>
    <w:p>
      <w:pPr>
        <w:rPr>
          <w:rFonts w:hint="default" w:ascii="Times New Roman" w:hAnsi="Times New Roman" w:cs="Times New Roman"/>
          <w:color w:val="auto"/>
          <w:highlight w:val="none"/>
        </w:rPr>
      </w:pP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453"/>
        <w:gridCol w:w="918"/>
        <w:gridCol w:w="992"/>
        <w:gridCol w:w="3165"/>
        <w:gridCol w:w="772"/>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713" w:type="dxa"/>
            <w:gridSpan w:val="6"/>
            <w:tcBorders>
              <w:top w:val="single" w:color="auto" w:sz="4" w:space="0"/>
            </w:tcBorders>
          </w:tcPr>
          <w:p>
            <w:pPr>
              <w:spacing w:line="380" w:lineRule="atLeast"/>
              <w:jc w:val="center"/>
              <w:rPr>
                <w:b/>
                <w:color w:val="auto"/>
                <w:szCs w:val="21"/>
                <w:highlight w:val="none"/>
              </w:rPr>
            </w:pPr>
            <w:r>
              <w:rPr>
                <w:b/>
                <w:color w:val="auto"/>
                <w:szCs w:val="21"/>
                <w:highlight w:val="none"/>
              </w:rPr>
              <w:t>评分因素与权重分值</w:t>
            </w:r>
            <w:r>
              <w:rPr>
                <w:rStyle w:val="45"/>
                <w:b/>
                <w:color w:val="auto"/>
                <w:szCs w:val="21"/>
                <w:highlight w:val="none"/>
              </w:rPr>
              <w:footnoteReference w:id="55"/>
            </w:r>
          </w:p>
        </w:tc>
        <w:tc>
          <w:tcPr>
            <w:tcW w:w="1178" w:type="dxa"/>
            <w:vMerge w:val="restart"/>
            <w:tcBorders>
              <w:top w:val="single" w:color="auto" w:sz="4" w:space="0"/>
            </w:tcBorders>
            <w:vAlign w:val="center"/>
          </w:tcPr>
          <w:p>
            <w:pPr>
              <w:spacing w:line="380" w:lineRule="atLeast"/>
              <w:jc w:val="center"/>
              <w:rPr>
                <w:b/>
                <w:color w:val="auto"/>
                <w:szCs w:val="21"/>
                <w:highlight w:val="none"/>
              </w:rPr>
            </w:pPr>
            <w:r>
              <w:rPr>
                <w:b/>
                <w:color w:val="auto"/>
                <w:szCs w:val="21"/>
                <w:highlight w:val="none"/>
              </w:rPr>
              <w:t>评分标准</w:t>
            </w:r>
            <w:r>
              <w:rPr>
                <w:rStyle w:val="45"/>
                <w:b/>
                <w:color w:val="auto"/>
                <w:szCs w:val="21"/>
                <w:highlight w:val="none"/>
              </w:rPr>
              <w:footnoteReference w:id="56"/>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13" w:type="dxa"/>
            <w:vAlign w:val="center"/>
          </w:tcPr>
          <w:p>
            <w:pPr>
              <w:spacing w:line="380" w:lineRule="atLeast"/>
              <w:jc w:val="center"/>
              <w:rPr>
                <w:rFonts w:ascii="宋体" w:hAnsi="宋体"/>
                <w:b/>
                <w:color w:val="auto"/>
                <w:szCs w:val="21"/>
                <w:highlight w:val="none"/>
              </w:rPr>
            </w:pPr>
            <w:r>
              <w:rPr>
                <w:rFonts w:ascii="宋体" w:hAnsi="宋体"/>
                <w:b/>
                <w:color w:val="auto"/>
                <w:szCs w:val="21"/>
                <w:highlight w:val="none"/>
              </w:rPr>
              <w:t>条款号</w:t>
            </w:r>
          </w:p>
        </w:tc>
        <w:tc>
          <w:tcPr>
            <w:tcW w:w="1371" w:type="dxa"/>
            <w:gridSpan w:val="2"/>
            <w:vAlign w:val="center"/>
          </w:tcPr>
          <w:p>
            <w:pPr>
              <w:spacing w:line="380" w:lineRule="atLeast"/>
              <w:jc w:val="center"/>
              <w:rPr>
                <w:rFonts w:ascii="宋体" w:hAnsi="宋体"/>
                <w:b/>
                <w:color w:val="auto"/>
                <w:szCs w:val="21"/>
                <w:highlight w:val="none"/>
              </w:rPr>
            </w:pPr>
            <w:r>
              <w:rPr>
                <w:rFonts w:ascii="宋体" w:hAnsi="宋体"/>
                <w:b/>
                <w:color w:val="auto"/>
                <w:szCs w:val="21"/>
                <w:highlight w:val="none"/>
              </w:rPr>
              <w:t>评分因素</w:t>
            </w:r>
          </w:p>
        </w:tc>
        <w:tc>
          <w:tcPr>
            <w:tcW w:w="992" w:type="dxa"/>
            <w:vAlign w:val="center"/>
          </w:tcPr>
          <w:p>
            <w:pPr>
              <w:spacing w:line="380" w:lineRule="atLeast"/>
              <w:ind w:left="-105" w:leftChars="-50" w:right="-105" w:rightChars="-50"/>
              <w:jc w:val="center"/>
              <w:rPr>
                <w:rFonts w:ascii="宋体" w:hAnsi="宋体"/>
                <w:b/>
                <w:color w:val="auto"/>
                <w:szCs w:val="21"/>
                <w:highlight w:val="none"/>
              </w:rPr>
            </w:pPr>
            <w:r>
              <w:rPr>
                <w:rFonts w:ascii="宋体" w:hAnsi="宋体"/>
                <w:b/>
                <w:color w:val="auto"/>
                <w:szCs w:val="21"/>
                <w:highlight w:val="none"/>
              </w:rPr>
              <w:t>评分因素权重分值</w:t>
            </w:r>
          </w:p>
        </w:tc>
        <w:tc>
          <w:tcPr>
            <w:tcW w:w="3165" w:type="dxa"/>
            <w:vAlign w:val="center"/>
          </w:tcPr>
          <w:p>
            <w:pPr>
              <w:spacing w:line="380" w:lineRule="atLeast"/>
              <w:jc w:val="center"/>
              <w:rPr>
                <w:rFonts w:ascii="宋体" w:hAnsi="宋体"/>
                <w:b/>
                <w:color w:val="auto"/>
                <w:szCs w:val="21"/>
                <w:highlight w:val="none"/>
              </w:rPr>
            </w:pPr>
            <w:r>
              <w:rPr>
                <w:rFonts w:ascii="宋体" w:hAnsi="宋体"/>
                <w:b/>
                <w:color w:val="auto"/>
                <w:szCs w:val="21"/>
                <w:highlight w:val="none"/>
              </w:rPr>
              <w:t>各评分因素细分项</w:t>
            </w:r>
          </w:p>
        </w:tc>
        <w:tc>
          <w:tcPr>
            <w:tcW w:w="772" w:type="dxa"/>
            <w:vAlign w:val="center"/>
          </w:tcPr>
          <w:p>
            <w:pPr>
              <w:spacing w:line="380" w:lineRule="atLeast"/>
              <w:jc w:val="right"/>
              <w:rPr>
                <w:rFonts w:ascii="宋体" w:hAnsi="宋体"/>
                <w:b/>
                <w:color w:val="auto"/>
                <w:szCs w:val="21"/>
                <w:highlight w:val="none"/>
              </w:rPr>
            </w:pPr>
            <w:r>
              <w:rPr>
                <w:rFonts w:ascii="宋体" w:hAnsi="宋体"/>
                <w:b/>
                <w:color w:val="auto"/>
                <w:szCs w:val="21"/>
                <w:highlight w:val="none"/>
              </w:rPr>
              <w:t>分值</w:t>
            </w:r>
          </w:p>
        </w:tc>
        <w:tc>
          <w:tcPr>
            <w:tcW w:w="1178" w:type="dxa"/>
            <w:vMerge w:val="continue"/>
          </w:tcPr>
          <w:p>
            <w:pPr>
              <w:spacing w:line="380" w:lineRule="atLeast"/>
              <w:jc w:val="center"/>
              <w:rPr>
                <w:rFonts w:ascii="宋体" w:hAnsi="宋体"/>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vAlign w:val="center"/>
          </w:tcPr>
          <w:p>
            <w:pPr>
              <w:spacing w:line="380" w:lineRule="atLeast"/>
              <w:jc w:val="center"/>
              <w:rPr>
                <w:color w:val="auto"/>
                <w:szCs w:val="21"/>
                <w:highlight w:val="none"/>
              </w:rPr>
            </w:pPr>
            <w:r>
              <w:rPr>
                <w:color w:val="auto"/>
                <w:szCs w:val="21"/>
                <w:highlight w:val="none"/>
              </w:rPr>
              <w:t>2.2.</w:t>
            </w:r>
            <w:r>
              <w:rPr>
                <w:rFonts w:hint="eastAsia"/>
                <w:color w:val="auto"/>
                <w:szCs w:val="21"/>
                <w:highlight w:val="none"/>
              </w:rPr>
              <w:t>2</w:t>
            </w:r>
            <w:r>
              <w:rPr>
                <w:color w:val="auto"/>
                <w:szCs w:val="21"/>
                <w:highlight w:val="none"/>
              </w:rPr>
              <w:t>（1）</w:t>
            </w:r>
          </w:p>
        </w:tc>
        <w:tc>
          <w:tcPr>
            <w:tcW w:w="1371" w:type="dxa"/>
            <w:gridSpan w:val="2"/>
            <w:vMerge w:val="restart"/>
            <w:vAlign w:val="center"/>
          </w:tcPr>
          <w:p>
            <w:pPr>
              <w:spacing w:line="380" w:lineRule="atLeast"/>
              <w:jc w:val="center"/>
              <w:rPr>
                <w:color w:val="auto"/>
                <w:szCs w:val="21"/>
                <w:highlight w:val="none"/>
              </w:rPr>
            </w:pPr>
            <w:r>
              <w:rPr>
                <w:color w:val="auto"/>
                <w:szCs w:val="21"/>
                <w:highlight w:val="none"/>
              </w:rPr>
              <w:t>承包人建议书</w:t>
            </w:r>
          </w:p>
        </w:tc>
        <w:tc>
          <w:tcPr>
            <w:tcW w:w="992" w:type="dxa"/>
            <w:vMerge w:val="restart"/>
            <w:vAlign w:val="center"/>
          </w:tcPr>
          <w:p>
            <w:pPr>
              <w:spacing w:line="380" w:lineRule="atLeast"/>
              <w:jc w:val="right"/>
              <w:rPr>
                <w:color w:val="auto"/>
                <w:szCs w:val="21"/>
                <w:highlight w:val="none"/>
                <w:u w:val="single"/>
              </w:rPr>
            </w:pPr>
            <w:r>
              <w:rPr>
                <w:color w:val="auto"/>
                <w:szCs w:val="21"/>
                <w:highlight w:val="none"/>
                <w:u w:val="single"/>
              </w:rPr>
              <w:t xml:space="preserve">   </w:t>
            </w:r>
            <w:r>
              <w:rPr>
                <w:color w:val="auto"/>
                <w:szCs w:val="21"/>
                <w:highlight w:val="none"/>
              </w:rPr>
              <w:t>分</w:t>
            </w: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施工图设计</w:t>
            </w:r>
            <w:r>
              <w:rPr>
                <w:rFonts w:hint="eastAsia" w:ascii="宋体" w:hAnsi="宋体"/>
                <w:color w:val="auto"/>
                <w:szCs w:val="21"/>
                <w:highlight w:val="none"/>
              </w:rPr>
              <w:t>技术</w:t>
            </w:r>
            <w:r>
              <w:rPr>
                <w:rFonts w:ascii="宋体" w:hAnsi="宋体"/>
                <w:color w:val="auto"/>
                <w:szCs w:val="21"/>
                <w:highlight w:val="none"/>
              </w:rPr>
              <w:t>方案</w:t>
            </w:r>
          </w:p>
        </w:tc>
        <w:tc>
          <w:tcPr>
            <w:tcW w:w="772" w:type="dxa"/>
            <w:vAlign w:val="center"/>
          </w:tcPr>
          <w:p>
            <w:pPr>
              <w:spacing w:line="380" w:lineRule="atLeast"/>
              <w:jc w:val="righ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vAlign w:val="center"/>
          </w:tcPr>
          <w:p>
            <w:pPr>
              <w:spacing w:line="380" w:lineRule="atLeast"/>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color w:val="auto"/>
                <w:szCs w:val="21"/>
                <w:highlight w:val="none"/>
                <w:u w:val="singl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施工组织设计</w:t>
            </w:r>
          </w:p>
        </w:tc>
        <w:tc>
          <w:tcPr>
            <w:tcW w:w="772" w:type="dxa"/>
            <w:vAlign w:val="center"/>
          </w:tcPr>
          <w:p>
            <w:pPr>
              <w:spacing w:line="380" w:lineRule="atLeast"/>
              <w:jc w:val="right"/>
              <w:rPr>
                <w:color w:val="auto"/>
                <w:szCs w:val="21"/>
                <w:highlight w:val="none"/>
                <w:u w:val="single"/>
              </w:rPr>
            </w:pPr>
            <w:r>
              <w:rPr>
                <w:color w:val="auto"/>
                <w:szCs w:val="21"/>
                <w:highlight w:val="none"/>
                <w:u w:val="single"/>
              </w:rPr>
              <w:t xml:space="preserve">   </w:t>
            </w:r>
            <w:r>
              <w:rPr>
                <w:color w:val="auto"/>
                <w:szCs w:val="21"/>
                <w:highlight w:val="none"/>
              </w:rPr>
              <w:t>分</w:t>
            </w:r>
          </w:p>
        </w:tc>
        <w:tc>
          <w:tcPr>
            <w:tcW w:w="1178" w:type="dxa"/>
            <w:vAlign w:val="center"/>
          </w:tcPr>
          <w:p>
            <w:pPr>
              <w:spacing w:line="380" w:lineRule="atLeast"/>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color w:val="auto"/>
                <w:szCs w:val="21"/>
                <w:highlight w:val="none"/>
                <w:u w:val="singl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w:t>
            </w:r>
          </w:p>
        </w:tc>
        <w:tc>
          <w:tcPr>
            <w:tcW w:w="772" w:type="dxa"/>
            <w:vAlign w:val="center"/>
          </w:tcPr>
          <w:p>
            <w:pPr>
              <w:spacing w:line="380" w:lineRule="atLeast"/>
              <w:jc w:val="right"/>
              <w:rPr>
                <w:color w:val="auto"/>
                <w:szCs w:val="21"/>
                <w:highlight w:val="none"/>
                <w:u w:val="single"/>
              </w:rPr>
            </w:pPr>
            <w:r>
              <w:rPr>
                <w:color w:val="auto"/>
                <w:szCs w:val="21"/>
                <w:highlight w:val="none"/>
                <w:u w:val="single"/>
              </w:rPr>
              <w:t xml:space="preserve">   </w:t>
            </w:r>
            <w:r>
              <w:rPr>
                <w:color w:val="auto"/>
                <w:szCs w:val="21"/>
                <w:highlight w:val="none"/>
              </w:rPr>
              <w:t>分</w:t>
            </w:r>
          </w:p>
        </w:tc>
        <w:tc>
          <w:tcPr>
            <w:tcW w:w="1178" w:type="dxa"/>
            <w:vAlign w:val="center"/>
          </w:tcPr>
          <w:p>
            <w:pPr>
              <w:spacing w:line="380" w:lineRule="atLeast"/>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vAlign w:val="center"/>
          </w:tcPr>
          <w:p>
            <w:pPr>
              <w:spacing w:line="380" w:lineRule="atLeast"/>
              <w:jc w:val="center"/>
              <w:rPr>
                <w:color w:val="auto"/>
                <w:szCs w:val="21"/>
                <w:highlight w:val="none"/>
              </w:rPr>
            </w:pPr>
            <w:r>
              <w:rPr>
                <w:color w:val="auto"/>
                <w:szCs w:val="21"/>
                <w:highlight w:val="none"/>
              </w:rPr>
              <w:t>2.2.</w:t>
            </w:r>
            <w:r>
              <w:rPr>
                <w:rFonts w:hint="eastAsia"/>
                <w:color w:val="auto"/>
                <w:szCs w:val="21"/>
                <w:highlight w:val="none"/>
              </w:rPr>
              <w:t>2</w:t>
            </w:r>
            <w:r>
              <w:rPr>
                <w:color w:val="auto"/>
                <w:szCs w:val="21"/>
                <w:highlight w:val="none"/>
              </w:rPr>
              <w:t>（2）</w:t>
            </w:r>
          </w:p>
        </w:tc>
        <w:tc>
          <w:tcPr>
            <w:tcW w:w="1371" w:type="dxa"/>
            <w:gridSpan w:val="2"/>
            <w:vMerge w:val="restart"/>
            <w:vAlign w:val="center"/>
          </w:tcPr>
          <w:p>
            <w:pPr>
              <w:spacing w:line="380" w:lineRule="atLeast"/>
              <w:jc w:val="center"/>
              <w:rPr>
                <w:color w:val="auto"/>
                <w:szCs w:val="21"/>
                <w:highlight w:val="none"/>
              </w:rPr>
            </w:pPr>
            <w:r>
              <w:rPr>
                <w:color w:val="auto"/>
                <w:szCs w:val="21"/>
                <w:highlight w:val="none"/>
              </w:rPr>
              <w:t>承包人实施计划</w:t>
            </w:r>
          </w:p>
        </w:tc>
        <w:tc>
          <w:tcPr>
            <w:tcW w:w="992" w:type="dxa"/>
            <w:vMerge w:val="restart"/>
            <w:vAlign w:val="center"/>
          </w:tcPr>
          <w:p>
            <w:pPr>
              <w:spacing w:line="380" w:lineRule="atLeast"/>
              <w:jc w:val="right"/>
              <w:rPr>
                <w:color w:val="auto"/>
                <w:szCs w:val="21"/>
                <w:highlight w:val="none"/>
                <w:u w:val="singl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总体实施方案</w:t>
            </w:r>
          </w:p>
        </w:tc>
        <w:tc>
          <w:tcPr>
            <w:tcW w:w="772" w:type="dxa"/>
            <w:vAlign w:val="center"/>
          </w:tcPr>
          <w:p>
            <w:pPr>
              <w:spacing w:line="380" w:lineRule="atLeast"/>
              <w:jc w:val="right"/>
              <w:rPr>
                <w:color w:val="auto"/>
                <w:szCs w:val="21"/>
                <w:highlight w:val="none"/>
                <w:u w:val="single"/>
              </w:rPr>
            </w:pPr>
            <w:r>
              <w:rPr>
                <w:color w:val="auto"/>
                <w:szCs w:val="21"/>
                <w:highlight w:val="none"/>
                <w:u w:val="single"/>
              </w:rPr>
              <w:t xml:space="preserve">   </w:t>
            </w:r>
            <w:r>
              <w:rPr>
                <w:color w:val="auto"/>
                <w:szCs w:val="21"/>
                <w:highlight w:val="none"/>
              </w:rPr>
              <w:t>分</w:t>
            </w:r>
          </w:p>
        </w:tc>
        <w:tc>
          <w:tcPr>
            <w:tcW w:w="1178" w:type="dxa"/>
            <w:vAlign w:val="center"/>
          </w:tcPr>
          <w:p>
            <w:pPr>
              <w:spacing w:line="380" w:lineRule="atLeast"/>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color w:val="auto"/>
                <w:szCs w:val="21"/>
                <w:highlight w:val="none"/>
                <w:u w:val="singl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项目实施要点</w:t>
            </w:r>
          </w:p>
        </w:tc>
        <w:tc>
          <w:tcPr>
            <w:tcW w:w="772" w:type="dxa"/>
            <w:vAlign w:val="center"/>
          </w:tcPr>
          <w:p>
            <w:pPr>
              <w:spacing w:line="380" w:lineRule="atLeast"/>
              <w:jc w:val="right"/>
              <w:rPr>
                <w:color w:val="auto"/>
                <w:szCs w:val="21"/>
                <w:highlight w:val="none"/>
                <w:u w:val="single"/>
              </w:rPr>
            </w:pPr>
            <w:r>
              <w:rPr>
                <w:color w:val="auto"/>
                <w:szCs w:val="21"/>
                <w:highlight w:val="none"/>
                <w:u w:val="single"/>
              </w:rPr>
              <w:t xml:space="preserve">   </w:t>
            </w:r>
            <w:r>
              <w:rPr>
                <w:color w:val="auto"/>
                <w:szCs w:val="21"/>
                <w:highlight w:val="none"/>
              </w:rPr>
              <w:t>分</w:t>
            </w:r>
          </w:p>
        </w:tc>
        <w:tc>
          <w:tcPr>
            <w:tcW w:w="1178" w:type="dxa"/>
            <w:vAlign w:val="center"/>
          </w:tcPr>
          <w:p>
            <w:pPr>
              <w:spacing w:line="380" w:lineRule="atLeast"/>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color w:val="auto"/>
                <w:szCs w:val="21"/>
                <w:highlight w:val="none"/>
                <w:u w:val="singl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项目管理要点</w:t>
            </w:r>
          </w:p>
        </w:tc>
        <w:tc>
          <w:tcPr>
            <w:tcW w:w="772" w:type="dxa"/>
            <w:vAlign w:val="center"/>
          </w:tcPr>
          <w:p>
            <w:pPr>
              <w:spacing w:line="380" w:lineRule="atLeast"/>
              <w:jc w:val="right"/>
              <w:rPr>
                <w:color w:val="auto"/>
                <w:szCs w:val="21"/>
                <w:highlight w:val="none"/>
                <w:u w:val="single"/>
              </w:rPr>
            </w:pPr>
            <w:r>
              <w:rPr>
                <w:color w:val="auto"/>
                <w:szCs w:val="21"/>
                <w:highlight w:val="none"/>
                <w:u w:val="single"/>
              </w:rPr>
              <w:t xml:space="preserve">   </w:t>
            </w:r>
            <w:r>
              <w:rPr>
                <w:color w:val="auto"/>
                <w:szCs w:val="21"/>
                <w:highlight w:val="none"/>
              </w:rPr>
              <w:t>分</w:t>
            </w:r>
          </w:p>
        </w:tc>
        <w:tc>
          <w:tcPr>
            <w:tcW w:w="1178" w:type="dxa"/>
            <w:vAlign w:val="center"/>
          </w:tcPr>
          <w:p>
            <w:pPr>
              <w:spacing w:line="380" w:lineRule="atLeast"/>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rFonts w:eastAsia="隶书"/>
                <w:b/>
                <w:color w:val="auto"/>
                <w:szCs w:val="21"/>
                <w:highlight w:val="non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w:t>
            </w:r>
          </w:p>
        </w:tc>
        <w:tc>
          <w:tcPr>
            <w:tcW w:w="772" w:type="dxa"/>
            <w:vAlign w:val="center"/>
          </w:tcPr>
          <w:p>
            <w:pPr>
              <w:spacing w:line="380" w:lineRule="atLeast"/>
              <w:jc w:val="righ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vAlign w:val="center"/>
          </w:tcPr>
          <w:p>
            <w:pPr>
              <w:spacing w:line="380" w:lineRule="atLeast"/>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vAlign w:val="center"/>
          </w:tcPr>
          <w:p>
            <w:pPr>
              <w:spacing w:line="360" w:lineRule="atLeast"/>
              <w:ind w:left="-92" w:leftChars="-44" w:right="-88" w:rightChars="-42"/>
              <w:jc w:val="center"/>
              <w:rPr>
                <w:color w:val="auto"/>
                <w:szCs w:val="21"/>
                <w:highlight w:val="none"/>
              </w:rPr>
            </w:pPr>
            <w:r>
              <w:rPr>
                <w:color w:val="auto"/>
                <w:szCs w:val="21"/>
                <w:highlight w:val="none"/>
              </w:rPr>
              <w:t>2.2.</w:t>
            </w:r>
            <w:r>
              <w:rPr>
                <w:rFonts w:hint="eastAsia"/>
                <w:color w:val="auto"/>
                <w:szCs w:val="21"/>
                <w:highlight w:val="none"/>
              </w:rPr>
              <w:t>2</w:t>
            </w:r>
            <w:r>
              <w:rPr>
                <w:color w:val="auto"/>
                <w:szCs w:val="21"/>
                <w:highlight w:val="none"/>
              </w:rPr>
              <w:t>（3）</w:t>
            </w:r>
          </w:p>
        </w:tc>
        <w:tc>
          <w:tcPr>
            <w:tcW w:w="1371" w:type="dxa"/>
            <w:gridSpan w:val="2"/>
            <w:vMerge w:val="restart"/>
            <w:vAlign w:val="center"/>
          </w:tcPr>
          <w:p>
            <w:pPr>
              <w:spacing w:line="360" w:lineRule="atLeast"/>
              <w:jc w:val="center"/>
              <w:rPr>
                <w:color w:val="auto"/>
                <w:szCs w:val="21"/>
                <w:highlight w:val="none"/>
              </w:rPr>
            </w:pPr>
            <w:r>
              <w:rPr>
                <w:color w:val="auto"/>
                <w:szCs w:val="21"/>
                <w:highlight w:val="none"/>
              </w:rPr>
              <w:t>主要人员</w:t>
            </w:r>
          </w:p>
        </w:tc>
        <w:tc>
          <w:tcPr>
            <w:tcW w:w="992" w:type="dxa"/>
            <w:vMerge w:val="restart"/>
            <w:vAlign w:val="center"/>
          </w:tcPr>
          <w:p>
            <w:pPr>
              <w:spacing w:line="380" w:lineRule="atLeast"/>
              <w:jc w:val="right"/>
              <w:rPr>
                <w:color w:val="auto"/>
                <w:szCs w:val="21"/>
                <w:highlight w:val="none"/>
              </w:rPr>
            </w:pPr>
            <w:r>
              <w:rPr>
                <w:color w:val="auto"/>
                <w:szCs w:val="21"/>
                <w:highlight w:val="none"/>
                <w:u w:val="single"/>
              </w:rPr>
              <w:t xml:space="preserve">   </w:t>
            </w:r>
            <w:r>
              <w:rPr>
                <w:color w:val="auto"/>
                <w:szCs w:val="21"/>
                <w:highlight w:val="none"/>
              </w:rPr>
              <w:t>分</w:t>
            </w: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项目负责人任职资格与业绩</w:t>
            </w:r>
          </w:p>
        </w:tc>
        <w:tc>
          <w:tcPr>
            <w:tcW w:w="772" w:type="dxa"/>
            <w:vAlign w:val="center"/>
          </w:tcPr>
          <w:p>
            <w:pPr>
              <w:spacing w:line="380" w:lineRule="atLeast"/>
              <w:jc w:val="right"/>
              <w:rPr>
                <w:rFonts w:ascii="宋体" w:hAnsi="宋体"/>
                <w:color w:val="auto"/>
                <w:szCs w:val="21"/>
                <w:highlight w:val="none"/>
              </w:rPr>
            </w:pPr>
            <w:r>
              <w:rPr>
                <w:rFonts w:ascii="宋体" w:hAnsi="宋体"/>
                <w:color w:val="auto"/>
                <w:szCs w:val="21"/>
                <w:highlight w:val="none"/>
                <w:u w:val="single"/>
              </w:rPr>
              <w:t xml:space="preserve">   </w:t>
            </w:r>
            <w:r>
              <w:rPr>
                <w:rFonts w:ascii="宋体" w:hAnsi="宋体"/>
                <w:color w:val="auto"/>
                <w:szCs w:val="21"/>
                <w:highlight w:val="none"/>
              </w:rPr>
              <w:t>分</w:t>
            </w:r>
          </w:p>
        </w:tc>
        <w:tc>
          <w:tcPr>
            <w:tcW w:w="1178" w:type="dxa"/>
            <w:vAlign w:val="center"/>
          </w:tcPr>
          <w:p>
            <w:pPr>
              <w:spacing w:line="380" w:lineRule="atLeast"/>
              <w:rPr>
                <w:rFonts w:ascii="宋体" w:hAnsi="宋体"/>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rFonts w:eastAsia="隶书"/>
                <w:b/>
                <w:color w:val="auto"/>
                <w:szCs w:val="21"/>
                <w:highlight w:val="non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设计负责人</w:t>
            </w:r>
            <w:r>
              <w:rPr>
                <w:rFonts w:hint="eastAsia" w:ascii="宋体" w:hAnsi="宋体"/>
                <w:color w:val="auto"/>
                <w:szCs w:val="21"/>
                <w:highlight w:val="none"/>
              </w:rPr>
              <w:t>任职</w:t>
            </w:r>
            <w:r>
              <w:rPr>
                <w:rFonts w:ascii="宋体" w:hAnsi="宋体"/>
                <w:color w:val="auto"/>
                <w:szCs w:val="21"/>
                <w:highlight w:val="none"/>
              </w:rPr>
              <w:t>资格与业绩</w:t>
            </w:r>
          </w:p>
        </w:tc>
        <w:tc>
          <w:tcPr>
            <w:tcW w:w="772" w:type="dxa"/>
            <w:vAlign w:val="center"/>
          </w:tcPr>
          <w:p>
            <w:pPr>
              <w:spacing w:line="380" w:lineRule="atLeast"/>
              <w:jc w:val="right"/>
              <w:rPr>
                <w:rFonts w:ascii="宋体" w:hAnsi="宋体"/>
                <w:color w:val="auto"/>
                <w:szCs w:val="21"/>
                <w:highlight w:val="none"/>
              </w:rPr>
            </w:pPr>
            <w:r>
              <w:rPr>
                <w:rFonts w:ascii="宋体" w:hAnsi="宋体"/>
                <w:color w:val="auto"/>
                <w:szCs w:val="21"/>
                <w:highlight w:val="none"/>
                <w:u w:val="single"/>
              </w:rPr>
              <w:t xml:space="preserve">   </w:t>
            </w:r>
            <w:r>
              <w:rPr>
                <w:rFonts w:ascii="宋体" w:hAnsi="宋体"/>
                <w:color w:val="auto"/>
                <w:szCs w:val="21"/>
                <w:highlight w:val="none"/>
              </w:rPr>
              <w:t>分</w:t>
            </w:r>
          </w:p>
        </w:tc>
        <w:tc>
          <w:tcPr>
            <w:tcW w:w="1178" w:type="dxa"/>
            <w:vAlign w:val="center"/>
          </w:tcPr>
          <w:p>
            <w:pPr>
              <w:spacing w:line="380" w:lineRule="atLeast"/>
              <w:rPr>
                <w:rFonts w:ascii="宋体" w:hAnsi="宋体"/>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rFonts w:eastAsia="隶书"/>
                <w:b/>
                <w:color w:val="auto"/>
                <w:szCs w:val="21"/>
                <w:highlight w:val="non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施工负责人</w:t>
            </w:r>
            <w:r>
              <w:rPr>
                <w:rFonts w:hint="eastAsia" w:ascii="宋体" w:hAnsi="宋体"/>
                <w:color w:val="auto"/>
                <w:szCs w:val="21"/>
                <w:highlight w:val="none"/>
              </w:rPr>
              <w:t>任职</w:t>
            </w:r>
            <w:r>
              <w:rPr>
                <w:rFonts w:ascii="宋体" w:hAnsi="宋体"/>
                <w:color w:val="auto"/>
                <w:szCs w:val="21"/>
                <w:highlight w:val="none"/>
              </w:rPr>
              <w:t>资格与业绩</w:t>
            </w:r>
          </w:p>
        </w:tc>
        <w:tc>
          <w:tcPr>
            <w:tcW w:w="772" w:type="dxa"/>
            <w:vAlign w:val="center"/>
          </w:tcPr>
          <w:p>
            <w:pPr>
              <w:spacing w:line="380" w:lineRule="atLeast"/>
              <w:jc w:val="right"/>
              <w:rPr>
                <w:rFonts w:ascii="宋体" w:hAnsi="宋体"/>
                <w:color w:val="auto"/>
                <w:szCs w:val="21"/>
                <w:highlight w:val="none"/>
                <w:u w:val="single"/>
              </w:rPr>
            </w:pPr>
            <w:r>
              <w:rPr>
                <w:rFonts w:ascii="宋体" w:hAnsi="宋体"/>
                <w:color w:val="auto"/>
                <w:szCs w:val="21"/>
                <w:highlight w:val="none"/>
                <w:u w:val="single"/>
              </w:rPr>
              <w:t xml:space="preserve">   </w:t>
            </w:r>
            <w:r>
              <w:rPr>
                <w:rFonts w:ascii="宋体" w:hAnsi="宋体"/>
                <w:color w:val="auto"/>
                <w:szCs w:val="21"/>
                <w:highlight w:val="none"/>
              </w:rPr>
              <w:t>分</w:t>
            </w:r>
          </w:p>
        </w:tc>
        <w:tc>
          <w:tcPr>
            <w:tcW w:w="1178" w:type="dxa"/>
            <w:vAlign w:val="center"/>
          </w:tcPr>
          <w:p>
            <w:pPr>
              <w:spacing w:line="380" w:lineRule="atLeast"/>
              <w:rPr>
                <w:rFonts w:ascii="宋体" w:hAnsi="宋体"/>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rFonts w:eastAsia="隶书"/>
                <w:b/>
                <w:color w:val="auto"/>
                <w:szCs w:val="21"/>
                <w:highlight w:val="non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w:t>
            </w:r>
          </w:p>
        </w:tc>
        <w:tc>
          <w:tcPr>
            <w:tcW w:w="772" w:type="dxa"/>
            <w:vAlign w:val="center"/>
          </w:tcPr>
          <w:p>
            <w:pPr>
              <w:spacing w:line="380" w:lineRule="atLeast"/>
              <w:jc w:val="right"/>
              <w:rPr>
                <w:rFonts w:ascii="宋体" w:hAnsi="宋体"/>
                <w:color w:val="auto"/>
                <w:szCs w:val="21"/>
                <w:highlight w:val="none"/>
                <w:u w:val="single"/>
              </w:rPr>
            </w:pPr>
            <w:r>
              <w:rPr>
                <w:rFonts w:ascii="宋体" w:hAnsi="宋体"/>
                <w:color w:val="auto"/>
                <w:szCs w:val="21"/>
                <w:highlight w:val="none"/>
                <w:u w:val="single"/>
              </w:rPr>
              <w:t xml:space="preserve">   </w:t>
            </w:r>
            <w:r>
              <w:rPr>
                <w:rFonts w:ascii="宋体" w:hAnsi="宋体"/>
                <w:color w:val="auto"/>
                <w:szCs w:val="21"/>
                <w:highlight w:val="none"/>
              </w:rPr>
              <w:t>分</w:t>
            </w:r>
          </w:p>
        </w:tc>
        <w:tc>
          <w:tcPr>
            <w:tcW w:w="1178" w:type="dxa"/>
            <w:vAlign w:val="center"/>
          </w:tcPr>
          <w:p>
            <w:pPr>
              <w:spacing w:line="380" w:lineRule="atLeast"/>
              <w:rPr>
                <w:rFonts w:ascii="宋体" w:hAnsi="宋体"/>
                <w:color w:val="auto"/>
                <w:szCs w:val="21"/>
                <w:highlight w:val="none"/>
              </w:rPr>
            </w:pPr>
            <w:r>
              <w:rPr>
                <w:rFonts w:ascii="宋体" w:hAnsi="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vAlign w:val="center"/>
          </w:tcPr>
          <w:p>
            <w:pPr>
              <w:spacing w:line="380" w:lineRule="atLeast"/>
              <w:jc w:val="center"/>
              <w:rPr>
                <w:color w:val="auto"/>
                <w:szCs w:val="21"/>
                <w:highlight w:val="none"/>
              </w:rPr>
            </w:pPr>
            <w:r>
              <w:rPr>
                <w:color w:val="auto"/>
                <w:szCs w:val="21"/>
                <w:highlight w:val="none"/>
              </w:rPr>
              <w:t>2.2.</w:t>
            </w:r>
            <w:r>
              <w:rPr>
                <w:rFonts w:hint="eastAsia"/>
                <w:color w:val="auto"/>
                <w:szCs w:val="21"/>
                <w:highlight w:val="none"/>
              </w:rPr>
              <w:t>2</w:t>
            </w:r>
            <w:r>
              <w:rPr>
                <w:color w:val="auto"/>
                <w:szCs w:val="21"/>
                <w:highlight w:val="none"/>
              </w:rPr>
              <w:t>（4）</w:t>
            </w:r>
          </w:p>
        </w:tc>
        <w:tc>
          <w:tcPr>
            <w:tcW w:w="453" w:type="dxa"/>
            <w:vMerge w:val="restart"/>
            <w:vAlign w:val="center"/>
          </w:tcPr>
          <w:p>
            <w:pPr>
              <w:spacing w:line="380" w:lineRule="atLeast"/>
              <w:jc w:val="center"/>
              <w:rPr>
                <w:color w:val="auto"/>
                <w:szCs w:val="21"/>
                <w:highlight w:val="none"/>
              </w:rPr>
            </w:pPr>
            <w:r>
              <w:rPr>
                <w:color w:val="auto"/>
                <w:szCs w:val="21"/>
                <w:highlight w:val="none"/>
              </w:rPr>
              <w:t>其他因素</w:t>
            </w:r>
          </w:p>
        </w:tc>
        <w:tc>
          <w:tcPr>
            <w:tcW w:w="918" w:type="dxa"/>
            <w:vMerge w:val="restart"/>
            <w:vAlign w:val="center"/>
          </w:tcPr>
          <w:p>
            <w:pPr>
              <w:spacing w:line="380" w:lineRule="atLeast"/>
              <w:jc w:val="center"/>
              <w:rPr>
                <w:color w:val="auto"/>
                <w:szCs w:val="21"/>
                <w:highlight w:val="none"/>
              </w:rPr>
            </w:pPr>
            <w:r>
              <w:rPr>
                <w:rFonts w:hint="eastAsia"/>
                <w:color w:val="auto"/>
                <w:szCs w:val="21"/>
                <w:highlight w:val="none"/>
              </w:rPr>
              <w:t>技术</w:t>
            </w:r>
          </w:p>
          <w:p>
            <w:pPr>
              <w:spacing w:line="380" w:lineRule="atLeast"/>
              <w:jc w:val="center"/>
              <w:rPr>
                <w:color w:val="auto"/>
                <w:szCs w:val="21"/>
                <w:highlight w:val="none"/>
              </w:rPr>
            </w:pPr>
            <w:r>
              <w:rPr>
                <w:color w:val="auto"/>
                <w:szCs w:val="21"/>
                <w:highlight w:val="none"/>
              </w:rPr>
              <w:t>能力</w:t>
            </w:r>
          </w:p>
        </w:tc>
        <w:tc>
          <w:tcPr>
            <w:tcW w:w="992" w:type="dxa"/>
            <w:vMerge w:val="restart"/>
            <w:vAlign w:val="center"/>
          </w:tcPr>
          <w:p>
            <w:pPr>
              <w:spacing w:line="380" w:lineRule="atLeast"/>
              <w:jc w:val="right"/>
              <w:rPr>
                <w:color w:val="auto"/>
                <w:szCs w:val="21"/>
                <w:highlight w:val="none"/>
              </w:rPr>
            </w:pPr>
            <w:r>
              <w:rPr>
                <w:color w:val="auto"/>
                <w:szCs w:val="21"/>
                <w:highlight w:val="none"/>
                <w:u w:val="single"/>
              </w:rPr>
              <w:t xml:space="preserve">   </w:t>
            </w:r>
            <w:r>
              <w:rPr>
                <w:color w:val="auto"/>
                <w:szCs w:val="21"/>
                <w:highlight w:val="none"/>
              </w:rPr>
              <w:t>分</w:t>
            </w:r>
          </w:p>
        </w:tc>
        <w:tc>
          <w:tcPr>
            <w:tcW w:w="3165" w:type="dxa"/>
          </w:tcPr>
          <w:p>
            <w:pPr>
              <w:spacing w:line="380" w:lineRule="atLeast"/>
              <w:jc w:val="center"/>
              <w:rPr>
                <w:color w:val="auto"/>
                <w:szCs w:val="21"/>
                <w:highlight w:val="none"/>
              </w:rPr>
            </w:pPr>
            <w:r>
              <w:rPr>
                <w:color w:val="auto"/>
                <w:szCs w:val="21"/>
                <w:highlight w:val="none"/>
              </w:rPr>
              <w:t>……</w:t>
            </w:r>
          </w:p>
        </w:tc>
        <w:tc>
          <w:tcPr>
            <w:tcW w:w="772" w:type="dxa"/>
            <w:vAlign w:val="center"/>
          </w:tcPr>
          <w:p>
            <w:pPr>
              <w:spacing w:line="380" w:lineRule="atLeast"/>
              <w:jc w:val="righ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tcPr>
          <w:p>
            <w:pPr>
              <w:spacing w:line="380" w:lineRule="atLeast"/>
              <w:jc w:val="center"/>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rFonts w:eastAsia="隶书"/>
                <w:color w:val="auto"/>
                <w:szCs w:val="21"/>
                <w:highlight w:val="none"/>
              </w:rPr>
            </w:pPr>
          </w:p>
        </w:tc>
        <w:tc>
          <w:tcPr>
            <w:tcW w:w="453" w:type="dxa"/>
            <w:vMerge w:val="continue"/>
            <w:vAlign w:val="center"/>
          </w:tcPr>
          <w:p>
            <w:pPr>
              <w:spacing w:line="380" w:lineRule="atLeast"/>
              <w:jc w:val="center"/>
              <w:rPr>
                <w:rFonts w:eastAsia="隶书"/>
                <w:color w:val="auto"/>
                <w:szCs w:val="21"/>
                <w:highlight w:val="none"/>
              </w:rPr>
            </w:pPr>
          </w:p>
        </w:tc>
        <w:tc>
          <w:tcPr>
            <w:tcW w:w="918" w:type="dxa"/>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color w:val="auto"/>
                <w:szCs w:val="21"/>
                <w:highlight w:val="none"/>
              </w:rPr>
            </w:pPr>
          </w:p>
        </w:tc>
        <w:tc>
          <w:tcPr>
            <w:tcW w:w="3165" w:type="dxa"/>
          </w:tcPr>
          <w:p>
            <w:pPr>
              <w:spacing w:line="380" w:lineRule="atLeast"/>
              <w:jc w:val="center"/>
              <w:rPr>
                <w:color w:val="auto"/>
                <w:szCs w:val="21"/>
                <w:highlight w:val="none"/>
              </w:rPr>
            </w:pPr>
            <w:r>
              <w:rPr>
                <w:color w:val="auto"/>
                <w:szCs w:val="21"/>
                <w:highlight w:val="none"/>
              </w:rPr>
              <w:t>……</w:t>
            </w:r>
          </w:p>
        </w:tc>
        <w:tc>
          <w:tcPr>
            <w:tcW w:w="772" w:type="dxa"/>
            <w:vAlign w:val="center"/>
          </w:tcPr>
          <w:p>
            <w:pPr>
              <w:spacing w:line="380" w:lineRule="atLeas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tcPr>
          <w:p>
            <w:pPr>
              <w:spacing w:line="380" w:lineRule="atLeast"/>
              <w:jc w:val="center"/>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rFonts w:eastAsia="隶书"/>
                <w:color w:val="auto"/>
                <w:szCs w:val="21"/>
                <w:highlight w:val="none"/>
              </w:rPr>
            </w:pPr>
          </w:p>
        </w:tc>
        <w:tc>
          <w:tcPr>
            <w:tcW w:w="453" w:type="dxa"/>
            <w:vMerge w:val="continue"/>
            <w:vAlign w:val="center"/>
          </w:tcPr>
          <w:p>
            <w:pPr>
              <w:spacing w:line="380" w:lineRule="atLeast"/>
              <w:ind w:left="-105" w:leftChars="-50" w:right="-105" w:rightChars="-50"/>
              <w:jc w:val="center"/>
              <w:rPr>
                <w:rFonts w:eastAsia="隶书"/>
                <w:color w:val="auto"/>
                <w:szCs w:val="21"/>
                <w:highlight w:val="none"/>
              </w:rPr>
            </w:pPr>
          </w:p>
        </w:tc>
        <w:tc>
          <w:tcPr>
            <w:tcW w:w="918" w:type="dxa"/>
            <w:vMerge w:val="restart"/>
            <w:vAlign w:val="center"/>
          </w:tcPr>
          <w:p>
            <w:pPr>
              <w:spacing w:line="380" w:lineRule="atLeast"/>
              <w:ind w:left="-105" w:leftChars="-50" w:right="-105" w:rightChars="-50"/>
              <w:jc w:val="center"/>
              <w:rPr>
                <w:color w:val="auto"/>
                <w:szCs w:val="21"/>
                <w:highlight w:val="none"/>
              </w:rPr>
            </w:pPr>
            <w:r>
              <w:rPr>
                <w:color w:val="auto"/>
                <w:szCs w:val="21"/>
                <w:highlight w:val="none"/>
              </w:rPr>
              <w:t>履约信誉</w:t>
            </w:r>
          </w:p>
        </w:tc>
        <w:tc>
          <w:tcPr>
            <w:tcW w:w="992" w:type="dxa"/>
            <w:vMerge w:val="restart"/>
            <w:vAlign w:val="center"/>
          </w:tcPr>
          <w:p>
            <w:pPr>
              <w:spacing w:line="380" w:lineRule="atLeast"/>
              <w:jc w:val="right"/>
              <w:rPr>
                <w:color w:val="auto"/>
                <w:szCs w:val="21"/>
                <w:highlight w:val="none"/>
              </w:rPr>
            </w:pPr>
            <w:r>
              <w:rPr>
                <w:color w:val="auto"/>
                <w:szCs w:val="21"/>
                <w:highlight w:val="none"/>
                <w:u w:val="single"/>
              </w:rPr>
              <w:t xml:space="preserve">   </w:t>
            </w:r>
            <w:r>
              <w:rPr>
                <w:color w:val="auto"/>
                <w:szCs w:val="21"/>
                <w:highlight w:val="none"/>
              </w:rPr>
              <w:t>分</w:t>
            </w:r>
          </w:p>
        </w:tc>
        <w:tc>
          <w:tcPr>
            <w:tcW w:w="3165" w:type="dxa"/>
          </w:tcPr>
          <w:p>
            <w:pPr>
              <w:spacing w:line="380" w:lineRule="atLeast"/>
              <w:jc w:val="center"/>
              <w:rPr>
                <w:color w:val="auto"/>
                <w:szCs w:val="21"/>
                <w:highlight w:val="none"/>
              </w:rPr>
            </w:pPr>
            <w:r>
              <w:rPr>
                <w:color w:val="auto"/>
                <w:szCs w:val="21"/>
                <w:highlight w:val="none"/>
              </w:rPr>
              <w:t>……</w:t>
            </w:r>
          </w:p>
        </w:tc>
        <w:tc>
          <w:tcPr>
            <w:tcW w:w="772" w:type="dxa"/>
            <w:vAlign w:val="center"/>
          </w:tcPr>
          <w:p>
            <w:pPr>
              <w:spacing w:line="380" w:lineRule="atLeas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tcPr>
          <w:p>
            <w:pPr>
              <w:spacing w:line="380" w:lineRule="atLeast"/>
              <w:jc w:val="center"/>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rFonts w:eastAsia="隶书"/>
                <w:color w:val="auto"/>
                <w:szCs w:val="21"/>
                <w:highlight w:val="none"/>
              </w:rPr>
            </w:pPr>
          </w:p>
        </w:tc>
        <w:tc>
          <w:tcPr>
            <w:tcW w:w="453" w:type="dxa"/>
            <w:vMerge w:val="continue"/>
            <w:vAlign w:val="center"/>
          </w:tcPr>
          <w:p>
            <w:pPr>
              <w:spacing w:line="380" w:lineRule="atLeast"/>
              <w:jc w:val="center"/>
              <w:rPr>
                <w:rFonts w:eastAsia="隶书"/>
                <w:color w:val="auto"/>
                <w:szCs w:val="21"/>
                <w:highlight w:val="none"/>
              </w:rPr>
            </w:pPr>
          </w:p>
        </w:tc>
        <w:tc>
          <w:tcPr>
            <w:tcW w:w="918" w:type="dxa"/>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b/>
                <w:color w:val="auto"/>
                <w:szCs w:val="21"/>
                <w:highlight w:val="none"/>
              </w:rPr>
            </w:pPr>
          </w:p>
        </w:tc>
        <w:tc>
          <w:tcPr>
            <w:tcW w:w="3165" w:type="dxa"/>
          </w:tcPr>
          <w:p>
            <w:pPr>
              <w:spacing w:line="380" w:lineRule="atLeast"/>
              <w:jc w:val="center"/>
              <w:rPr>
                <w:color w:val="auto"/>
                <w:szCs w:val="21"/>
                <w:highlight w:val="none"/>
              </w:rPr>
            </w:pPr>
            <w:r>
              <w:rPr>
                <w:color w:val="auto"/>
                <w:szCs w:val="21"/>
                <w:highlight w:val="none"/>
              </w:rPr>
              <w:t>……</w:t>
            </w:r>
          </w:p>
        </w:tc>
        <w:tc>
          <w:tcPr>
            <w:tcW w:w="772" w:type="dxa"/>
            <w:vAlign w:val="center"/>
          </w:tcPr>
          <w:p>
            <w:pPr>
              <w:spacing w:line="380" w:lineRule="atLeas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tcPr>
          <w:p>
            <w:pPr>
              <w:spacing w:line="380" w:lineRule="atLeast"/>
              <w:jc w:val="center"/>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rFonts w:eastAsia="隶书"/>
                <w:color w:val="auto"/>
                <w:szCs w:val="21"/>
                <w:highlight w:val="none"/>
              </w:rPr>
            </w:pPr>
          </w:p>
        </w:tc>
        <w:tc>
          <w:tcPr>
            <w:tcW w:w="453" w:type="dxa"/>
            <w:vMerge w:val="continue"/>
          </w:tcPr>
          <w:p>
            <w:pPr>
              <w:spacing w:line="380" w:lineRule="atLeast"/>
              <w:jc w:val="center"/>
              <w:rPr>
                <w:rFonts w:eastAsia="隶书"/>
                <w:color w:val="auto"/>
                <w:szCs w:val="21"/>
                <w:highlight w:val="none"/>
              </w:rPr>
            </w:pPr>
          </w:p>
        </w:tc>
        <w:tc>
          <w:tcPr>
            <w:tcW w:w="918" w:type="dxa"/>
            <w:vMerge w:val="restart"/>
          </w:tcPr>
          <w:p>
            <w:pPr>
              <w:spacing w:line="380" w:lineRule="atLeast"/>
              <w:jc w:val="center"/>
              <w:rPr>
                <w:color w:val="auto"/>
                <w:szCs w:val="21"/>
                <w:highlight w:val="none"/>
              </w:rPr>
            </w:pPr>
            <w:r>
              <w:rPr>
                <w:color w:val="auto"/>
                <w:szCs w:val="21"/>
                <w:highlight w:val="none"/>
              </w:rPr>
              <w:t>……</w:t>
            </w:r>
          </w:p>
        </w:tc>
        <w:tc>
          <w:tcPr>
            <w:tcW w:w="992" w:type="dxa"/>
            <w:vMerge w:val="restart"/>
            <w:vAlign w:val="center"/>
          </w:tcPr>
          <w:p>
            <w:pPr>
              <w:spacing w:line="380" w:lineRule="atLeast"/>
              <w:jc w:val="right"/>
              <w:rPr>
                <w:color w:val="auto"/>
                <w:szCs w:val="21"/>
                <w:highlight w:val="none"/>
              </w:rPr>
            </w:pPr>
            <w:r>
              <w:rPr>
                <w:color w:val="auto"/>
                <w:szCs w:val="21"/>
                <w:highlight w:val="none"/>
                <w:u w:val="single"/>
              </w:rPr>
              <w:t xml:space="preserve">   </w:t>
            </w:r>
            <w:r>
              <w:rPr>
                <w:color w:val="auto"/>
                <w:szCs w:val="21"/>
                <w:highlight w:val="none"/>
              </w:rPr>
              <w:t>分</w:t>
            </w:r>
          </w:p>
        </w:tc>
        <w:tc>
          <w:tcPr>
            <w:tcW w:w="3165" w:type="dxa"/>
          </w:tcPr>
          <w:p>
            <w:pPr>
              <w:spacing w:line="380" w:lineRule="atLeast"/>
              <w:jc w:val="center"/>
              <w:rPr>
                <w:color w:val="auto"/>
                <w:szCs w:val="21"/>
                <w:highlight w:val="none"/>
              </w:rPr>
            </w:pPr>
            <w:r>
              <w:rPr>
                <w:color w:val="auto"/>
                <w:szCs w:val="21"/>
                <w:highlight w:val="none"/>
              </w:rPr>
              <w:t>……</w:t>
            </w:r>
          </w:p>
        </w:tc>
        <w:tc>
          <w:tcPr>
            <w:tcW w:w="772" w:type="dxa"/>
            <w:vAlign w:val="center"/>
          </w:tcPr>
          <w:p>
            <w:pPr>
              <w:spacing w:line="380" w:lineRule="atLeas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tcPr>
          <w:p>
            <w:pPr>
              <w:spacing w:line="380" w:lineRule="atLeast"/>
              <w:jc w:val="center"/>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rFonts w:eastAsia="隶书"/>
                <w:color w:val="auto"/>
                <w:szCs w:val="21"/>
                <w:highlight w:val="none"/>
              </w:rPr>
            </w:pPr>
          </w:p>
        </w:tc>
        <w:tc>
          <w:tcPr>
            <w:tcW w:w="453" w:type="dxa"/>
            <w:vMerge w:val="continue"/>
          </w:tcPr>
          <w:p>
            <w:pPr>
              <w:spacing w:line="380" w:lineRule="atLeast"/>
              <w:jc w:val="center"/>
              <w:rPr>
                <w:rFonts w:eastAsia="隶书"/>
                <w:color w:val="auto"/>
                <w:szCs w:val="21"/>
                <w:highlight w:val="none"/>
              </w:rPr>
            </w:pPr>
          </w:p>
        </w:tc>
        <w:tc>
          <w:tcPr>
            <w:tcW w:w="918" w:type="dxa"/>
            <w:vMerge w:val="continue"/>
          </w:tcPr>
          <w:p>
            <w:pPr>
              <w:spacing w:line="380" w:lineRule="atLeast"/>
              <w:jc w:val="center"/>
              <w:rPr>
                <w:color w:val="auto"/>
                <w:szCs w:val="21"/>
                <w:highlight w:val="none"/>
              </w:rPr>
            </w:pPr>
          </w:p>
        </w:tc>
        <w:tc>
          <w:tcPr>
            <w:tcW w:w="992" w:type="dxa"/>
            <w:vMerge w:val="continue"/>
            <w:vAlign w:val="center"/>
          </w:tcPr>
          <w:p>
            <w:pPr>
              <w:spacing w:line="380" w:lineRule="atLeast"/>
              <w:rPr>
                <w:color w:val="auto"/>
                <w:szCs w:val="21"/>
                <w:highlight w:val="none"/>
                <w:u w:val="single"/>
              </w:rPr>
            </w:pPr>
          </w:p>
        </w:tc>
        <w:tc>
          <w:tcPr>
            <w:tcW w:w="3165" w:type="dxa"/>
          </w:tcPr>
          <w:p>
            <w:pPr>
              <w:spacing w:line="380" w:lineRule="atLeast"/>
              <w:jc w:val="center"/>
              <w:rPr>
                <w:color w:val="auto"/>
                <w:szCs w:val="21"/>
                <w:highlight w:val="none"/>
              </w:rPr>
            </w:pPr>
            <w:r>
              <w:rPr>
                <w:color w:val="auto"/>
                <w:szCs w:val="21"/>
                <w:highlight w:val="none"/>
              </w:rPr>
              <w:t>……</w:t>
            </w:r>
          </w:p>
        </w:tc>
        <w:tc>
          <w:tcPr>
            <w:tcW w:w="772" w:type="dxa"/>
            <w:vAlign w:val="center"/>
          </w:tcPr>
          <w:p>
            <w:pPr>
              <w:spacing w:line="380" w:lineRule="atLeas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tcPr>
          <w:p>
            <w:pPr>
              <w:spacing w:line="380" w:lineRule="atLeast"/>
              <w:jc w:val="center"/>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1" w:type="dxa"/>
            <w:gridSpan w:val="7"/>
          </w:tcPr>
          <w:p>
            <w:pPr>
              <w:spacing w:line="380" w:lineRule="atLeast"/>
              <w:rPr>
                <w:color w:val="auto"/>
                <w:szCs w:val="21"/>
                <w:highlight w:val="none"/>
              </w:rPr>
            </w:pPr>
            <w:r>
              <w:rPr>
                <w:color w:val="auto"/>
                <w:szCs w:val="21"/>
                <w:highlight w:val="none"/>
              </w:rPr>
              <w:t>需要补充的其他内容：</w:t>
            </w:r>
          </w:p>
          <w:p>
            <w:pPr>
              <w:spacing w:line="380" w:lineRule="atLeast"/>
              <w:rPr>
                <w:color w:val="auto"/>
                <w:szCs w:val="21"/>
                <w:highlight w:val="none"/>
              </w:rPr>
            </w:pPr>
            <w:r>
              <w:rPr>
                <w:color w:val="auto"/>
                <w:szCs w:val="21"/>
                <w:highlight w:val="none"/>
              </w:rPr>
              <w:t>……</w:t>
            </w:r>
          </w:p>
        </w:tc>
      </w:tr>
    </w:tbl>
    <w:p>
      <w:pPr>
        <w:pStyle w:val="2"/>
        <w:pageBreakBefore w:val="0"/>
        <w:kinsoku/>
        <w:wordWrap w:val="0"/>
        <w:bidi w:val="0"/>
        <w:spacing w:before="240" w:after="240" w:line="240" w:lineRule="atLeast"/>
        <w:outlineLvl w:val="1"/>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7"/>
          <w:szCs w:val="27"/>
          <w:highlight w:val="none"/>
        </w:rPr>
        <w:br w:type="page"/>
      </w:r>
      <w:bookmarkStart w:id="544" w:name="_Toc14562"/>
      <w:bookmarkStart w:id="545" w:name="_Toc31119"/>
      <w:bookmarkStart w:id="546" w:name="_Toc16708"/>
      <w:bookmarkStart w:id="547" w:name="_Toc12762"/>
      <w:r>
        <w:rPr>
          <w:rFonts w:hint="default" w:ascii="Times New Roman" w:hAnsi="Times New Roman" w:eastAsia="黑体" w:cs="Times New Roman"/>
          <w:b w:val="0"/>
          <w:color w:val="auto"/>
          <w:sz w:val="28"/>
          <w:szCs w:val="28"/>
          <w:highlight w:val="none"/>
        </w:rPr>
        <w:t>1. 评标方法</w:t>
      </w:r>
      <w:bookmarkEnd w:id="544"/>
      <w:bookmarkEnd w:id="545"/>
      <w:bookmarkEnd w:id="546"/>
      <w:bookmarkEnd w:id="547"/>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次评标采用技术评分最低标价法。评标委员会对满足招标文件实质性要求的投标文件的承包人建议书和承包人实施计划、主要人员、技术能力等因素进行评分，按照得分由高到低排序，对排名在招标文件规定数量以内的投标人的报价文件进行评审，按照评标价由低到高的顺序推荐中标候选人，或根据招标人授权直接确定中标人，但投标报价低于其成本的除外。评标价相等时，评标委员会应按照评标办法前附表规定的优先次序推荐中标候选人或确定中标人。</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548" w:name="_Toc27963"/>
      <w:bookmarkStart w:id="549" w:name="_Toc11536"/>
      <w:bookmarkStart w:id="550" w:name="_Toc13195"/>
      <w:bookmarkStart w:id="551" w:name="_Toc16374"/>
      <w:r>
        <w:rPr>
          <w:rFonts w:hint="default" w:ascii="Times New Roman" w:hAnsi="Times New Roman" w:eastAsia="黑体" w:cs="Times New Roman"/>
          <w:b w:val="0"/>
          <w:color w:val="auto"/>
          <w:sz w:val="28"/>
          <w:szCs w:val="28"/>
          <w:highlight w:val="none"/>
        </w:rPr>
        <w:t>2. 评审标准</w:t>
      </w:r>
      <w:bookmarkEnd w:id="548"/>
      <w:bookmarkEnd w:id="549"/>
      <w:bookmarkEnd w:id="550"/>
      <w:bookmarkEnd w:id="551"/>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52" w:name="_Toc22668"/>
      <w:r>
        <w:rPr>
          <w:rFonts w:hint="default" w:ascii="Times New Roman" w:hAnsi="Times New Roman" w:eastAsia="黑体" w:cs="Times New Roman"/>
          <w:b w:val="0"/>
          <w:color w:val="auto"/>
          <w:sz w:val="24"/>
          <w:szCs w:val="24"/>
          <w:highlight w:val="none"/>
        </w:rPr>
        <w:t>2.1 初步评审标准</w:t>
      </w:r>
      <w:bookmarkEnd w:id="552"/>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 形式评审标准：见评标办法前附表。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 资格评审标准：见评标办法前附表。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 响应性评审标准：见评标办法前附表。</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53" w:name="_Toc18677"/>
      <w:r>
        <w:rPr>
          <w:rFonts w:hint="default" w:ascii="Times New Roman" w:hAnsi="Times New Roman" w:eastAsia="黑体" w:cs="Times New Roman"/>
          <w:b w:val="0"/>
          <w:color w:val="auto"/>
          <w:sz w:val="24"/>
          <w:szCs w:val="24"/>
          <w:highlight w:val="none"/>
        </w:rPr>
        <w:t>2.2 分值构成与评分标准</w:t>
      </w:r>
      <w:bookmarkEnd w:id="553"/>
    </w:p>
    <w:p>
      <w:pPr>
        <w:pageBreakBefore w:val="0"/>
        <w:tabs>
          <w:tab w:val="left" w:pos="360"/>
        </w:tabs>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2.2.1 </w:t>
      </w:r>
      <w:r>
        <w:rPr>
          <w:rFonts w:hint="default" w:ascii="Times New Roman" w:hAnsi="Times New Roman" w:eastAsia="宋体" w:cs="Times New Roman"/>
          <w:bCs/>
          <w:color w:val="auto"/>
          <w:kern w:val="44"/>
          <w:sz w:val="24"/>
          <w:highlight w:val="none"/>
        </w:rPr>
        <w:t>第一个信封评分</w:t>
      </w:r>
      <w:r>
        <w:rPr>
          <w:rFonts w:hint="default" w:ascii="Times New Roman" w:hAnsi="Times New Roman" w:eastAsia="宋体" w:cs="Times New Roman"/>
          <w:color w:val="auto"/>
          <w:sz w:val="24"/>
          <w:highlight w:val="none"/>
        </w:rPr>
        <w:t>分值构成</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（1）承包人建议书和承包人实施计划：见评标办法前附表；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（2）主要人员：见评标办法前附表；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（3）其他评分因素：见评标办法前附表。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2.2.2 </w:t>
      </w:r>
      <w:r>
        <w:rPr>
          <w:rFonts w:hint="default" w:ascii="Times New Roman" w:hAnsi="Times New Roman" w:eastAsia="宋体" w:cs="Times New Roman"/>
          <w:bCs/>
          <w:color w:val="auto"/>
          <w:kern w:val="44"/>
          <w:sz w:val="24"/>
          <w:highlight w:val="none"/>
        </w:rPr>
        <w:t>第一个信封评分</w:t>
      </w:r>
      <w:r>
        <w:rPr>
          <w:rFonts w:hint="default" w:ascii="Times New Roman" w:hAnsi="Times New Roman" w:eastAsia="宋体" w:cs="Times New Roman"/>
          <w:color w:val="auto"/>
          <w:sz w:val="24"/>
          <w:highlight w:val="none"/>
        </w:rPr>
        <w:t>评分标准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（1）承包人建议书评分标准：见评标办法前附表；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（2）承包人实施计划评分标准：见评标办法前附表；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（3）主要人员评分标准：见评标办法前附表；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（4）其他因素评分标准：见评标办法前附表。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2.2.3 第二个信封详细评审标准：见评标办法前附表。</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554" w:name="_Toc22811"/>
      <w:bookmarkStart w:id="555" w:name="_Toc15950"/>
      <w:bookmarkStart w:id="556" w:name="_Toc24962"/>
      <w:bookmarkStart w:id="557" w:name="_Toc8846"/>
      <w:r>
        <w:rPr>
          <w:rFonts w:hint="default" w:ascii="Times New Roman" w:hAnsi="Times New Roman" w:eastAsia="黑体" w:cs="Times New Roman"/>
          <w:b w:val="0"/>
          <w:color w:val="auto"/>
          <w:sz w:val="28"/>
          <w:szCs w:val="28"/>
          <w:highlight w:val="none"/>
        </w:rPr>
        <w:t>3. 评标程序</w:t>
      </w:r>
      <w:bookmarkEnd w:id="554"/>
      <w:bookmarkEnd w:id="555"/>
      <w:bookmarkEnd w:id="556"/>
      <w:bookmarkEnd w:id="557"/>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58" w:name="_Toc27889"/>
      <w:r>
        <w:rPr>
          <w:rFonts w:hint="default" w:ascii="Times New Roman" w:hAnsi="Times New Roman" w:eastAsia="黑体" w:cs="Times New Roman"/>
          <w:b w:val="0"/>
          <w:color w:val="auto"/>
          <w:sz w:val="24"/>
          <w:szCs w:val="24"/>
          <w:highlight w:val="none"/>
        </w:rPr>
        <w:t>3.1第一个信封初步评审</w:t>
      </w:r>
      <w:bookmarkEnd w:id="558"/>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评标委员会依据本章第2.1款规定的评审标准对投标文件第一个信封（商务及技术文件）进行初步评审。有一项不符合评审标准的，评标委员会应否决其投标。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投标文件的标的、质量标准、工期等实质性要求和条件不得出现（存在）不利于招标人的偏差，否则，评标委员会应否决其投标。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spacing w:line="400" w:lineRule="atLeast"/>
        <w:ind w:firstLine="480" w:firstLineChars="200"/>
        <w:rPr>
          <w:rFonts w:hint="default" w:ascii="Times New Roman" w:hAnsi="Times New Roman" w:eastAsia="黑体" w:cs="Times New Roman"/>
          <w:b w:val="0"/>
          <w:color w:val="auto"/>
          <w:sz w:val="24"/>
          <w:szCs w:val="24"/>
          <w:highlight w:val="none"/>
        </w:rPr>
      </w:pPr>
      <w:bookmarkStart w:id="559" w:name="_Toc19885"/>
      <w:r>
        <w:rPr>
          <w:rFonts w:hint="default" w:ascii="Times New Roman" w:hAnsi="Times New Roman" w:eastAsia="黑体" w:cs="Times New Roman"/>
          <w:b w:val="0"/>
          <w:color w:val="auto"/>
          <w:sz w:val="24"/>
          <w:szCs w:val="24"/>
          <w:highlight w:val="none"/>
        </w:rPr>
        <w:t>3.2</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第一个信封详细评审</w:t>
      </w:r>
      <w:bookmarkEnd w:id="559"/>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3.2.1 评标委员会按本章第2.2款规定的量化因素和分值进行打分，并计算出各投标人的商务和技术得分。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（1）按本章第2.2.2项（1）</w:t>
      </w:r>
      <w:r>
        <w:rPr>
          <w:rFonts w:hint="eastAsia" w:cs="Times New Roman"/>
          <w:color w:val="auto"/>
          <w:sz w:val="24"/>
          <w:highlight w:val="none"/>
          <w:lang w:val="en-US" w:eastAsia="zh-CN"/>
        </w:rPr>
        <w:t>和（2）</w:t>
      </w:r>
      <w:r>
        <w:rPr>
          <w:rFonts w:hint="default" w:ascii="Times New Roman" w:hAnsi="Times New Roman" w:eastAsia="宋体" w:cs="Times New Roman"/>
          <w:color w:val="auto"/>
          <w:sz w:val="24"/>
          <w:highlight w:val="none"/>
        </w:rPr>
        <w:t>目规定的评审因素和分值对承包人建议书和承包人实施计划部分计算出得分A；</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（2）按本章第2.2.2项（</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rPr>
        <w:t>）目规定的评审因素和分值对主要人员部分计算出得分B；</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（3）按本章第2.2.2项（</w:t>
      </w:r>
      <w:r>
        <w:rPr>
          <w:rFonts w:hint="eastAsia" w:cs="Times New Roman"/>
          <w:color w:val="auto"/>
          <w:sz w:val="24"/>
          <w:highlight w:val="none"/>
          <w:lang w:val="en-US" w:eastAsia="zh-CN"/>
        </w:rPr>
        <w:t>4</w:t>
      </w:r>
      <w:r>
        <w:rPr>
          <w:rFonts w:hint="default" w:ascii="Times New Roman" w:hAnsi="Times New Roman" w:eastAsia="宋体" w:cs="Times New Roman"/>
          <w:color w:val="auto"/>
          <w:sz w:val="24"/>
          <w:highlight w:val="none"/>
        </w:rPr>
        <w:t>）目规定的评审因素和分值对其他部分计算出得分C。</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3.2.2 投标人的商务和技术得分分值计算保留小数点后两位，小数点后第三位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四舍五入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3.2.3 投标人的商务和技术得分=A+B+C。</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3.2.4 评标委员会按照投标人的商务和技术得分由高到低排序，排名在评标办法前附表规定数量以内的投标人，其投标文件第一个信封（商务及技术文件）通过详细评审。</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3.2.5 通过投标文件第一个信封（商务及技术文件）初步评审的投标人不少于3个且未超过评标办法前附表第3.2.4项规定数量的，均通过投标文件第一个信封（商务及技术文件）详细评审，不再对投标人的商务和技术文件进行评分。</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60" w:name="_Toc23420"/>
      <w:r>
        <w:rPr>
          <w:rFonts w:hint="default" w:ascii="Times New Roman" w:hAnsi="Times New Roman" w:eastAsia="黑体" w:cs="Times New Roman"/>
          <w:b w:val="0"/>
          <w:color w:val="auto"/>
          <w:sz w:val="24"/>
          <w:szCs w:val="24"/>
          <w:highlight w:val="none"/>
        </w:rPr>
        <w:t>3.3</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第二个信封开标</w:t>
      </w:r>
      <w:bookmarkEnd w:id="560"/>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第一个信封（商务及技术文件）评审结束后，招标人将按照第二章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第5.1款规定的时间和地点对通过投标文件第一个信封（商务及技术文件）评审的投标文件第二个信封（报价文件）进行开标。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61" w:name="_Toc58"/>
      <w:r>
        <w:rPr>
          <w:rFonts w:hint="default" w:ascii="Times New Roman" w:hAnsi="Times New Roman" w:eastAsia="黑体" w:cs="Times New Roman"/>
          <w:b w:val="0"/>
          <w:color w:val="auto"/>
          <w:sz w:val="24"/>
          <w:szCs w:val="24"/>
          <w:highlight w:val="none"/>
        </w:rPr>
        <w:t>3.4</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第二个信封初步评审</w:t>
      </w:r>
      <w:bookmarkEnd w:id="561"/>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 评标委员会依据本章第2.1.1项、第2.1.3项规定的评审标准对投标文件第二个信封（报价文件）进行初步评审。有一项不符合评审标准的，评标委员会应否决其投标。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w:t>
      </w:r>
      <w:r>
        <w:rPr>
          <w:rFonts w:hint="default" w:ascii="Times New Roman" w:hAnsi="Times New Roman" w:eastAsia="宋体" w:cs="Times New Roman"/>
          <w:color w:val="auto"/>
          <w:highlight w:val="none"/>
          <w:vertAlign w:val="superscript"/>
        </w:rPr>
        <w:footnoteReference w:id="57"/>
      </w:r>
      <w:r>
        <w:rPr>
          <w:rFonts w:hint="default" w:ascii="Times New Roman" w:hAnsi="Times New Roman" w:eastAsia="宋体" w:cs="Times New Roman"/>
          <w:color w:val="auto"/>
          <w:sz w:val="24"/>
          <w:highlight w:val="none"/>
        </w:rPr>
        <w:t xml:space="preserve"> 投标报价有算术错误的，评标委员会按以下原则对投标报价进行修正，修正的价格经投标人书面确认后具有约束力。投标人不接受修正价格的，评标委员会应否决其投标。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（1）投标文件中的大写金额与小写金额不一致的，以大写金额为准；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（2）总价金额与依据单价计算出的结果不一致的，以单价金额为准修正总价，但单价金额小数点有明显错误的除外;</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（3）当单价与数量相乘不等于合价时，以单价计算为准，如果单价有明显的小数点位置差错，应以标出的合价为准，同时对单价予以修正；</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（4）当各子目的合价累计不等于总价时，应以各子目合价累计数为准，修正总价。</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3.4.3 修正后的最终投标报价若超过最高投标限价（如有），评标委员会应否决其投标。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62" w:name="_Toc19697"/>
      <w:r>
        <w:rPr>
          <w:rFonts w:hint="default" w:ascii="Times New Roman" w:hAnsi="Times New Roman" w:eastAsia="黑体" w:cs="Times New Roman"/>
          <w:b w:val="0"/>
          <w:color w:val="auto"/>
          <w:sz w:val="24"/>
          <w:szCs w:val="24"/>
          <w:highlight w:val="none"/>
        </w:rPr>
        <w:t>3.5</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第二个信封详细评审</w:t>
      </w:r>
      <w:bookmarkEnd w:id="562"/>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 评标委员会按本章第2.2款规定的量化因素和标准进行价格折算，计算出评标价，并编制价格比较一览表。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3.5.2 评标委员会发现投标人的报价明显低于其他投标报价，是有可能影响履约的异常低价，应按本章3.7款的规定向投标人发出澄清，要求该投标人作出书面说明该报价的合理性并提供相应证明材料。当投标人不能合理说明并证明其报价的合理性的，评标委员会应以少数服从多数的原则否决其投标。</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63" w:name="_Toc1452"/>
      <w:r>
        <w:rPr>
          <w:rFonts w:hint="default" w:ascii="Times New Roman" w:hAnsi="Times New Roman" w:eastAsia="黑体" w:cs="Times New Roman"/>
          <w:b w:val="0"/>
          <w:color w:val="auto"/>
          <w:sz w:val="24"/>
          <w:szCs w:val="24"/>
          <w:highlight w:val="none"/>
        </w:rPr>
        <w:t>3.6</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投标文件相关信息的核查</w:t>
      </w:r>
      <w:bookmarkEnd w:id="563"/>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 在评标过程中，评标委员会应查询交通运输主管部门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，对投标人的资质、业绩、主要人员资历和目前在岗情况、信用等级等信息进行核实。若投标文件载明的信息与交通运输主管部门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发布的信息不符，使得投标人的资格条件不符合招标文件规定的，评标委员会应否决其投标。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 评标委员会应对在评标过程中发现的投标人与投标人之间、投标人与招标人之间存在的串通投标的情形进行评审和认定。投标人存在串通投标、弄虚作假、行贿等违法行为的，评标委员会应否决其投标。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（1）有下列情形之一的，属于投标人相互串通投标：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a.投标人之间协商投标报价等投标文件的实质性内容；</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b.投标人之间约定中标人；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c.投标人之间约定部分投标人放弃投标或中标；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d.属于同一集团、协会、商会等组织成员的投标人按照该组织要求协同投标；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e.投标人之间为谋取中标或排斥特定投标人而采取的其他联合行动。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（2）有下列情形之一的，视为投标人相互串通投标：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a.不同投标人的投标文件由同一单位或个人编制；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b.不同投标人委托同一单位或个人办理投标事宜；</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c.不同投标人的投标文件载明的项目管理成员为同一人；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d.不同投标人的投标文件异常一致或投标报价呈规律性差异；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e.不同投标人的投标文件相互混装；</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f.不同投标人的投标保证金从同一单位或个人的账户转出。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（3）有下列情形之一的，属于招标人与投标人串通投标：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a.招标人在开标前开启投标文件并将有关信息泄露给其他投标人</w:t>
      </w:r>
      <w:r>
        <w:rPr>
          <w:rFonts w:hint="eastAsia" w:cs="Times New Roman"/>
          <w:color w:val="auto"/>
          <w:sz w:val="24"/>
          <w:highlight w:val="none"/>
          <w:lang w:eastAsia="zh-CN"/>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b.招标人直接或间接向投标人泄露标底、评标委员会成员等信息；</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c.招标人明示或暗示投标人压低或抬高投标报价；</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d.招标人授意投标人撤换、修改投标文件；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e.招标人明示或暗示投标人为特定投标人中标提供方便；</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f.招标人与投标人为谋求特定投标人中标而采取的其他串通行为。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（4）投标人有下列情形之一的，属于弄虚作假的行为：</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a.使用通过受让或租借等方式获取的资格、资质证书投标；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b.使用伪造、变造的许可证件；</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c.提供虚假的财务状况或业绩；</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d.提供虚假的项目负责人或主要技术人员简历、劳动关系证明；</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e.提供虚假的信用状况；</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f.其他弄虚作假的行为。</w:t>
      </w:r>
    </w:p>
    <w:p>
      <w:pPr>
        <w:keepNext/>
        <w:keepLines/>
        <w:pageBreakBefore w:val="0"/>
        <w:widowControl w:val="0"/>
        <w:kinsoku/>
        <w:wordWrap w:val="0"/>
        <w:overflowPunct/>
        <w:topLinePunct w:val="0"/>
        <w:autoSpaceDE/>
        <w:autoSpaceDN/>
        <w:bidi w:val="0"/>
        <w:adjustRightInd/>
        <w:snapToGrid/>
        <w:spacing w:before="240" w:after="240" w:line="400" w:lineRule="atLeast"/>
        <w:textAlignment w:val="auto"/>
        <w:outlineLvl w:val="9"/>
        <w:rPr>
          <w:rFonts w:hint="default" w:ascii="Times New Roman" w:hAnsi="Times New Roman" w:eastAsia="黑体" w:cs="Times New Roman"/>
          <w:b w:val="0"/>
          <w:color w:val="auto"/>
          <w:sz w:val="24"/>
          <w:szCs w:val="24"/>
          <w:highlight w:val="none"/>
        </w:rPr>
      </w:pPr>
      <w:bookmarkStart w:id="564" w:name="_Toc20428"/>
      <w:r>
        <w:rPr>
          <w:rFonts w:hint="default" w:ascii="Times New Roman" w:hAnsi="Times New Roman" w:eastAsia="黑体" w:cs="Times New Roman"/>
          <w:b w:val="0"/>
          <w:color w:val="auto"/>
          <w:sz w:val="24"/>
          <w:szCs w:val="24"/>
          <w:highlight w:val="none"/>
        </w:rPr>
        <w:t>3.7 投标文件的澄清和说明</w:t>
      </w:r>
      <w:bookmarkEnd w:id="564"/>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3.7.2 澄清和说明不得超出投标文件的范围或改变投标文件的实质性内容（算术性错误的修正除外）。投标人的书面澄清、说明属于投标文件的组成部分。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3.7.3 评标委员会不得暗示或诱导投标人作出澄清、说明，对投标人提交的澄清、说明有疑问的，可以要求投标人进一步澄清或说明，直至满足评标委员会的要求。</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3.7.4 凡超出招标文件规定的或给发包人带来未曾要求的利益的变化、偏差或其他因素在评标时不予考虑。</w:t>
      </w:r>
    </w:p>
    <w:p>
      <w:pPr>
        <w:keepNext/>
        <w:keepLines/>
        <w:pageBreakBefore w:val="0"/>
        <w:widowControl w:val="0"/>
        <w:kinsoku/>
        <w:wordWrap w:val="0"/>
        <w:overflowPunct/>
        <w:topLinePunct w:val="0"/>
        <w:autoSpaceDE/>
        <w:autoSpaceDN/>
        <w:bidi w:val="0"/>
        <w:adjustRightInd/>
        <w:snapToGrid/>
        <w:spacing w:before="240" w:after="240" w:line="400" w:lineRule="atLeast"/>
        <w:textAlignment w:val="auto"/>
        <w:outlineLvl w:val="9"/>
        <w:rPr>
          <w:rFonts w:hint="default" w:ascii="Times New Roman" w:hAnsi="Times New Roman" w:eastAsia="黑体" w:cs="Times New Roman"/>
          <w:b w:val="0"/>
          <w:color w:val="auto"/>
          <w:sz w:val="24"/>
          <w:szCs w:val="24"/>
          <w:highlight w:val="none"/>
        </w:rPr>
      </w:pPr>
      <w:bookmarkStart w:id="565" w:name="_Toc24997"/>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 xml:space="preserve"> 不得否决投标的情形</w:t>
      </w:r>
      <w:bookmarkEnd w:id="565"/>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投标文件存在第二章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第1.12.3项所列情形的，均视为细微偏差，评标委员会不得否决投标人的投标，应按照第二章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第1.12.4项规定的原则处理。</w:t>
      </w:r>
    </w:p>
    <w:p>
      <w:pPr>
        <w:keepNext/>
        <w:keepLines/>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566" w:name="_Toc13272"/>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9</w:t>
      </w:r>
      <w:r>
        <w:rPr>
          <w:rFonts w:hint="default" w:ascii="Times New Roman" w:hAnsi="Times New Roman" w:eastAsia="黑体" w:cs="Times New Roman"/>
          <w:b w:val="0"/>
          <w:color w:val="auto"/>
          <w:sz w:val="24"/>
          <w:szCs w:val="24"/>
          <w:highlight w:val="none"/>
        </w:rPr>
        <w:t xml:space="preserve"> 评标结果</w:t>
      </w:r>
      <w:bookmarkEnd w:id="566"/>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3.9.1除第二章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前附表授权直接确定中标人外，评标委员会按照评标价由低到高的顺序推荐中标候选人，并标明排序。</w:t>
      </w:r>
    </w:p>
    <w:p>
      <w:pPr>
        <w:wordWrap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3.9.2 评标委员会完成评标后，应向招标人提交评标报告。</w:t>
      </w:r>
    </w:p>
    <w:p>
      <w:pP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br w:type="page"/>
      </w:r>
    </w:p>
    <w:p>
      <w:pPr>
        <w:wordWrap w:val="0"/>
        <w:spacing w:line="400" w:lineRule="atLeast"/>
        <w:ind w:firstLine="480" w:firstLineChars="200"/>
        <w:outlineLvl w:val="9"/>
        <w:rPr>
          <w:rFonts w:hint="default" w:ascii="Times New Roman" w:hAnsi="Times New Roman" w:cs="Times New Roman"/>
          <w:color w:val="auto"/>
          <w:sz w:val="24"/>
          <w:highlight w:val="none"/>
        </w:rPr>
      </w:pPr>
    </w:p>
    <w:p>
      <w:pPr>
        <w:pStyle w:val="2"/>
        <w:pageBreakBefore w:val="0"/>
        <w:kinsoku/>
        <w:wordWrap w:val="0"/>
        <w:bidi w:val="0"/>
        <w:spacing w:before="480" w:after="240" w:line="380" w:lineRule="atLeast"/>
        <w:jc w:val="center"/>
        <w:rPr>
          <w:rFonts w:hint="default" w:ascii="Times New Roman" w:hAnsi="Times New Roman" w:eastAsia="黑体" w:cs="Times New Roman"/>
          <w:b w:val="0"/>
          <w:color w:val="auto"/>
          <w:sz w:val="36"/>
          <w:szCs w:val="36"/>
          <w:highlight w:val="none"/>
        </w:rPr>
      </w:pPr>
      <w:bookmarkStart w:id="567" w:name="_Toc13134"/>
      <w:r>
        <w:rPr>
          <w:rFonts w:hint="default" w:ascii="Times New Roman" w:hAnsi="Times New Roman" w:eastAsia="黑体" w:cs="Times New Roman"/>
          <w:b w:val="0"/>
          <w:color w:val="auto"/>
          <w:sz w:val="36"/>
          <w:szCs w:val="36"/>
          <w:highlight w:val="none"/>
        </w:rPr>
        <w:t>第三章  评标办法（技术评分</w:t>
      </w:r>
      <w:r>
        <w:rPr>
          <w:rFonts w:hint="eastAsia" w:ascii="黑体" w:hAnsi="黑体" w:eastAsia="黑体" w:cs="黑体"/>
          <w:b w:val="0"/>
          <w:color w:val="auto"/>
          <w:sz w:val="36"/>
          <w:szCs w:val="36"/>
          <w:highlight w:val="none"/>
          <w:lang w:val="en-US" w:eastAsia="zh-CN"/>
        </w:rPr>
        <w:t>合理</w:t>
      </w:r>
      <w:r>
        <w:rPr>
          <w:rFonts w:hint="default" w:ascii="Times New Roman" w:hAnsi="Times New Roman" w:eastAsia="黑体" w:cs="Times New Roman"/>
          <w:b w:val="0"/>
          <w:color w:val="auto"/>
          <w:sz w:val="36"/>
          <w:szCs w:val="36"/>
          <w:highlight w:val="none"/>
        </w:rPr>
        <w:t>低标价法）</w:t>
      </w:r>
      <w:bookmarkEnd w:id="567"/>
    </w:p>
    <w:p>
      <w:pPr>
        <w:keepNext/>
        <w:keepLines/>
        <w:pageBreakBefore w:val="0"/>
        <w:kinsoku/>
        <w:wordWrap w:val="0"/>
        <w:bidi w:val="0"/>
        <w:spacing w:before="480" w:after="240"/>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评标办法前附表</w:t>
      </w:r>
      <w:r>
        <w:rPr>
          <w:rStyle w:val="45"/>
          <w:rFonts w:hint="default" w:ascii="Times New Roman" w:hAnsi="Times New Roman" w:eastAsia="黑体" w:cs="Times New Roman"/>
          <w:color w:val="auto"/>
          <w:kern w:val="2"/>
          <w:sz w:val="28"/>
          <w:szCs w:val="28"/>
          <w:highlight w:val="none"/>
        </w:rPr>
        <w:footnoteReference w:id="58"/>
      </w:r>
    </w:p>
    <w:tbl>
      <w:tblPr>
        <w:tblStyle w:val="37"/>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89"/>
        <w:gridCol w:w="1583"/>
        <w:gridCol w:w="631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2572" w:type="dxa"/>
            <w:gridSpan w:val="2"/>
            <w:tcBorders>
              <w:top w:val="single" w:color="auto" w:sz="4" w:space="0"/>
              <w:bottom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631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pacing w:val="4"/>
                <w:szCs w:val="21"/>
                <w:highlight w:val="none"/>
              </w:rPr>
            </w:pPr>
            <w:r>
              <w:rPr>
                <w:rFonts w:hint="default" w:ascii="Times New Roman" w:hAnsi="Times New Roman" w:cs="Times New Roman"/>
                <w:b/>
                <w:color w:val="auto"/>
                <w:spacing w:val="4"/>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583"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评标方法</w:t>
            </w:r>
          </w:p>
        </w:tc>
        <w:tc>
          <w:tcPr>
            <w:tcW w:w="6319"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w:t>
            </w:r>
            <w:r>
              <w:rPr>
                <w:rFonts w:hint="eastAsia" w:cs="Times New Roman"/>
                <w:color w:val="auto"/>
                <w:szCs w:val="21"/>
                <w:highlight w:val="none"/>
                <w:lang w:val="en-US" w:eastAsia="zh-CN"/>
              </w:rPr>
              <w:t>得分</w:t>
            </w:r>
            <w:r>
              <w:rPr>
                <w:rFonts w:hint="default" w:ascii="Times New Roman" w:hAnsi="Times New Roman" w:cs="Times New Roman"/>
                <w:color w:val="auto"/>
                <w:szCs w:val="21"/>
                <w:highlight w:val="none"/>
              </w:rPr>
              <w:t>相等时，评标委员会依次按照以下优先顺序推荐中标候选人或确定中标人：</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（1）评标价低的投标人优先；</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（2）被</w:t>
            </w:r>
            <w:r>
              <w:rPr>
                <w:rFonts w:hint="eastAsia" w:cs="Times New Roman"/>
                <w:color w:val="auto"/>
                <w:szCs w:val="21"/>
                <w:highlight w:val="none"/>
                <w:lang w:val="en-US" w:eastAsia="zh-CN"/>
              </w:rPr>
              <w:t>辽宁</w:t>
            </w:r>
            <w:r>
              <w:rPr>
                <w:rFonts w:hint="default" w:ascii="Times New Roman" w:hAnsi="Times New Roman" w:cs="Times New Roman"/>
                <w:color w:val="auto"/>
                <w:szCs w:val="21"/>
                <w:highlight w:val="none"/>
              </w:rPr>
              <w:t>省交通运输</w:t>
            </w:r>
            <w:r>
              <w:rPr>
                <w:rFonts w:hint="eastAsia" w:cs="Times New Roman"/>
                <w:color w:val="auto"/>
                <w:szCs w:val="21"/>
                <w:highlight w:val="none"/>
                <w:lang w:val="en-US" w:eastAsia="zh-CN"/>
              </w:rPr>
              <w:t>厅</w:t>
            </w:r>
            <w:r>
              <w:rPr>
                <w:rFonts w:hint="default" w:ascii="Times New Roman" w:hAnsi="Times New Roman" w:cs="Times New Roman"/>
                <w:color w:val="auto"/>
                <w:szCs w:val="21"/>
                <w:highlight w:val="none"/>
              </w:rPr>
              <w:t>评为较高信用等级的投标人优先；</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2.1.1</w:t>
            </w:r>
          </w:p>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2.1.3</w:t>
            </w:r>
          </w:p>
        </w:tc>
        <w:tc>
          <w:tcPr>
            <w:tcW w:w="1583" w:type="dxa"/>
            <w:tcBorders>
              <w:top w:val="single" w:color="auto" w:sz="4" w:space="0"/>
              <w:bottom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形式评审与响应性评审标准</w:t>
            </w:r>
          </w:p>
        </w:tc>
        <w:tc>
          <w:tcPr>
            <w:tcW w:w="6319"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56"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第一个信封（商务及技术文件）评审标准：</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a.投标函按招标文件规定填报了项目名称、标段号、补遗书编号（如有）、工期、工程质量要求及安全目标；</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b.投标函附录的所有数据均符合招标文件规定；</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）投标人按照招标文件的规定提供了投标保证金：</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a.投标保证金金额符合招标文件规定的金额，且投标保证金有效期不少于投标有效期；</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b.若投标保证金采用现金或支票形式提交，投标人应在递交投标文件截止时间之前，将投标保证金由投标人的基本账户转入招标人指定账户；</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c.若投标保证金采用银行保函形式提交，银行保函的格式、开具保函的银行均满足招标文件要求；</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d.若投标保证金采用电子保函形式提交，投标人应在投标文件中提供电子保函的原件扫描件、电子化保函验真渠道和从投标人基本账户支出的保函财务费用支付凭证。</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（4）投标人法定代表人授权委托代理人签署投标文件的，须提交授权委托书，且授权人和被授权人均在授权委托书上使用CA 数字证书加盖个人电子印章或电子签名。</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（5）投标人法定代表人亲自签署投标文件的，提供了法定代表人身份证明，且法定代表人在法定代表人身份证明上使用CA 数字证书加盖个人电子印章或电子签名。</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（6）投标人以联合体形式投标时，联合体满足招标文件的要求：投标人按照招标文件提供的格式签订了联合体协议书，明确各方承担连带责任，并明确了联合体牵头人。</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（7）投标人如有分包计划，符合招标文件第二章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第1.11款规定，且按招标文件第七章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投标文件格式</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的要求填写了</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拟分包项目情况表</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（8）同一投标人未提交两个以上不同的投标文件，但招标文件要求提交备选投标的除外。</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（9）投标文件中未出现有关投标报价的内容。</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（10）投标文件载明的招标项目完成期限未超过招标文件规定的时限。</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（11）投标文件对招标文件的实质性要求和条件作出响应。</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（12）权利义务符合招标文件规定：</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a.投标人应接受招标文件规定的风险划分原则，未提出新的风险划分办法；</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b.投标人未增加发包人的责任范围，或减少投标人义务；</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c.投标人未提出不同的工程验收、计量、支付办法；</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d.投标人对合同纠纷、事故处理办法未提出异议；</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e.投标人在投标活动中无欺诈行为；</w:t>
            </w:r>
          </w:p>
          <w:p>
            <w:pPr>
              <w:pageBreakBefore w:val="0"/>
              <w:kinsoku/>
              <w:wordWrap w:val="0"/>
              <w:overflowPunct/>
              <w:bidi w:val="0"/>
              <w:spacing w:line="356"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f.投标人未对合同条款有重要保留。</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承包人建议书</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承包人实施计划</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采用暗标形式，其编制须满足招标文件要求。</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eastAsia="zh-CN"/>
              </w:rPr>
              <w:t>（14）投标人上传投标文件的标段数量满足第一章</w:t>
            </w:r>
            <w:r>
              <w:rPr>
                <w:rFonts w:hint="eastAsia" w:ascii="宋体" w:hAnsi="宋体" w:eastAsia="宋体" w:cs="宋体"/>
                <w:color w:val="auto"/>
                <w:szCs w:val="21"/>
                <w:highlight w:val="none"/>
                <w:lang w:eastAsia="zh-CN"/>
              </w:rPr>
              <w:t>“</w:t>
            </w:r>
            <w:r>
              <w:rPr>
                <w:rFonts w:hint="default" w:ascii="Times New Roman" w:hAnsi="Times New Roman" w:cs="Times New Roman"/>
                <w:color w:val="auto"/>
                <w:szCs w:val="21"/>
                <w:highlight w:val="none"/>
                <w:lang w:eastAsia="zh-CN"/>
              </w:rPr>
              <w:t>招标公告</w:t>
            </w:r>
            <w:r>
              <w:rPr>
                <w:rFonts w:hint="eastAsia" w:ascii="宋体" w:hAnsi="宋体" w:eastAsia="宋体" w:cs="宋体"/>
                <w:color w:val="auto"/>
                <w:szCs w:val="21"/>
                <w:highlight w:val="none"/>
                <w:lang w:eastAsia="zh-CN"/>
              </w:rPr>
              <w:t>”</w:t>
            </w:r>
            <w:r>
              <w:rPr>
                <w:rFonts w:hint="default" w:ascii="Times New Roman" w:hAnsi="Times New Roman" w:cs="Times New Roman"/>
                <w:color w:val="auto"/>
                <w:szCs w:val="21"/>
                <w:highlight w:val="none"/>
                <w:lang w:eastAsia="zh-CN"/>
              </w:rPr>
              <w:t>第3.3款规定，投标函上填写的标段号与上传的对应项目标段号一致。</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p>
          <w:p>
            <w:pPr>
              <w:pageBreakBefore w:val="0"/>
              <w:kinsoku/>
              <w:wordWrap w:val="0"/>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第二个信封（报价文件）评审标准：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a.投标函按招标文件规定填报了项目名称、标段号、补遗书编号（如有）、投标价（包括大写金额和小写金额）；</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b.价格清单说明文字与招标文件规定一致，未进行实质性修改和删减；</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（3）投标报价未超过招标文件设定的最高投标限价（如有）。</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（4）投标报价的大写金额能够确定具体数值。</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（5）同一投标人未提交两个以上不同的投标报价，但招标文件要求提交备选投标的除外。</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30" w:hRule="atLeast"/>
        </w:trPr>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w:t>
            </w:r>
          </w:p>
        </w:tc>
        <w:tc>
          <w:tcPr>
            <w:tcW w:w="1583"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资格评审</w:t>
            </w:r>
          </w:p>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w:t>
            </w:r>
          </w:p>
        </w:tc>
        <w:tc>
          <w:tcPr>
            <w:tcW w:w="6319"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（1）投标人具备有效的营业执照、资质证书、安全生产许可证。 </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（2）投标人的资质等级符合招标文件规定。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（3）投标人的财务状况符合招标文件规定。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（4）投标人的类似项目业绩符合招标文件规定。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（5）投标人的信誉符合招标文件规定。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（6）投标人的项目负责人、设计负责人和施工负责人资格、项目负责人和施工负责人的在岗情况符合招标文件规定。</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（7）投标人的其他要求符合招标文件规定。</w:t>
            </w:r>
            <w:r>
              <w:rPr>
                <w:rFonts w:hint="default" w:ascii="Times New Roman" w:hAnsi="Times New Roman" w:cs="Times New Roman"/>
                <w:color w:val="auto"/>
                <w:szCs w:val="21"/>
                <w:highlight w:val="none"/>
                <w:vertAlign w:val="superscript"/>
              </w:rPr>
              <w:footnoteReference w:id="59"/>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rPr>
              <w:t>（8）投标人不存在第二章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第1.4.3项或第1.4.4项规定的任何一种情形</w:t>
            </w:r>
            <w:r>
              <w:rPr>
                <w:rFonts w:hint="default" w:ascii="Times New Roman" w:hAnsi="Times New Roman" w:cs="Times New Roman"/>
                <w:color w:val="auto"/>
                <w:szCs w:val="21"/>
                <w:highlight w:val="none"/>
                <w:lang w:eastAsia="zh-CN"/>
              </w:rPr>
              <w:t>。</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9</w:t>
            </w:r>
            <w:r>
              <w:rPr>
                <w:rFonts w:hint="default" w:ascii="Times New Roman" w:hAnsi="Times New Roman" w:cs="Times New Roman"/>
                <w:color w:val="auto"/>
                <w:szCs w:val="21"/>
                <w:highlight w:val="none"/>
              </w:rPr>
              <w:t>）投标人符合第二章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第1.4.5项规定。</w:t>
            </w:r>
            <w:r>
              <w:rPr>
                <w:rStyle w:val="45"/>
                <w:rFonts w:hint="default" w:ascii="Times New Roman" w:hAnsi="Times New Roman" w:cs="Times New Roman"/>
                <w:color w:val="auto"/>
                <w:highlight w:val="none"/>
              </w:rPr>
              <w:footnoteReference w:id="60"/>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rPr>
              <w:t>）以联合体形式参与投标的，联合体各方均未再以自己名义单独或参加其他联合体在同一标段中投标；独立参与投标的，投标人未同时参加联合体在同一标段中投标。</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1583"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条款内容</w:t>
            </w:r>
          </w:p>
        </w:tc>
        <w:tc>
          <w:tcPr>
            <w:tcW w:w="6319" w:type="dxa"/>
            <w:tcBorders>
              <w:top w:val="single" w:color="auto" w:sz="4" w:space="0"/>
              <w:left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w:t>
            </w:r>
          </w:p>
        </w:tc>
        <w:tc>
          <w:tcPr>
            <w:tcW w:w="1583"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第一个信封评分分值构成</w:t>
            </w:r>
            <w:r>
              <w:rPr>
                <w:rStyle w:val="45"/>
                <w:rFonts w:hint="default" w:ascii="Times New Roman" w:hAnsi="Times New Roman" w:cs="Times New Roman"/>
                <w:color w:val="auto"/>
                <w:highlight w:val="none"/>
              </w:rPr>
              <w:footnoteReference w:id="61"/>
            </w:r>
          </w:p>
          <w:p>
            <w:pPr>
              <w:pageBreakBefore w:val="0"/>
              <w:kinsoku/>
              <w:wordWrap w:val="0"/>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（总分100分）</w:t>
            </w:r>
          </w:p>
        </w:tc>
        <w:tc>
          <w:tcPr>
            <w:tcW w:w="6319" w:type="dxa"/>
            <w:tcBorders>
              <w:top w:val="single" w:color="auto" w:sz="4" w:space="0"/>
              <w:left w:val="single" w:color="auto" w:sz="4" w:space="0"/>
              <w:right w:val="single" w:color="auto" w:sz="4" w:space="0"/>
            </w:tcBorders>
            <w:noWrap w:val="0"/>
            <w:vAlign w:val="center"/>
          </w:tcPr>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承包人建议书：</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承包人实施计划：</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overflowPunct/>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技术能力</w:t>
            </w:r>
            <w:r>
              <w:rPr>
                <w:rStyle w:val="45"/>
                <w:rFonts w:hint="default" w:ascii="Times New Roman" w:hAnsi="Times New Roman" w:cs="Times New Roman"/>
                <w:color w:val="auto"/>
                <w:highlight w:val="none"/>
              </w:rPr>
              <w:footnoteReference w:id="62"/>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履约信誉：</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bidi w:val="0"/>
              <w:spacing w:line="360" w:lineRule="atLeast"/>
              <w:ind w:firstLine="420" w:firstLineChars="200"/>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2.2.3</w:t>
            </w:r>
          </w:p>
        </w:tc>
        <w:tc>
          <w:tcPr>
            <w:tcW w:w="1583"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w:t>
            </w:r>
            <w:r>
              <w:rPr>
                <w:rFonts w:hint="eastAsia" w:cs="Times New Roman"/>
                <w:color w:val="auto"/>
                <w:szCs w:val="21"/>
                <w:highlight w:val="none"/>
                <w:lang w:val="en-US" w:eastAsia="zh-CN"/>
              </w:rPr>
              <w:t>二</w:t>
            </w:r>
            <w:r>
              <w:rPr>
                <w:rFonts w:hint="default" w:ascii="Times New Roman" w:hAnsi="Times New Roman" w:cs="Times New Roman"/>
                <w:color w:val="auto"/>
                <w:szCs w:val="21"/>
                <w:highlight w:val="none"/>
              </w:rPr>
              <w:t>个信封评分分值构成</w:t>
            </w:r>
            <w:r>
              <w:rPr>
                <w:rFonts w:hint="eastAsia" w:cs="Times New Roman"/>
                <w:color w:val="auto"/>
                <w:szCs w:val="21"/>
                <w:highlight w:val="none"/>
                <w:lang w:val="en-US" w:eastAsia="zh-CN"/>
              </w:rPr>
              <w:t>及</w:t>
            </w:r>
            <w:r>
              <w:rPr>
                <w:rFonts w:hint="default" w:ascii="Times New Roman" w:hAnsi="Times New Roman" w:cs="Times New Roman"/>
                <w:color w:val="auto"/>
                <w:szCs w:val="21"/>
                <w:highlight w:val="none"/>
              </w:rPr>
              <w:t>详细评审标准（总分100分）</w:t>
            </w:r>
          </w:p>
        </w:tc>
        <w:tc>
          <w:tcPr>
            <w:tcW w:w="6319"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评标价：100分</w:t>
            </w:r>
          </w:p>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评标价计算公式：</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评标价＝投标函文字报价－暂估价－暂列金额（不含计日工总额）</w:t>
            </w:r>
          </w:p>
          <w:p>
            <w:pPr>
              <w:pageBreakBefore w:val="0"/>
              <w:kinsoku/>
              <w:wordWrap w:val="0"/>
              <w:bidi w:val="0"/>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2.2.4</w:t>
            </w:r>
          </w:p>
        </w:tc>
        <w:tc>
          <w:tcPr>
            <w:tcW w:w="1583"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ascii="Times New Roman" w:hAnsi="Times New Roman" w:eastAsia="宋体" w:cs="Times New Roman"/>
                <w:color w:val="auto"/>
                <w:szCs w:val="21"/>
                <w:highlight w:val="none"/>
              </w:rPr>
              <w:t>评标基准价计算方法</w:t>
            </w:r>
          </w:p>
        </w:tc>
        <w:tc>
          <w:tcPr>
            <w:tcW w:w="6319"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在开标现场，招标人将当场计算并宣布各标段评标基准价。在评标过程中，评标委员会将对招标人计算的评标基准价进行复核，存在计算错误的应予以修正并在评标报告中作出说明。除此之外，评标基准价在整个评标期间保持不变，不随任何因素发生变化。</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计算差错，仅限于以下两种情况：</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纯算术性四则运算差错；</w:t>
            </w:r>
            <w:r>
              <w:rPr>
                <w:rFonts w:hint="eastAsia" w:ascii="Times New Roman" w:hAnsi="Times New Roman" w:eastAsia="宋体" w:cs="Times New Roman"/>
                <w:color w:val="auto"/>
                <w:kern w:val="0"/>
                <w:szCs w:val="21"/>
                <w:highlight w:val="none"/>
                <w:lang w:bidi="ar"/>
              </w:rPr>
              <w:t>2、</w:t>
            </w:r>
            <w:r>
              <w:rPr>
                <w:rFonts w:ascii="Times New Roman" w:hAnsi="Times New Roman" w:eastAsia="宋体" w:cs="Times New Roman"/>
                <w:color w:val="auto"/>
                <w:kern w:val="0"/>
                <w:szCs w:val="21"/>
                <w:highlight w:val="none"/>
                <w:lang w:bidi="ar"/>
              </w:rPr>
              <w:t>未按约定的</w:t>
            </w:r>
            <w:r>
              <w:rPr>
                <w:rFonts w:hint="eastAsia" w:ascii="Times New Roman" w:hAnsi="Times New Roman" w:eastAsia="宋体" w:cs="Times New Roman"/>
                <w:color w:val="auto"/>
                <w:kern w:val="0"/>
                <w:szCs w:val="21"/>
                <w:highlight w:val="none"/>
                <w:lang w:bidi="ar"/>
              </w:rPr>
              <w:t>规则</w:t>
            </w:r>
            <w:r>
              <w:rPr>
                <w:rFonts w:ascii="Times New Roman" w:hAnsi="Times New Roman" w:eastAsia="宋体" w:cs="Times New Roman"/>
                <w:color w:val="auto"/>
                <w:kern w:val="0"/>
                <w:szCs w:val="21"/>
                <w:highlight w:val="none"/>
                <w:lang w:bidi="ar"/>
              </w:rPr>
              <w:t>，多计或少计</w:t>
            </w:r>
            <w:r>
              <w:rPr>
                <w:rFonts w:hint="eastAsia" w:ascii="Times New Roman" w:hAnsi="Times New Roman" w:eastAsia="宋体" w:cs="Times New Roman"/>
                <w:color w:val="auto"/>
                <w:kern w:val="0"/>
                <w:szCs w:val="21"/>
                <w:highlight w:val="none"/>
                <w:lang w:bidi="ar"/>
              </w:rPr>
              <w:t>参加评标价平均值计算的评标价</w:t>
            </w:r>
            <w:r>
              <w:rPr>
                <w:rFonts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本次招标设定</w:t>
            </w:r>
            <w:r>
              <w:rPr>
                <w:rFonts w:ascii="Times New Roman" w:hAnsi="Times New Roman" w:eastAsia="宋体" w:cs="Times New Roman"/>
                <w:color w:val="auto"/>
                <w:highlight w:val="none"/>
              </w:rPr>
              <w:t>3</w:t>
            </w:r>
            <w:r>
              <w:rPr>
                <w:rFonts w:hint="eastAsia" w:ascii="Times New Roman" w:hAnsi="Times New Roman" w:eastAsia="宋体" w:cs="Times New Roman"/>
                <w:color w:val="auto"/>
                <w:highlight w:val="none"/>
              </w:rPr>
              <w:t>种评标价平均值（B）计算方法，在第二个信封（报价文件）开标现场，每个标段随机抽取其中1种作为该标段的评标价平均值计算方法。</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highlight w:val="none"/>
              </w:rPr>
            </w:pPr>
            <w:r>
              <w:rPr>
                <w:rFonts w:hint="eastAsia" w:ascii="Times New Roman" w:hAnsi="Times New Roman" w:eastAsia="宋体" w:cs="Times New Roman"/>
                <w:b/>
                <w:bCs/>
                <w:color w:val="auto"/>
                <w:kern w:val="0"/>
                <w:szCs w:val="21"/>
                <w:highlight w:val="none"/>
                <w:lang w:bidi="ar"/>
              </w:rPr>
              <w:t>一、</w:t>
            </w:r>
            <w:r>
              <w:rPr>
                <w:rFonts w:ascii="Times New Roman" w:hAnsi="Times New Roman" w:eastAsia="宋体" w:cs="Times New Roman"/>
                <w:b/>
                <w:bCs/>
                <w:color w:val="auto"/>
                <w:kern w:val="0"/>
                <w:szCs w:val="21"/>
                <w:highlight w:val="none"/>
                <w:lang w:bidi="ar"/>
              </w:rPr>
              <w:t>评标价</w:t>
            </w:r>
            <w:r>
              <w:rPr>
                <w:rFonts w:hint="eastAsia" w:ascii="Times New Roman" w:hAnsi="Times New Roman" w:eastAsia="宋体" w:cs="Times New Roman"/>
                <w:b/>
                <w:bCs/>
                <w:color w:val="auto"/>
                <w:kern w:val="0"/>
                <w:szCs w:val="21"/>
                <w:highlight w:val="none"/>
                <w:lang w:bidi="ar"/>
              </w:rPr>
              <w:t>（A）</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评标价=投标函的文字报价</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如果投标文件出现以下1～5任一情况，不参加评标价平均值的计算：</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1、未按要求在投标函上填写投标总价；</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黑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、投标报价超出招标人公布的最高投标限价，或低于招标人公布的最高投标限价的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黑体" w:cs="Times New Roman"/>
                <w:color w:val="auto"/>
                <w:kern w:val="0"/>
                <w:szCs w:val="21"/>
                <w:highlight w:val="none"/>
                <w:lang w:bidi="ar"/>
              </w:rPr>
              <w:t>（注：由招标人在招标文件中约定低于投标最高限价一定范围值的投标报价不参与评标基准价的计算，G%原则上在85%～90%之间取值。）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、无法确定投标报价具体数值；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4</w:t>
            </w:r>
            <w:r>
              <w:rPr>
                <w:rFonts w:hint="eastAsia" w:ascii="Times New Roman" w:hAnsi="Times New Roman" w:eastAsia="宋体" w:cs="Times New Roman"/>
                <w:color w:val="auto"/>
                <w:kern w:val="0"/>
                <w:szCs w:val="21"/>
                <w:highlight w:val="none"/>
                <w:lang w:bidi="ar"/>
              </w:rPr>
              <w:t>、投标函上填写的标段号与上传的对应项目标段号不一致（如分标段）；</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、投标函中的投标报价大写金额与投标文件工程量清单中的投标报价金额不一致。</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投标文件存在以上1～5任一情况，但招标人在第二个信封（报价文件）开标现场未发现的，视为计算过程中基础数据取用错误，由评标委员会在评标过程中予以修正。投标文件未出现以上1～5情况的，均参加评标价平均值的计算。</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kern w:val="0"/>
                <w:szCs w:val="21"/>
                <w:highlight w:val="none"/>
                <w:lang w:bidi="ar"/>
              </w:rPr>
            </w:pPr>
            <w:r>
              <w:rPr>
                <w:rFonts w:hint="eastAsia" w:ascii="Times New Roman" w:hAnsi="Times New Roman" w:eastAsia="宋体" w:cs="Times New Roman"/>
                <w:b/>
                <w:bCs/>
                <w:color w:val="auto"/>
                <w:kern w:val="0"/>
                <w:szCs w:val="21"/>
                <w:highlight w:val="none"/>
                <w:lang w:bidi="ar"/>
              </w:rPr>
              <w:t>二、评标价平均值（B）计算方法1</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C为招标人设定的最高投标限价</w:t>
            </w:r>
            <w:r>
              <w:rPr>
                <w:rFonts w:hint="eastAsia" w:cs="Times New Roman"/>
                <w:color w:val="auto"/>
                <w:kern w:val="0"/>
                <w:szCs w:val="21"/>
                <w:highlight w:val="none"/>
                <w:lang w:eastAsia="zh-CN" w:bidi="ar"/>
              </w:rPr>
              <w:t>，</w:t>
            </w:r>
            <w:r>
              <w:rPr>
                <w:rFonts w:hint="eastAsia" w:ascii="Times New Roman" w:hAnsi="Times New Roman" w:eastAsia="宋体" w:cs="Times New Roman"/>
                <w:color w:val="auto"/>
                <w:kern w:val="0"/>
                <w:szCs w:val="21"/>
                <w:highlight w:val="none"/>
                <w:lang w:bidi="ar"/>
              </w:rPr>
              <w:t>如果所有评标价均低于</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），则评标价平均值（B）直接为</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）。否则，按以下方式计算评标价平均值（B）：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、评标价初始平均值（B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所有参加评标价平均值计算的评标价的算术平均值为评标价初始平均值B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评标价初始平均值（B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、评标价区段平均值（B</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根据下述区段计算</w:t>
            </w:r>
            <w:r>
              <w:rPr>
                <w:rFonts w:hint="eastAsia" w:ascii="Times New Roman" w:hAnsi="Times New Roman" w:eastAsia="宋体" w:cs="Times New Roman"/>
                <w:color w:val="auto"/>
                <w:kern w:val="0"/>
                <w:szCs w:val="21"/>
                <w:highlight w:val="none"/>
                <w:lang w:bidi="ar"/>
              </w:rPr>
              <w:t>评标价</w:t>
            </w:r>
            <w:r>
              <w:rPr>
                <w:rFonts w:ascii="Times New Roman" w:hAnsi="Times New Roman" w:eastAsia="宋体" w:cs="Times New Roman"/>
                <w:color w:val="auto"/>
                <w:kern w:val="0"/>
                <w:szCs w:val="21"/>
                <w:highlight w:val="none"/>
                <w:lang w:bidi="ar"/>
              </w:rPr>
              <w:t>区段平均值</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B2.1</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B2.2</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B2.15</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B2.16</w:t>
            </w:r>
            <w:r>
              <w:rPr>
                <w:rFonts w:hint="eastAsia" w:ascii="Times New Roman" w:hAnsi="Times New Roman" w:eastAsia="宋体" w:cs="Times New Roman"/>
                <w:color w:val="auto"/>
                <w:kern w:val="0"/>
                <w:szCs w:val="21"/>
                <w:highlight w:val="none"/>
                <w:lang w:bidi="ar"/>
              </w:rPr>
              <w:t>），各</w:t>
            </w:r>
            <w:r>
              <w:rPr>
                <w:rFonts w:ascii="Times New Roman" w:hAnsi="Times New Roman" w:eastAsia="宋体" w:cs="Times New Roman"/>
                <w:color w:val="auto"/>
                <w:kern w:val="0"/>
                <w:szCs w:val="21"/>
                <w:highlight w:val="none"/>
                <w:lang w:bidi="ar"/>
              </w:rPr>
              <w:t>区段</w:t>
            </w:r>
            <w:r>
              <w:rPr>
                <w:rFonts w:hint="eastAsia" w:ascii="Times New Roman" w:hAnsi="Times New Roman" w:eastAsia="宋体" w:cs="Times New Roman"/>
                <w:color w:val="auto"/>
                <w:kern w:val="0"/>
                <w:szCs w:val="21"/>
                <w:highlight w:val="none"/>
                <w:lang w:bidi="ar"/>
              </w:rPr>
              <w:t>平均值为该区段内</w:t>
            </w:r>
            <w:r>
              <w:rPr>
                <w:rFonts w:ascii="Times New Roman" w:hAnsi="Times New Roman" w:eastAsia="宋体" w:cs="Times New Roman"/>
                <w:color w:val="auto"/>
                <w:kern w:val="0"/>
                <w:szCs w:val="21"/>
                <w:highlight w:val="none"/>
                <w:lang w:bidi="ar"/>
              </w:rPr>
              <w:t>各评标价的算术平均值</w:t>
            </w:r>
            <w:r>
              <w:rPr>
                <w:rFonts w:hint="eastAsia" w:ascii="Times New Roman" w:hAnsi="Times New Roman" w:eastAsia="宋体" w:cs="Times New Roman"/>
                <w:color w:val="auto"/>
                <w:kern w:val="0"/>
                <w:szCs w:val="21"/>
                <w:highlight w:val="none"/>
                <w:lang w:bidi="ar"/>
              </w:rPr>
              <w:t>。如：B2.2为</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1.03*B1（不含）～1.035*B1（含）</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范围内的所有评标价的算术平均值。评标价区段平均值（B</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3"/>
              <w:gridCol w:w="2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区段</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区段平均值</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.035*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.03*</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.035*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.025*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.03*</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.02*</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.025*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.015*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.02*</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.01*</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.015*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.005*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.01*</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.00*</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.005*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0.995*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.00*</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0.99*</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0.995*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0.985*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0.99*</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0.98*</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0.985*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0.975*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0.98*</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0.97*</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0.975*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0.965*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0.97*</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评标价&lt;0.965*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B2.16</w:t>
                  </w:r>
                </w:p>
              </w:tc>
            </w:tr>
          </w:tbl>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（1）按下列公式，</w:t>
            </w:r>
            <w:r>
              <w:rPr>
                <w:rFonts w:ascii="Times New Roman" w:hAnsi="Times New Roman" w:eastAsia="宋体" w:cs="Times New Roman"/>
                <w:color w:val="auto"/>
                <w:kern w:val="0"/>
                <w:szCs w:val="21"/>
                <w:highlight w:val="none"/>
                <w:lang w:bidi="ar"/>
              </w:rPr>
              <w:t>将计算得出的区段平均值</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B2.1</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B2.2</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B2.15</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进行加权平均</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2.1</w:t>
            </w:r>
            <w:r>
              <w:rPr>
                <w:rFonts w:hint="eastAsia" w:ascii="Times New Roman" w:hAnsi="Times New Roman" w:eastAsia="宋体" w:cs="Times New Roman"/>
                <w:color w:val="auto"/>
                <w:kern w:val="0"/>
                <w:szCs w:val="21"/>
                <w:highlight w:val="none"/>
                <w:lang w:bidi="ar"/>
              </w:rPr>
              <w:t>和B</w:t>
            </w:r>
            <w:r>
              <w:rPr>
                <w:rFonts w:ascii="Times New Roman" w:hAnsi="Times New Roman" w:eastAsia="宋体" w:cs="Times New Roman"/>
                <w:color w:val="auto"/>
                <w:kern w:val="0"/>
                <w:szCs w:val="21"/>
                <w:highlight w:val="none"/>
                <w:lang w:bidi="ar"/>
              </w:rPr>
              <w:t>2.16</w:t>
            </w:r>
            <w:r>
              <w:rPr>
                <w:rFonts w:hint="eastAsia" w:ascii="Times New Roman" w:hAnsi="Times New Roman" w:eastAsia="宋体" w:cs="Times New Roman"/>
                <w:color w:val="auto"/>
                <w:kern w:val="0"/>
                <w:szCs w:val="21"/>
                <w:highlight w:val="none"/>
                <w:lang w:bidi="ar"/>
              </w:rPr>
              <w:t>权重为0.1，B</w:t>
            </w:r>
            <w:r>
              <w:rPr>
                <w:rFonts w:ascii="Times New Roman" w:hAnsi="Times New Roman" w:eastAsia="宋体" w:cs="Times New Roman"/>
                <w:color w:val="auto"/>
                <w:kern w:val="0"/>
                <w:szCs w:val="21"/>
                <w:highlight w:val="none"/>
                <w:lang w:bidi="ar"/>
              </w:rPr>
              <w:t>2.2</w:t>
            </w:r>
            <w:r>
              <w:rPr>
                <w:rFonts w:hint="eastAsia" w:ascii="Times New Roman" w:hAnsi="Times New Roman" w:eastAsia="宋体" w:cs="Times New Roman"/>
                <w:color w:val="auto"/>
                <w:kern w:val="0"/>
                <w:szCs w:val="21"/>
                <w:highlight w:val="none"/>
                <w:lang w:bidi="ar"/>
              </w:rPr>
              <w:t>和B</w:t>
            </w:r>
            <w:r>
              <w:rPr>
                <w:rFonts w:ascii="Times New Roman" w:hAnsi="Times New Roman" w:eastAsia="宋体" w:cs="Times New Roman"/>
                <w:color w:val="auto"/>
                <w:kern w:val="0"/>
                <w:szCs w:val="21"/>
                <w:highlight w:val="none"/>
                <w:lang w:bidi="ar"/>
              </w:rPr>
              <w:t>2.15</w:t>
            </w:r>
            <w:r>
              <w:rPr>
                <w:rFonts w:hint="eastAsia" w:ascii="Times New Roman" w:hAnsi="Times New Roman" w:eastAsia="宋体" w:cs="Times New Roman"/>
                <w:color w:val="auto"/>
                <w:kern w:val="0"/>
                <w:szCs w:val="21"/>
                <w:highlight w:val="none"/>
                <w:lang w:bidi="ar"/>
              </w:rPr>
              <w:t>权重为0.3，B</w:t>
            </w:r>
            <w:r>
              <w:rPr>
                <w:rFonts w:ascii="Times New Roman" w:hAnsi="Times New Roman" w:eastAsia="宋体" w:cs="Times New Roman"/>
                <w:color w:val="auto"/>
                <w:kern w:val="0"/>
                <w:szCs w:val="21"/>
                <w:highlight w:val="none"/>
                <w:lang w:bidi="ar"/>
              </w:rPr>
              <w:t>2.3</w:t>
            </w:r>
            <w:r>
              <w:rPr>
                <w:rFonts w:hint="eastAsia" w:ascii="Times New Roman" w:hAnsi="Times New Roman" w:eastAsia="宋体" w:cs="Times New Roman"/>
                <w:color w:val="auto"/>
                <w:kern w:val="0"/>
                <w:szCs w:val="21"/>
                <w:highlight w:val="none"/>
                <w:lang w:bidi="ar"/>
              </w:rPr>
              <w:t>和B</w:t>
            </w:r>
            <w:r>
              <w:rPr>
                <w:rFonts w:ascii="Times New Roman" w:hAnsi="Times New Roman" w:eastAsia="宋体" w:cs="Times New Roman"/>
                <w:color w:val="auto"/>
                <w:kern w:val="0"/>
                <w:szCs w:val="21"/>
                <w:highlight w:val="none"/>
                <w:lang w:bidi="ar"/>
              </w:rPr>
              <w:t>2.14</w:t>
            </w:r>
            <w:r>
              <w:rPr>
                <w:rFonts w:hint="eastAsia" w:ascii="Times New Roman" w:hAnsi="Times New Roman" w:eastAsia="宋体" w:cs="Times New Roman"/>
                <w:color w:val="auto"/>
                <w:kern w:val="0"/>
                <w:szCs w:val="21"/>
                <w:highlight w:val="none"/>
                <w:lang w:bidi="ar"/>
              </w:rPr>
              <w:t>权重为0.5，其余权重为1.0）</w:t>
            </w:r>
            <w:r>
              <w:rPr>
                <w:rFonts w:ascii="Times New Roman" w:hAnsi="Times New Roman" w:eastAsia="宋体" w:cs="Times New Roman"/>
                <w:color w:val="auto"/>
                <w:kern w:val="0"/>
                <w:szCs w:val="21"/>
                <w:highlight w:val="none"/>
                <w:lang w:bidi="ar"/>
              </w:rPr>
              <w:t>，得出</w:t>
            </w:r>
            <w:r>
              <w:rPr>
                <w:rFonts w:hint="eastAsia" w:ascii="Times New Roman" w:hAnsi="Times New Roman" w:eastAsia="宋体" w:cs="Times New Roman"/>
                <w:color w:val="auto"/>
                <w:kern w:val="0"/>
                <w:szCs w:val="21"/>
                <w:highlight w:val="none"/>
                <w:lang w:bidi="ar"/>
              </w:rPr>
              <w:t>评标价平均值（B）</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评标价平均值（B）保留七位小数，小数点后第八位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widowControl/>
              <w:wordWrap/>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=[0.1*</w:t>
            </w:r>
            <w:r>
              <w:rPr>
                <w:rFonts w:ascii="Times New Roman" w:hAnsi="Times New Roman" w:eastAsia="宋体" w:cs="Times New Roman"/>
                <w:color w:val="auto"/>
                <w:szCs w:val="21"/>
                <w:highlight w:val="none"/>
              </w:rPr>
              <w:t>B2.1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0.3*</w:t>
            </w:r>
            <w:r>
              <w:rPr>
                <w:rFonts w:ascii="Times New Roman" w:hAnsi="Times New Roman" w:eastAsia="宋体" w:cs="Times New Roman"/>
                <w:color w:val="auto"/>
                <w:szCs w:val="21"/>
                <w:highlight w:val="none"/>
              </w:rPr>
              <w:t>B2.2</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0.5*</w:t>
            </w:r>
            <w:r>
              <w:rPr>
                <w:rFonts w:ascii="Times New Roman" w:hAnsi="Times New Roman" w:eastAsia="宋体" w:cs="Times New Roman"/>
                <w:color w:val="auto"/>
                <w:szCs w:val="21"/>
                <w:highlight w:val="none"/>
              </w:rPr>
              <w:t>B2.3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B2.4+B2.5+</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+B2.12+B2.13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0.5*</w:t>
            </w:r>
            <w:r>
              <w:rPr>
                <w:rFonts w:ascii="Times New Roman" w:hAnsi="Times New Roman" w:eastAsia="宋体" w:cs="Times New Roman"/>
                <w:color w:val="auto"/>
                <w:szCs w:val="21"/>
                <w:highlight w:val="none"/>
              </w:rPr>
              <w:t>B2.14+</w:t>
            </w:r>
            <w:r>
              <w:rPr>
                <w:rFonts w:ascii="Times New Roman" w:hAnsi="Times New Roman" w:eastAsia="宋体" w:cs="Times New Roman"/>
                <w:color w:val="auto"/>
                <w:kern w:val="0"/>
                <w:szCs w:val="21"/>
                <w:highlight w:val="none"/>
                <w:lang w:bidi="ar"/>
              </w:rPr>
              <w:t>0.3*</w:t>
            </w:r>
            <w:r>
              <w:rPr>
                <w:rFonts w:ascii="Times New Roman" w:hAnsi="Times New Roman" w:eastAsia="宋体" w:cs="Times New Roman"/>
                <w:color w:val="auto"/>
                <w:szCs w:val="21"/>
                <w:highlight w:val="none"/>
              </w:rPr>
              <w:t>B2.15+0.1*</w:t>
            </w:r>
            <w:r>
              <w:rPr>
                <w:rFonts w:hint="eastAsia" w:ascii="Times New Roman" w:hAnsi="Times New Roman" w:eastAsia="宋体" w:cs="Times New Roman"/>
                <w:color w:val="auto"/>
                <w:szCs w:val="21"/>
                <w:highlight w:val="none"/>
              </w:rPr>
              <w:t>B</w:t>
            </w:r>
            <w:r>
              <w:rPr>
                <w:rFonts w:ascii="Times New Roman" w:hAnsi="Times New Roman" w:eastAsia="宋体" w:cs="Times New Roman"/>
                <w:color w:val="auto"/>
                <w:szCs w:val="21"/>
                <w:highlight w:val="none"/>
              </w:rPr>
              <w:t>2.16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[0.1+0.3+0.5+1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+0.5+0.3+0.1]</w:t>
            </w:r>
            <w:r>
              <w:rPr>
                <w:rFonts w:hint="eastAsia" w:ascii="Times New Roman" w:hAnsi="Times New Roman" w:eastAsia="宋体" w:cs="Times New Roman"/>
                <w:color w:val="auto"/>
                <w:kern w:val="0"/>
                <w:szCs w:val="21"/>
                <w:highlight w:val="none"/>
                <w:lang w:bidi="ar"/>
              </w:rPr>
              <w:t>。</w:t>
            </w:r>
          </w:p>
          <w:p>
            <w:pPr>
              <w:widowControl/>
              <w:wordWrap/>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（2）如果某区段无</w:t>
            </w:r>
            <w:r>
              <w:rPr>
                <w:rFonts w:ascii="Times New Roman" w:hAnsi="Times New Roman" w:eastAsia="宋体" w:cs="Times New Roman"/>
                <w:color w:val="auto"/>
                <w:kern w:val="0"/>
                <w:szCs w:val="21"/>
                <w:highlight w:val="none"/>
                <w:lang w:bidi="ar"/>
              </w:rPr>
              <w:t>区段平均值</w:t>
            </w:r>
            <w:r>
              <w:rPr>
                <w:rFonts w:hint="eastAsia" w:ascii="Times New Roman" w:hAnsi="Times New Roman" w:eastAsia="宋体" w:cs="Times New Roman"/>
                <w:color w:val="auto"/>
                <w:kern w:val="0"/>
                <w:szCs w:val="21"/>
                <w:highlight w:val="none"/>
                <w:lang w:bidi="ar"/>
              </w:rPr>
              <w:t>，则该区段不计区段平均值。如：无</w:t>
            </w:r>
            <w:r>
              <w:rPr>
                <w:rFonts w:ascii="Times New Roman" w:hAnsi="Times New Roman" w:eastAsia="宋体" w:cs="Times New Roman"/>
                <w:color w:val="auto"/>
                <w:kern w:val="0"/>
                <w:szCs w:val="21"/>
                <w:highlight w:val="none"/>
                <w:lang w:bidi="ar"/>
              </w:rPr>
              <w:t>B2.1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B2.9</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B2.15</w:t>
            </w:r>
            <w:r>
              <w:rPr>
                <w:rFonts w:hint="eastAsia" w:ascii="Times New Roman" w:hAnsi="Times New Roman" w:eastAsia="宋体" w:cs="Times New Roman"/>
                <w:color w:val="auto"/>
                <w:kern w:val="0"/>
                <w:szCs w:val="21"/>
                <w:highlight w:val="none"/>
                <w:lang w:bidi="ar"/>
              </w:rPr>
              <w:t>等</w:t>
            </w:r>
            <w:r>
              <w:rPr>
                <w:rFonts w:ascii="Times New Roman" w:hAnsi="Times New Roman" w:eastAsia="宋体" w:cs="Times New Roman"/>
                <w:color w:val="auto"/>
                <w:kern w:val="0"/>
                <w:szCs w:val="21"/>
                <w:highlight w:val="none"/>
                <w:lang w:bidi="ar"/>
              </w:rPr>
              <w:t>区段平均值</w:t>
            </w:r>
            <w:r>
              <w:rPr>
                <w:rFonts w:hint="eastAsia" w:ascii="Times New Roman" w:hAnsi="Times New Roman" w:eastAsia="宋体" w:cs="Times New Roman"/>
                <w:color w:val="auto"/>
                <w:kern w:val="0"/>
                <w:szCs w:val="21"/>
                <w:highlight w:val="none"/>
                <w:lang w:bidi="ar"/>
              </w:rPr>
              <w:t>，即</w:t>
            </w:r>
            <w:r>
              <w:rPr>
                <w:rFonts w:ascii="Times New Roman" w:hAnsi="Times New Roman" w:eastAsia="宋体" w:cs="Times New Roman"/>
                <w:color w:val="auto"/>
                <w:kern w:val="0"/>
                <w:szCs w:val="21"/>
                <w:highlight w:val="none"/>
                <w:lang w:bidi="ar"/>
              </w:rPr>
              <w:t>B2.1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B2.9</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B2.15</w:t>
            </w:r>
            <w:r>
              <w:rPr>
                <w:rFonts w:hint="eastAsia" w:ascii="Times New Roman" w:hAnsi="Times New Roman" w:eastAsia="宋体" w:cs="Times New Roman"/>
                <w:color w:val="auto"/>
                <w:kern w:val="0"/>
                <w:szCs w:val="21"/>
                <w:highlight w:val="none"/>
                <w:lang w:bidi="ar"/>
              </w:rPr>
              <w:t>以及其权重均等于0，则评标价平均值B</w:t>
            </w:r>
            <w:r>
              <w:rPr>
                <w:rFonts w:ascii="Times New Roman" w:hAnsi="Times New Roman" w:eastAsia="宋体" w:cs="Times New Roman"/>
                <w:color w:val="auto"/>
                <w:kern w:val="0"/>
                <w:szCs w:val="21"/>
                <w:highlight w:val="none"/>
                <w:lang w:bidi="ar"/>
              </w:rPr>
              <w:t>=[0.0*0.0+0.3*</w:t>
            </w:r>
            <w:r>
              <w:rPr>
                <w:rFonts w:ascii="Times New Roman" w:hAnsi="Times New Roman" w:eastAsia="宋体" w:cs="Times New Roman"/>
                <w:color w:val="auto"/>
                <w:szCs w:val="21"/>
                <w:highlight w:val="none"/>
              </w:rPr>
              <w:t>B2.2+</w:t>
            </w:r>
            <w:r>
              <w:rPr>
                <w:rFonts w:ascii="Times New Roman" w:hAnsi="Times New Roman" w:eastAsia="宋体" w:cs="Times New Roman"/>
                <w:color w:val="auto"/>
                <w:kern w:val="0"/>
                <w:szCs w:val="21"/>
                <w:highlight w:val="none"/>
                <w:lang w:bidi="ar"/>
              </w:rPr>
              <w:t>0.0*0.0</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B2.4+B2.5+</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+B2.8+</w:t>
            </w:r>
            <w:r>
              <w:rPr>
                <w:rFonts w:ascii="Times New Roman" w:hAnsi="Times New Roman" w:eastAsia="宋体" w:cs="Times New Roman"/>
                <w:color w:val="auto"/>
                <w:kern w:val="0"/>
                <w:szCs w:val="21"/>
                <w:highlight w:val="none"/>
                <w:lang w:bidi="ar"/>
              </w:rPr>
              <w:t>0.0+</w:t>
            </w:r>
            <w:r>
              <w:rPr>
                <w:rFonts w:ascii="Times New Roman" w:hAnsi="Times New Roman" w:eastAsia="宋体" w:cs="Times New Roman"/>
                <w:color w:val="auto"/>
                <w:szCs w:val="21"/>
                <w:highlight w:val="none"/>
              </w:rPr>
              <w:t>B2.10+</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B2.12+B2.13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0.5*</w:t>
            </w:r>
            <w:r>
              <w:rPr>
                <w:rFonts w:ascii="Times New Roman" w:hAnsi="Times New Roman" w:eastAsia="宋体" w:cs="Times New Roman"/>
                <w:color w:val="auto"/>
                <w:szCs w:val="21"/>
                <w:highlight w:val="none"/>
              </w:rPr>
              <w:t>B2.14+</w:t>
            </w:r>
            <w:r>
              <w:rPr>
                <w:rFonts w:ascii="Times New Roman" w:hAnsi="Times New Roman" w:eastAsia="宋体" w:cs="Times New Roman"/>
                <w:color w:val="auto"/>
                <w:kern w:val="0"/>
                <w:szCs w:val="21"/>
                <w:highlight w:val="none"/>
                <w:lang w:bidi="ar"/>
              </w:rPr>
              <w:t>0.0*0.0</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0.1*</w:t>
            </w:r>
            <w:r>
              <w:rPr>
                <w:rFonts w:hint="eastAsia" w:ascii="Times New Roman" w:hAnsi="Times New Roman" w:eastAsia="宋体" w:cs="Times New Roman"/>
                <w:color w:val="auto"/>
                <w:szCs w:val="21"/>
                <w:highlight w:val="none"/>
              </w:rPr>
              <w:t>B</w:t>
            </w:r>
            <w:r>
              <w:rPr>
                <w:rFonts w:ascii="Times New Roman" w:hAnsi="Times New Roman" w:eastAsia="宋体" w:cs="Times New Roman"/>
                <w:color w:val="auto"/>
                <w:szCs w:val="21"/>
                <w:highlight w:val="none"/>
              </w:rPr>
              <w:t>2.16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[0.0+0.3+0.0+1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+0.0+1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+0.5+0.0+0.1]</w:t>
            </w:r>
            <w:r>
              <w:rPr>
                <w:rFonts w:hint="eastAsia" w:ascii="Times New Roman" w:hAnsi="Times New Roman" w:eastAsia="宋体" w:cs="Times New Roman"/>
                <w:color w:val="auto"/>
                <w:kern w:val="0"/>
                <w:szCs w:val="21"/>
                <w:highlight w:val="none"/>
                <w:lang w:bidi="ar"/>
              </w:rPr>
              <w:t>。</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kern w:val="0"/>
                <w:szCs w:val="21"/>
                <w:highlight w:val="none"/>
                <w:lang w:bidi="ar"/>
              </w:rPr>
            </w:pPr>
            <w:r>
              <w:rPr>
                <w:rFonts w:hint="eastAsia" w:ascii="Times New Roman" w:hAnsi="Times New Roman" w:eastAsia="宋体" w:cs="Times New Roman"/>
                <w:b/>
                <w:bCs/>
                <w:color w:val="auto"/>
                <w:kern w:val="0"/>
                <w:szCs w:val="21"/>
                <w:highlight w:val="none"/>
                <w:lang w:bidi="ar"/>
              </w:rPr>
              <w:t>三、评标价平均值（B）计算方法2</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根据所有参加评标价平均值计算的评标价（个数用P表示）计算评标价平均值（B）。C为招标人设定的最高投标限价。评标价平均值保留七位小数，小数点后第八位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1、当P</w:t>
            </w:r>
            <w:r>
              <w:rPr>
                <w:rFonts w:ascii="Times New Roman" w:hAnsi="Times New Roman" w:eastAsia="宋体" w:cs="Times New Roman"/>
                <w:color w:val="auto"/>
                <w:kern w:val="0"/>
                <w:szCs w:val="21"/>
                <w:highlight w:val="none"/>
                <w:lang w:bidi="ar"/>
              </w:rPr>
              <w:t>=0</w:t>
            </w:r>
            <w:r>
              <w:rPr>
                <w:rFonts w:hint="eastAsia" w:ascii="Times New Roman" w:hAnsi="Times New Roman" w:eastAsia="宋体" w:cs="Times New Roman"/>
                <w:color w:val="auto"/>
                <w:kern w:val="0"/>
                <w:szCs w:val="21"/>
                <w:highlight w:val="none"/>
                <w:lang w:bidi="ar"/>
              </w:rPr>
              <w:t>时，即所有评标价均低于</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），则评标价平均值（B）直接为</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、当0＜P≤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时，评标价平均值（B）为P个评标价的算术平均值。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、当</w:t>
            </w:r>
            <w:r>
              <w:rPr>
                <w:rFonts w:ascii="Times New Roman" w:hAnsi="Times New Roman" w:eastAsia="宋体" w:cs="Times New Roman"/>
                <w:color w:val="auto"/>
                <w:kern w:val="0"/>
                <w:szCs w:val="21"/>
                <w:highlight w:val="none"/>
                <w:lang w:bidi="ar"/>
              </w:rPr>
              <w:t>6</w:t>
            </w:r>
            <w:r>
              <w:rPr>
                <w:rFonts w:hint="eastAsia" w:ascii="Times New Roman" w:hAnsi="Times New Roman" w:eastAsia="宋体" w:cs="Times New Roman"/>
                <w:color w:val="auto"/>
                <w:kern w:val="0"/>
                <w:szCs w:val="21"/>
                <w:highlight w:val="none"/>
                <w:lang w:bidi="ar"/>
              </w:rPr>
              <w:t>≤P≤9时，在P个评标价中，去掉</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个最高值和</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个最低值后的其余评标价的算术平均值为评标价平均值（B）。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4</w:t>
            </w:r>
            <w:r>
              <w:rPr>
                <w:rFonts w:hint="eastAsia" w:ascii="Times New Roman" w:hAnsi="Times New Roman" w:eastAsia="宋体" w:cs="Times New Roman"/>
                <w:color w:val="auto"/>
                <w:kern w:val="0"/>
                <w:szCs w:val="21"/>
                <w:highlight w:val="none"/>
                <w:lang w:bidi="ar"/>
              </w:rPr>
              <w:t>、当P≥</w:t>
            </w:r>
            <w:r>
              <w:rPr>
                <w:rFonts w:ascii="Times New Roman" w:hAnsi="Times New Roman" w:eastAsia="宋体" w:cs="Times New Roman"/>
                <w:color w:val="auto"/>
                <w:kern w:val="0"/>
                <w:szCs w:val="21"/>
                <w:highlight w:val="none"/>
                <w:lang w:bidi="ar"/>
              </w:rPr>
              <w:t>10</w:t>
            </w:r>
            <w:r>
              <w:rPr>
                <w:rFonts w:hint="eastAsia" w:ascii="Times New Roman" w:hAnsi="Times New Roman" w:eastAsia="宋体" w:cs="Times New Roman"/>
                <w:color w:val="auto"/>
                <w:kern w:val="0"/>
                <w:szCs w:val="21"/>
                <w:highlight w:val="none"/>
                <w:lang w:bidi="ar"/>
              </w:rPr>
              <w:t>时，在P个评标价中，去掉P1个最高值和P2个最低值后的其余评标价的算术平均值为评标价平均值（B）。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是在取值区间（1～Q）中随机抽取的两个数值，较大的数值为Q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，较小的数值为Q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。Q=INT（P/5），即Q为（P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）向下取整。</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kern w:val="0"/>
                <w:szCs w:val="21"/>
                <w:highlight w:val="none"/>
                <w:lang w:bidi="ar"/>
              </w:rPr>
            </w:pPr>
            <w:r>
              <w:rPr>
                <w:rFonts w:hint="eastAsia" w:ascii="Times New Roman" w:hAnsi="Times New Roman" w:eastAsia="宋体" w:cs="Times New Roman"/>
                <w:b/>
                <w:bCs/>
                <w:color w:val="auto"/>
                <w:kern w:val="0"/>
                <w:szCs w:val="21"/>
                <w:highlight w:val="none"/>
                <w:lang w:bidi="ar"/>
              </w:rPr>
              <w:t>四、评标价平均值（B）计算方法3</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根据所有参加评标价平均值计算的评标价（个数用P表示）计算评标价平均值（B）。C为招标人设定的最高投标限价。评标价平均值保留七位小数，小数点后第八位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1、当P</w:t>
            </w:r>
            <w:r>
              <w:rPr>
                <w:rFonts w:ascii="Times New Roman" w:hAnsi="Times New Roman" w:eastAsia="宋体" w:cs="Times New Roman"/>
                <w:color w:val="auto"/>
                <w:kern w:val="0"/>
                <w:szCs w:val="21"/>
                <w:highlight w:val="none"/>
                <w:lang w:bidi="ar"/>
              </w:rPr>
              <w:t>=0</w:t>
            </w:r>
            <w:r>
              <w:rPr>
                <w:rFonts w:hint="eastAsia" w:ascii="Times New Roman" w:hAnsi="Times New Roman" w:eastAsia="宋体" w:cs="Times New Roman"/>
                <w:color w:val="auto"/>
                <w:kern w:val="0"/>
                <w:szCs w:val="21"/>
                <w:highlight w:val="none"/>
                <w:lang w:bidi="ar"/>
              </w:rPr>
              <w:t>时，即所有评标价均低于</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），则评标价平均值（B）直接为</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2、当0＜P≤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时，评标价平均值（B）为P个评标价的算术平均值。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3、当P=</w:t>
            </w:r>
            <w:r>
              <w:rPr>
                <w:rFonts w:ascii="Times New Roman" w:hAnsi="Times New Roman" w:eastAsia="宋体" w:cs="Times New Roman"/>
                <w:color w:val="auto"/>
                <w:kern w:val="0"/>
                <w:szCs w:val="21"/>
                <w:highlight w:val="none"/>
                <w:lang w:bidi="ar"/>
              </w:rPr>
              <w:t>6</w:t>
            </w:r>
            <w:r>
              <w:rPr>
                <w:rFonts w:hint="eastAsia" w:ascii="Times New Roman" w:hAnsi="Times New Roman" w:eastAsia="宋体" w:cs="Times New Roman"/>
                <w:color w:val="auto"/>
                <w:kern w:val="0"/>
                <w:szCs w:val="21"/>
                <w:highlight w:val="none"/>
                <w:lang w:bidi="ar"/>
              </w:rPr>
              <w:t>或7时，在P个评标价中，去掉</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个最高值和</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个最低值后的其余评标价的算术平均值为评标价平均值（B）。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4、当P≥</w:t>
            </w:r>
            <w:r>
              <w:rPr>
                <w:rFonts w:ascii="Times New Roman" w:hAnsi="Times New Roman" w:eastAsia="宋体" w:cs="Times New Roman"/>
                <w:color w:val="auto"/>
                <w:kern w:val="0"/>
                <w:szCs w:val="21"/>
                <w:highlight w:val="none"/>
                <w:lang w:bidi="ar"/>
              </w:rPr>
              <w:t>8</w:t>
            </w:r>
            <w:r>
              <w:rPr>
                <w:rFonts w:hint="eastAsia" w:ascii="Times New Roman" w:hAnsi="Times New Roman" w:eastAsia="宋体" w:cs="Times New Roman"/>
                <w:color w:val="auto"/>
                <w:kern w:val="0"/>
                <w:szCs w:val="21"/>
                <w:highlight w:val="none"/>
                <w:lang w:bidi="ar"/>
              </w:rPr>
              <w:t>时</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（1）首先，在P个评标价中，去掉P1个最高值和P2个最低值。</w:t>
            </w:r>
          </w:p>
          <w:p>
            <w:pPr>
              <w:widowControl/>
              <w:spacing w:line="360" w:lineRule="exact"/>
              <w:ind w:firstLine="420" w:firstLineChars="200"/>
              <w:jc w:val="left"/>
              <w:rPr>
                <w:color w:val="auto"/>
                <w:kern w:val="0"/>
                <w:szCs w:val="21"/>
                <w:highlight w:val="none"/>
                <w:lang w:bidi="ar"/>
              </w:rPr>
            </w:pPr>
            <w:r>
              <w:rPr>
                <w:rFonts w:hint="eastAsia"/>
                <w:color w:val="auto"/>
                <w:kern w:val="0"/>
                <w:szCs w:val="21"/>
                <w:highlight w:val="none"/>
                <w:lang w:bidi="ar"/>
              </w:rPr>
              <w:t>①当P=8或9时，P1=P2=1；</w:t>
            </w:r>
          </w:p>
          <w:p>
            <w:pPr>
              <w:widowControl/>
              <w:spacing w:line="360" w:lineRule="exact"/>
              <w:ind w:firstLine="420" w:firstLineChars="200"/>
              <w:jc w:val="left"/>
              <w:rPr>
                <w:color w:val="auto"/>
                <w:kern w:val="0"/>
                <w:szCs w:val="21"/>
                <w:highlight w:val="none"/>
                <w:lang w:bidi="ar"/>
              </w:rPr>
            </w:pPr>
            <w:r>
              <w:rPr>
                <w:rFonts w:hint="eastAsia"/>
                <w:color w:val="auto"/>
                <w:kern w:val="0"/>
                <w:szCs w:val="21"/>
                <w:highlight w:val="none"/>
                <w:lang w:bidi="ar"/>
              </w:rPr>
              <w:t>②当P=10或11或12或13或14时，P1=2，P2=1；</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color w:val="auto"/>
                <w:kern w:val="0"/>
                <w:szCs w:val="21"/>
                <w:highlight w:val="none"/>
                <w:lang w:bidi="ar"/>
              </w:rPr>
              <w:t>③当P≥15时，</w:t>
            </w: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是在取值区间（1～Q）中随机抽取的两个数值，较大的数值为Q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，较小的数值为Q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。Q=INT（P/5），即Q为（P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）向下取整且最小为1。</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（2）然后，将其余评标价由低到高排列，对排列第（1、1+R、1+2R、……、1+SR）</w:t>
            </w:r>
            <w:r>
              <w:rPr>
                <w:rFonts w:ascii="Times New Roman" w:hAnsi="Times New Roman" w:eastAsia="宋体" w:cs="Times New Roman"/>
                <w:color w:val="auto"/>
                <w:highlight w:val="none"/>
              </w:rPr>
              <w:t>的评标价进行</w:t>
            </w:r>
            <w:r>
              <w:rPr>
                <w:rFonts w:hint="eastAsia" w:ascii="Times New Roman" w:hAnsi="Times New Roman" w:eastAsia="宋体" w:cs="Times New Roman"/>
                <w:color w:val="auto"/>
                <w:highlight w:val="none"/>
              </w:rPr>
              <w:t>算术</w:t>
            </w:r>
            <w:r>
              <w:rPr>
                <w:rFonts w:ascii="Times New Roman" w:hAnsi="Times New Roman" w:eastAsia="宋体" w:cs="Times New Roman"/>
                <w:color w:val="auto"/>
                <w:highlight w:val="none"/>
              </w:rPr>
              <w:t>平均</w:t>
            </w:r>
            <w:r>
              <w:rPr>
                <w:rFonts w:hint="eastAsia" w:ascii="Times New Roman" w:hAnsi="Times New Roman" w:eastAsia="宋体" w:cs="Times New Roman"/>
                <w:color w:val="auto"/>
                <w:highlight w:val="none"/>
              </w:rPr>
              <w:t>，该算术平均值为</w:t>
            </w:r>
            <w:r>
              <w:rPr>
                <w:rFonts w:hint="eastAsia" w:ascii="Times New Roman" w:hAnsi="Times New Roman" w:eastAsia="宋体" w:cs="Times New Roman"/>
                <w:color w:val="auto"/>
                <w:kern w:val="0"/>
                <w:szCs w:val="21"/>
                <w:highlight w:val="none"/>
                <w:lang w:bidi="ar"/>
              </w:rPr>
              <w:t>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R</w:t>
            </w:r>
            <w:r>
              <w:rPr>
                <w:rFonts w:hint="eastAsia" w:ascii="Times New Roman" w:hAnsi="Times New Roman" w:eastAsia="宋体" w:cs="Times New Roman"/>
                <w:color w:val="auto"/>
                <w:kern w:val="0"/>
                <w:szCs w:val="21"/>
                <w:highlight w:val="none"/>
                <w:lang w:bidi="ar"/>
              </w:rPr>
              <w:t>为随机步距，在开标现场随机抽取，取值范围为3、4、5。</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S为步距个数，</w:t>
            </w:r>
            <w:r>
              <w:rPr>
                <w:rFonts w:ascii="Times New Roman" w:hAnsi="Times New Roman" w:eastAsia="宋体" w:cs="Times New Roman"/>
                <w:color w:val="auto"/>
                <w:kern w:val="0"/>
                <w:szCs w:val="21"/>
                <w:highlight w:val="none"/>
                <w:lang w:bidi="ar"/>
              </w:rPr>
              <w:t>S</w:t>
            </w:r>
            <w:r>
              <w:rPr>
                <w:rFonts w:hint="eastAsia" w:ascii="Times New Roman" w:hAnsi="Times New Roman" w:eastAsia="宋体" w:cs="Times New Roman"/>
                <w:color w:val="auto"/>
                <w:kern w:val="0"/>
                <w:szCs w:val="21"/>
                <w:highlight w:val="none"/>
                <w:lang w:bidi="ar"/>
              </w:rPr>
              <w:t>=INT</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P-P1-P2-1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R]</w:t>
            </w:r>
            <w:r>
              <w:rPr>
                <w:rFonts w:hint="eastAsia" w:ascii="Times New Roman" w:hAnsi="Times New Roman" w:eastAsia="宋体" w:cs="Times New Roman"/>
                <w:color w:val="auto"/>
                <w:kern w:val="0"/>
                <w:szCs w:val="21"/>
                <w:highlight w:val="none"/>
                <w:lang w:bidi="ar"/>
              </w:rPr>
              <w:t>，即</w:t>
            </w:r>
            <w:r>
              <w:rPr>
                <w:rFonts w:ascii="Times New Roman" w:hAnsi="Times New Roman" w:eastAsia="宋体" w:cs="Times New Roman"/>
                <w:color w:val="auto"/>
                <w:kern w:val="0"/>
                <w:szCs w:val="21"/>
                <w:highlight w:val="none"/>
                <w:lang w:bidi="ar"/>
              </w:rPr>
              <w:t>S</w:t>
            </w:r>
            <w:r>
              <w:rPr>
                <w:rFonts w:hint="eastAsia" w:ascii="Times New Roman" w:hAnsi="Times New Roman" w:eastAsia="宋体" w:cs="Times New Roman"/>
                <w:color w:val="auto"/>
                <w:kern w:val="0"/>
                <w:szCs w:val="21"/>
                <w:highlight w:val="none"/>
                <w:lang w:bidi="ar"/>
              </w:rPr>
              <w:t>为</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P-P1-P2-1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R]</w:t>
            </w:r>
            <w:r>
              <w:rPr>
                <w:rFonts w:hint="eastAsia" w:ascii="Times New Roman" w:hAnsi="Times New Roman" w:eastAsia="宋体" w:cs="Times New Roman"/>
                <w:color w:val="auto"/>
                <w:kern w:val="0"/>
                <w:szCs w:val="21"/>
                <w:highlight w:val="none"/>
                <w:lang w:bidi="ar"/>
              </w:rPr>
              <w:t>向下取整。</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kern w:val="0"/>
                <w:szCs w:val="21"/>
                <w:highlight w:val="none"/>
                <w:lang w:bidi="ar"/>
              </w:rPr>
            </w:pPr>
            <w:r>
              <w:rPr>
                <w:rFonts w:hint="eastAsia" w:ascii="Times New Roman" w:hAnsi="Times New Roman" w:eastAsia="宋体" w:cs="Times New Roman"/>
                <w:b/>
                <w:bCs/>
                <w:color w:val="auto"/>
                <w:kern w:val="0"/>
                <w:szCs w:val="21"/>
                <w:highlight w:val="none"/>
                <w:lang w:bidi="ar"/>
              </w:rPr>
              <w:t>五、</w:t>
            </w:r>
            <w:r>
              <w:rPr>
                <w:rFonts w:ascii="Times New Roman" w:hAnsi="Times New Roman" w:eastAsia="宋体" w:cs="Times New Roman"/>
                <w:b/>
                <w:bCs/>
                <w:color w:val="auto"/>
                <w:kern w:val="0"/>
                <w:szCs w:val="21"/>
                <w:highlight w:val="none"/>
                <w:lang w:bidi="ar"/>
              </w:rPr>
              <w:t>评标基准价</w:t>
            </w:r>
            <w:r>
              <w:rPr>
                <w:rFonts w:hint="eastAsia" w:ascii="Times New Roman" w:hAnsi="Times New Roman" w:eastAsia="宋体" w:cs="Times New Roman"/>
                <w:b/>
                <w:bCs/>
                <w:color w:val="auto"/>
                <w:kern w:val="0"/>
                <w:szCs w:val="21"/>
                <w:highlight w:val="none"/>
                <w:lang w:bidi="ar"/>
              </w:rPr>
              <w:t>（D）</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D=D=[C*K+B*（1-K）]*（1-Z），保留七位小数，小数点后第八位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式中：</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1、C</w:t>
            </w:r>
            <w:r>
              <w:rPr>
                <w:rFonts w:ascii="Times New Roman" w:hAnsi="Times New Roman" w:eastAsia="宋体" w:cs="Times New Roman"/>
                <w:color w:val="auto"/>
                <w:kern w:val="0"/>
                <w:szCs w:val="21"/>
                <w:highlight w:val="none"/>
                <w:lang w:bidi="ar"/>
              </w:rPr>
              <w:t>为招标人</w:t>
            </w:r>
            <w:r>
              <w:rPr>
                <w:rFonts w:hint="eastAsia" w:ascii="Times New Roman" w:hAnsi="Times New Roman" w:eastAsia="宋体" w:cs="Times New Roman"/>
                <w:color w:val="auto"/>
                <w:kern w:val="0"/>
                <w:szCs w:val="21"/>
                <w:highlight w:val="none"/>
                <w:lang w:bidi="ar"/>
              </w:rPr>
              <w:t>设定的</w:t>
            </w:r>
            <w:r>
              <w:rPr>
                <w:rFonts w:ascii="Times New Roman" w:hAnsi="Times New Roman" w:eastAsia="宋体" w:cs="Times New Roman"/>
                <w:color w:val="auto"/>
                <w:kern w:val="0"/>
                <w:szCs w:val="21"/>
                <w:highlight w:val="none"/>
                <w:lang w:bidi="ar"/>
              </w:rPr>
              <w:t>最高投标限价</w:t>
            </w:r>
            <w:r>
              <w:rPr>
                <w:rFonts w:hint="eastAsia" w:ascii="Times New Roman" w:hAnsi="Times New Roman" w:eastAsia="宋体" w:cs="Times New Roman"/>
                <w:color w:val="auto"/>
                <w:kern w:val="0"/>
                <w:szCs w:val="21"/>
                <w:highlight w:val="none"/>
                <w:lang w:bidi="ar"/>
              </w:rPr>
              <w:t>，B为评标价平均值。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K</w:t>
            </w:r>
            <w:r>
              <w:rPr>
                <w:rFonts w:hint="eastAsia" w:ascii="Times New Roman" w:hAnsi="Times New Roman" w:eastAsia="宋体" w:cs="Times New Roman"/>
                <w:color w:val="auto"/>
                <w:kern w:val="0"/>
                <w:szCs w:val="21"/>
                <w:highlight w:val="none"/>
                <w:lang w:bidi="ar"/>
              </w:rPr>
              <w:t>为</w:t>
            </w:r>
            <w:r>
              <w:rPr>
                <w:rFonts w:ascii="Times New Roman" w:hAnsi="Times New Roman" w:eastAsia="宋体" w:cs="Times New Roman"/>
                <w:color w:val="auto"/>
                <w:highlight w:val="none"/>
              </w:rPr>
              <w:t>权重系数</w:t>
            </w:r>
            <w:r>
              <w:rPr>
                <w:rFonts w:hint="eastAsia" w:ascii="Times New Roman" w:hAnsi="Times New Roman" w:eastAsia="宋体" w:cs="Times New Roman"/>
                <w:color w:val="auto"/>
                <w:highlight w:val="none"/>
              </w:rPr>
              <w:t>，K=[（K</w:t>
            </w:r>
            <w:r>
              <w:rPr>
                <w:rFonts w:ascii="Times New Roman" w:hAnsi="Times New Roman" w:eastAsia="宋体" w:cs="Times New Roman"/>
                <w:color w:val="auto"/>
                <w:highlight w:val="none"/>
              </w:rPr>
              <w:t>1/10</w:t>
            </w:r>
            <w:r>
              <w:rPr>
                <w:rFonts w:hint="eastAsia" w:ascii="Times New Roman" w:hAnsi="Times New Roman" w:eastAsia="宋体" w:cs="Times New Roman"/>
                <w:color w:val="auto"/>
                <w:highlight w:val="none"/>
              </w:rPr>
              <w:t>）+K</w:t>
            </w:r>
            <w:r>
              <w:rPr>
                <w:rFonts w:ascii="Times New Roman" w:hAnsi="Times New Roman" w:eastAsia="宋体" w:cs="Times New Roman"/>
                <w:color w:val="auto"/>
                <w:highlight w:val="none"/>
              </w:rPr>
              <w:t>2</w:t>
            </w:r>
            <w:r>
              <w:rPr>
                <w:rFonts w:hint="eastAsia" w:ascii="Times New Roman" w:hAnsi="Times New Roman" w:eastAsia="宋体" w:cs="Times New Roman"/>
                <w:color w:val="auto"/>
                <w:highlight w:val="none"/>
              </w:rPr>
              <w:t>]/10。各标段的</w:t>
            </w:r>
            <w:r>
              <w:rPr>
                <w:rFonts w:ascii="Times New Roman" w:hAnsi="Times New Roman" w:eastAsia="宋体" w:cs="Times New Roman"/>
                <w:color w:val="auto"/>
                <w:highlight w:val="none"/>
              </w:rPr>
              <w:t>K1</w:t>
            </w:r>
            <w:r>
              <w:rPr>
                <w:rFonts w:hint="eastAsia" w:ascii="Times New Roman" w:hAnsi="Times New Roman" w:eastAsia="宋体" w:cs="Times New Roman"/>
                <w:color w:val="auto"/>
                <w:highlight w:val="none"/>
              </w:rPr>
              <w:t>在开标现场从0、1、2、3、4、5、6、7、8、9等1</w:t>
            </w:r>
            <w:r>
              <w:rPr>
                <w:rFonts w:ascii="Times New Roman" w:hAnsi="Times New Roman" w:eastAsia="宋体" w:cs="Times New Roman"/>
                <w:color w:val="auto"/>
                <w:highlight w:val="none"/>
              </w:rPr>
              <w:t>0</w:t>
            </w:r>
            <w:r>
              <w:rPr>
                <w:rFonts w:hint="eastAsia" w:ascii="Times New Roman" w:hAnsi="Times New Roman" w:eastAsia="宋体" w:cs="Times New Roman"/>
                <w:color w:val="auto"/>
                <w:highlight w:val="none"/>
              </w:rPr>
              <w:t>个系数中随机抽取。各标段的</w:t>
            </w:r>
            <w:r>
              <w:rPr>
                <w:rFonts w:ascii="Times New Roman" w:hAnsi="Times New Roman" w:eastAsia="宋体" w:cs="Times New Roman"/>
                <w:color w:val="auto"/>
                <w:highlight w:val="none"/>
              </w:rPr>
              <w:t>K2</w:t>
            </w:r>
            <w:r>
              <w:rPr>
                <w:rFonts w:hint="eastAsia" w:ascii="Times New Roman" w:hAnsi="Times New Roman" w:eastAsia="宋体" w:cs="Times New Roman"/>
                <w:color w:val="auto"/>
                <w:highlight w:val="none"/>
              </w:rPr>
              <w:t>在开标现场从</w:t>
            </w:r>
            <w:r>
              <w:rPr>
                <w:rFonts w:ascii="Times New Roman" w:hAnsi="Times New Roman" w:eastAsia="宋体" w:cs="Times New Roman"/>
                <w:color w:val="auto"/>
                <w:highlight w:val="none"/>
              </w:rPr>
              <w:t>0、0.5、1等3个系数</w:t>
            </w:r>
            <w:r>
              <w:rPr>
                <w:rFonts w:hint="eastAsia" w:ascii="Times New Roman" w:hAnsi="Times New Roman" w:eastAsia="宋体" w:cs="Times New Roman"/>
                <w:color w:val="auto"/>
                <w:highlight w:val="none"/>
              </w:rPr>
              <w:t>中随机抽取。</w:t>
            </w:r>
          </w:p>
          <w:p>
            <w:pPr>
              <w:pageBreakBefore w:val="0"/>
              <w:kinsoku/>
              <w:wordWrap w:val="0"/>
              <w:bidi w:val="0"/>
              <w:ind w:firstLine="420" w:firstLineChars="200"/>
              <w:rPr>
                <w:rFonts w:hint="default" w:ascii="Times New Roman" w:hAnsi="Times New Roman" w:cs="Times New Roman"/>
                <w:color w:val="auto"/>
                <w:szCs w:val="21"/>
                <w:highlight w:val="none"/>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、Z为下浮系数，各标段的Z</w:t>
            </w:r>
            <w:r>
              <w:rPr>
                <w:rFonts w:ascii="Times New Roman" w:hAnsi="Times New Roman" w:eastAsia="宋体" w:cs="Times New Roman"/>
                <w:color w:val="auto"/>
                <w:szCs w:val="21"/>
                <w:highlight w:val="none"/>
              </w:rPr>
              <w:t>在开标现场</w:t>
            </w:r>
            <w:r>
              <w:rPr>
                <w:rFonts w:hint="eastAsia" w:ascii="Times New Roman" w:hAnsi="Times New Roman" w:eastAsia="宋体" w:cs="Times New Roman"/>
                <w:color w:val="auto"/>
                <w:kern w:val="0"/>
                <w:szCs w:val="21"/>
                <w:highlight w:val="none"/>
                <w:lang w:bidi="ar"/>
              </w:rPr>
              <w:t>均从0%、0.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4</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0.5</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0.7</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0.8</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1.0</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1.2</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1.4</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7</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8</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9</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%等</w:t>
            </w:r>
            <w:r>
              <w:rPr>
                <w:rFonts w:ascii="Times New Roman" w:hAnsi="Times New Roman" w:eastAsia="宋体" w:cs="Times New Roman"/>
                <w:color w:val="auto"/>
                <w:kern w:val="0"/>
                <w:szCs w:val="21"/>
                <w:highlight w:val="none"/>
                <w:lang w:bidi="ar"/>
              </w:rPr>
              <w:t>21</w:t>
            </w:r>
            <w:r>
              <w:rPr>
                <w:rFonts w:hint="eastAsia" w:ascii="Times New Roman" w:hAnsi="Times New Roman" w:eastAsia="宋体" w:cs="Times New Roman"/>
                <w:color w:val="auto"/>
                <w:kern w:val="0"/>
                <w:szCs w:val="21"/>
                <w:highlight w:val="none"/>
                <w:lang w:bidi="ar"/>
              </w:rPr>
              <w:t>个系数中随机抽取</w:t>
            </w:r>
            <w:r>
              <w:rPr>
                <w:rFonts w:hint="eastAsia" w:ascii="Times New Roman" w:hAnsi="Times New Roman" w:eastAsia="宋体" w:cs="Times New Roman"/>
                <w:color w:val="auto"/>
                <w:kern w:val="0"/>
                <w:szCs w:val="21"/>
                <w:highlight w:val="none"/>
                <w:lang w:eastAsia="zh-CN" w:bidi="ar"/>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2.2.5</w:t>
            </w:r>
          </w:p>
        </w:tc>
        <w:tc>
          <w:tcPr>
            <w:tcW w:w="1583"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ascii="Times New Roman" w:hAnsi="Times New Roman" w:eastAsia="宋体" w:cs="Times New Roman"/>
                <w:color w:val="auto"/>
                <w:szCs w:val="21"/>
                <w:highlight w:val="none"/>
              </w:rPr>
              <w:t>评标价的偏差率计算公式</w:t>
            </w:r>
          </w:p>
        </w:tc>
        <w:tc>
          <w:tcPr>
            <w:tcW w:w="6319" w:type="dxa"/>
            <w:tcBorders>
              <w:top w:val="single" w:color="auto" w:sz="4" w:space="0"/>
              <w:left w:val="single" w:color="auto" w:sz="4" w:space="0"/>
              <w:right w:val="single" w:color="auto" w:sz="4" w:space="0"/>
            </w:tcBorders>
            <w:noWrap w:val="0"/>
            <w:vAlign w:val="center"/>
          </w:tcPr>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偏差率=100% ×（投标人评标价－评标基准价）/评标基准价</w:t>
            </w:r>
          </w:p>
          <w:p>
            <w:pPr>
              <w:pageBreakBefore w:val="0"/>
              <w:kinsoku/>
              <w:wordWrap w:val="0"/>
              <w:bidi w:val="0"/>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偏差率保留</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位小数</w:t>
            </w:r>
            <w:r>
              <w:rPr>
                <w:rFonts w:hint="eastAsia"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3.2.4</w:t>
            </w:r>
          </w:p>
        </w:tc>
        <w:tc>
          <w:tcPr>
            <w:tcW w:w="1583"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通过第一个信封详细评审的投标人数量</w:t>
            </w:r>
          </w:p>
        </w:tc>
        <w:tc>
          <w:tcPr>
            <w:tcW w:w="6319" w:type="dxa"/>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tLeast"/>
              <w:ind w:firstLine="420" w:firstLineChars="200"/>
              <w:textAlignment w:val="auto"/>
              <w:rPr>
                <w:rFonts w:hint="eastAsia" w:cs="Times New Roman"/>
                <w:color w:val="auto"/>
                <w:szCs w:val="21"/>
                <w:highlight w:val="none"/>
                <w:lang w:eastAsia="zh-CN"/>
              </w:rPr>
            </w:pPr>
            <w:r>
              <w:rPr>
                <w:rFonts w:hint="default" w:ascii="Times New Roman" w:hAnsi="Times New Roman" w:cs="Times New Roman"/>
                <w:color w:val="auto"/>
                <w:szCs w:val="21"/>
                <w:highlight w:val="none"/>
              </w:rPr>
              <w:t>按照商务和技术得分由高到低排序，对排名在n以内的投标人的报价文件进行评审，n值按参与商务和技术评分投标人数量的30%</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数值向下取整</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确定，n值不得小于3，不得大于10</w:t>
            </w:r>
            <w:r>
              <w:rPr>
                <w:rFonts w:hint="eastAsia" w:cs="Times New Roman"/>
                <w:color w:val="auto"/>
                <w:szCs w:val="21"/>
                <w:highlight w:val="none"/>
                <w:lang w:eastAsia="zh-CN"/>
              </w:rPr>
              <w:t>。</w:t>
            </w:r>
          </w:p>
          <w:p>
            <w:pPr>
              <w:pageBreakBefore w:val="0"/>
              <w:kinsoku/>
              <w:wordWrap w:val="0"/>
              <w:bidi w:val="0"/>
              <w:spacing w:line="360" w:lineRule="atLeast"/>
              <w:ind w:firstLine="420" w:firstLineChars="200"/>
              <w:rPr>
                <w:rFonts w:hint="default" w:cs="Times New Roman"/>
                <w:color w:val="auto"/>
                <w:szCs w:val="21"/>
                <w:highlight w:val="none"/>
                <w:lang w:val="en-US" w:eastAsia="zh-CN"/>
              </w:rPr>
            </w:pPr>
            <w:r>
              <w:rPr>
                <w:rFonts w:hint="eastAsia" w:cs="Times New Roman"/>
                <w:color w:val="auto"/>
                <w:szCs w:val="21"/>
                <w:highlight w:val="none"/>
                <w:lang w:val="en-US" w:eastAsia="zh-CN"/>
              </w:rPr>
              <w:t>注：若商务和技术得分相同，排名并列为n时，则同时进入第二信封。</w:t>
            </w:r>
          </w:p>
        </w:tc>
      </w:tr>
    </w:tbl>
    <w:p>
      <w:pPr>
        <w:rPr>
          <w:rFonts w:hint="default" w:ascii="Times New Roman" w:hAnsi="Times New Roman" w:cs="Times New Roman"/>
          <w:color w:val="auto"/>
          <w:highlight w:val="none"/>
        </w:rPr>
      </w:pP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453"/>
        <w:gridCol w:w="918"/>
        <w:gridCol w:w="992"/>
        <w:gridCol w:w="3165"/>
        <w:gridCol w:w="772"/>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713" w:type="dxa"/>
            <w:gridSpan w:val="6"/>
            <w:tcBorders>
              <w:top w:val="single" w:color="auto" w:sz="4" w:space="0"/>
            </w:tcBorders>
          </w:tcPr>
          <w:p>
            <w:pPr>
              <w:spacing w:line="380" w:lineRule="atLeast"/>
              <w:jc w:val="center"/>
              <w:rPr>
                <w:b/>
                <w:color w:val="auto"/>
                <w:szCs w:val="21"/>
                <w:highlight w:val="none"/>
              </w:rPr>
            </w:pPr>
            <w:r>
              <w:rPr>
                <w:b/>
                <w:color w:val="auto"/>
                <w:szCs w:val="21"/>
                <w:highlight w:val="none"/>
              </w:rPr>
              <w:t>评分因素与权重分值</w:t>
            </w:r>
            <w:r>
              <w:rPr>
                <w:rStyle w:val="45"/>
                <w:b/>
                <w:color w:val="auto"/>
                <w:szCs w:val="21"/>
                <w:highlight w:val="none"/>
              </w:rPr>
              <w:footnoteReference w:id="63"/>
            </w:r>
          </w:p>
        </w:tc>
        <w:tc>
          <w:tcPr>
            <w:tcW w:w="1178" w:type="dxa"/>
            <w:vMerge w:val="restart"/>
            <w:tcBorders>
              <w:top w:val="single" w:color="auto" w:sz="4" w:space="0"/>
            </w:tcBorders>
            <w:vAlign w:val="center"/>
          </w:tcPr>
          <w:p>
            <w:pPr>
              <w:spacing w:line="380" w:lineRule="atLeast"/>
              <w:jc w:val="center"/>
              <w:rPr>
                <w:b/>
                <w:color w:val="auto"/>
                <w:szCs w:val="21"/>
                <w:highlight w:val="none"/>
              </w:rPr>
            </w:pPr>
            <w:r>
              <w:rPr>
                <w:b/>
                <w:color w:val="auto"/>
                <w:szCs w:val="21"/>
                <w:highlight w:val="none"/>
              </w:rPr>
              <w:t>评分标准</w:t>
            </w:r>
            <w:r>
              <w:rPr>
                <w:rStyle w:val="45"/>
                <w:b/>
                <w:color w:val="auto"/>
                <w:szCs w:val="21"/>
                <w:highlight w:val="none"/>
              </w:rPr>
              <w:footnoteReference w:id="64"/>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13" w:type="dxa"/>
            <w:vAlign w:val="center"/>
          </w:tcPr>
          <w:p>
            <w:pPr>
              <w:spacing w:line="380" w:lineRule="atLeast"/>
              <w:jc w:val="center"/>
              <w:rPr>
                <w:rFonts w:ascii="宋体" w:hAnsi="宋体"/>
                <w:b/>
                <w:color w:val="auto"/>
                <w:szCs w:val="21"/>
                <w:highlight w:val="none"/>
              </w:rPr>
            </w:pPr>
            <w:r>
              <w:rPr>
                <w:rFonts w:ascii="宋体" w:hAnsi="宋体"/>
                <w:b/>
                <w:color w:val="auto"/>
                <w:szCs w:val="21"/>
                <w:highlight w:val="none"/>
              </w:rPr>
              <w:t>条款号</w:t>
            </w:r>
          </w:p>
        </w:tc>
        <w:tc>
          <w:tcPr>
            <w:tcW w:w="1371" w:type="dxa"/>
            <w:gridSpan w:val="2"/>
            <w:vAlign w:val="center"/>
          </w:tcPr>
          <w:p>
            <w:pPr>
              <w:spacing w:line="380" w:lineRule="atLeast"/>
              <w:jc w:val="center"/>
              <w:rPr>
                <w:rFonts w:ascii="宋体" w:hAnsi="宋体"/>
                <w:b/>
                <w:color w:val="auto"/>
                <w:szCs w:val="21"/>
                <w:highlight w:val="none"/>
              </w:rPr>
            </w:pPr>
            <w:r>
              <w:rPr>
                <w:rFonts w:ascii="宋体" w:hAnsi="宋体"/>
                <w:b/>
                <w:color w:val="auto"/>
                <w:szCs w:val="21"/>
                <w:highlight w:val="none"/>
              </w:rPr>
              <w:t>评分因素</w:t>
            </w:r>
          </w:p>
        </w:tc>
        <w:tc>
          <w:tcPr>
            <w:tcW w:w="992" w:type="dxa"/>
            <w:vAlign w:val="center"/>
          </w:tcPr>
          <w:p>
            <w:pPr>
              <w:spacing w:line="380" w:lineRule="atLeast"/>
              <w:ind w:left="-105" w:leftChars="-50" w:right="-105" w:rightChars="-50"/>
              <w:jc w:val="center"/>
              <w:rPr>
                <w:rFonts w:ascii="宋体" w:hAnsi="宋体"/>
                <w:b/>
                <w:color w:val="auto"/>
                <w:szCs w:val="21"/>
                <w:highlight w:val="none"/>
              </w:rPr>
            </w:pPr>
            <w:r>
              <w:rPr>
                <w:rFonts w:ascii="宋体" w:hAnsi="宋体"/>
                <w:b/>
                <w:color w:val="auto"/>
                <w:szCs w:val="21"/>
                <w:highlight w:val="none"/>
              </w:rPr>
              <w:t>评分因素权重分值</w:t>
            </w:r>
          </w:p>
        </w:tc>
        <w:tc>
          <w:tcPr>
            <w:tcW w:w="3165" w:type="dxa"/>
            <w:vAlign w:val="center"/>
          </w:tcPr>
          <w:p>
            <w:pPr>
              <w:spacing w:line="380" w:lineRule="atLeast"/>
              <w:jc w:val="center"/>
              <w:rPr>
                <w:rFonts w:ascii="宋体" w:hAnsi="宋体"/>
                <w:b/>
                <w:color w:val="auto"/>
                <w:szCs w:val="21"/>
                <w:highlight w:val="none"/>
              </w:rPr>
            </w:pPr>
            <w:r>
              <w:rPr>
                <w:rFonts w:ascii="宋体" w:hAnsi="宋体"/>
                <w:b/>
                <w:color w:val="auto"/>
                <w:szCs w:val="21"/>
                <w:highlight w:val="none"/>
              </w:rPr>
              <w:t>各评分因素细分项</w:t>
            </w:r>
          </w:p>
        </w:tc>
        <w:tc>
          <w:tcPr>
            <w:tcW w:w="772" w:type="dxa"/>
            <w:vAlign w:val="center"/>
          </w:tcPr>
          <w:p>
            <w:pPr>
              <w:spacing w:line="380" w:lineRule="atLeast"/>
              <w:jc w:val="right"/>
              <w:rPr>
                <w:rFonts w:ascii="宋体" w:hAnsi="宋体"/>
                <w:b/>
                <w:color w:val="auto"/>
                <w:szCs w:val="21"/>
                <w:highlight w:val="none"/>
              </w:rPr>
            </w:pPr>
            <w:r>
              <w:rPr>
                <w:rFonts w:ascii="宋体" w:hAnsi="宋体"/>
                <w:b/>
                <w:color w:val="auto"/>
                <w:szCs w:val="21"/>
                <w:highlight w:val="none"/>
              </w:rPr>
              <w:t>分值</w:t>
            </w:r>
          </w:p>
        </w:tc>
        <w:tc>
          <w:tcPr>
            <w:tcW w:w="1178" w:type="dxa"/>
            <w:vMerge w:val="continue"/>
          </w:tcPr>
          <w:p>
            <w:pPr>
              <w:spacing w:line="380" w:lineRule="atLeast"/>
              <w:jc w:val="center"/>
              <w:rPr>
                <w:rFonts w:ascii="宋体" w:hAnsi="宋体"/>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vAlign w:val="center"/>
          </w:tcPr>
          <w:p>
            <w:pPr>
              <w:spacing w:line="380" w:lineRule="atLeast"/>
              <w:jc w:val="center"/>
              <w:rPr>
                <w:color w:val="auto"/>
                <w:szCs w:val="21"/>
                <w:highlight w:val="none"/>
              </w:rPr>
            </w:pPr>
            <w:r>
              <w:rPr>
                <w:color w:val="auto"/>
                <w:szCs w:val="21"/>
                <w:highlight w:val="none"/>
              </w:rPr>
              <w:t>2.2.</w:t>
            </w:r>
            <w:r>
              <w:rPr>
                <w:rFonts w:hint="eastAsia"/>
                <w:color w:val="auto"/>
                <w:szCs w:val="21"/>
                <w:highlight w:val="none"/>
              </w:rPr>
              <w:t>2</w:t>
            </w:r>
            <w:r>
              <w:rPr>
                <w:color w:val="auto"/>
                <w:szCs w:val="21"/>
                <w:highlight w:val="none"/>
              </w:rPr>
              <w:t>（1）</w:t>
            </w:r>
          </w:p>
        </w:tc>
        <w:tc>
          <w:tcPr>
            <w:tcW w:w="1371" w:type="dxa"/>
            <w:gridSpan w:val="2"/>
            <w:vMerge w:val="restart"/>
            <w:vAlign w:val="center"/>
          </w:tcPr>
          <w:p>
            <w:pPr>
              <w:spacing w:line="380" w:lineRule="atLeast"/>
              <w:jc w:val="center"/>
              <w:rPr>
                <w:color w:val="auto"/>
                <w:szCs w:val="21"/>
                <w:highlight w:val="none"/>
              </w:rPr>
            </w:pPr>
            <w:r>
              <w:rPr>
                <w:color w:val="auto"/>
                <w:szCs w:val="21"/>
                <w:highlight w:val="none"/>
              </w:rPr>
              <w:t>承包人建议书</w:t>
            </w:r>
          </w:p>
        </w:tc>
        <w:tc>
          <w:tcPr>
            <w:tcW w:w="992" w:type="dxa"/>
            <w:vMerge w:val="restart"/>
            <w:vAlign w:val="center"/>
          </w:tcPr>
          <w:p>
            <w:pPr>
              <w:spacing w:line="380" w:lineRule="atLeast"/>
              <w:jc w:val="right"/>
              <w:rPr>
                <w:color w:val="auto"/>
                <w:szCs w:val="21"/>
                <w:highlight w:val="none"/>
                <w:u w:val="single"/>
              </w:rPr>
            </w:pPr>
            <w:r>
              <w:rPr>
                <w:color w:val="auto"/>
                <w:szCs w:val="21"/>
                <w:highlight w:val="none"/>
                <w:u w:val="single"/>
              </w:rPr>
              <w:t xml:space="preserve">   </w:t>
            </w:r>
            <w:r>
              <w:rPr>
                <w:color w:val="auto"/>
                <w:szCs w:val="21"/>
                <w:highlight w:val="none"/>
              </w:rPr>
              <w:t>分</w:t>
            </w: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施工图设计</w:t>
            </w:r>
            <w:r>
              <w:rPr>
                <w:rFonts w:hint="eastAsia" w:ascii="宋体" w:hAnsi="宋体"/>
                <w:color w:val="auto"/>
                <w:szCs w:val="21"/>
                <w:highlight w:val="none"/>
              </w:rPr>
              <w:t>技术</w:t>
            </w:r>
            <w:r>
              <w:rPr>
                <w:rFonts w:ascii="宋体" w:hAnsi="宋体"/>
                <w:color w:val="auto"/>
                <w:szCs w:val="21"/>
                <w:highlight w:val="none"/>
              </w:rPr>
              <w:t>方案</w:t>
            </w:r>
          </w:p>
        </w:tc>
        <w:tc>
          <w:tcPr>
            <w:tcW w:w="772" w:type="dxa"/>
            <w:vAlign w:val="center"/>
          </w:tcPr>
          <w:p>
            <w:pPr>
              <w:spacing w:line="380" w:lineRule="atLeast"/>
              <w:jc w:val="righ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vAlign w:val="center"/>
          </w:tcPr>
          <w:p>
            <w:pPr>
              <w:spacing w:line="380" w:lineRule="atLeast"/>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color w:val="auto"/>
                <w:szCs w:val="21"/>
                <w:highlight w:val="none"/>
                <w:u w:val="singl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施工组织设计</w:t>
            </w:r>
          </w:p>
        </w:tc>
        <w:tc>
          <w:tcPr>
            <w:tcW w:w="772" w:type="dxa"/>
            <w:vAlign w:val="center"/>
          </w:tcPr>
          <w:p>
            <w:pPr>
              <w:spacing w:line="380" w:lineRule="atLeast"/>
              <w:jc w:val="right"/>
              <w:rPr>
                <w:color w:val="auto"/>
                <w:szCs w:val="21"/>
                <w:highlight w:val="none"/>
                <w:u w:val="single"/>
              </w:rPr>
            </w:pPr>
            <w:r>
              <w:rPr>
                <w:color w:val="auto"/>
                <w:szCs w:val="21"/>
                <w:highlight w:val="none"/>
                <w:u w:val="single"/>
              </w:rPr>
              <w:t xml:space="preserve">   </w:t>
            </w:r>
            <w:r>
              <w:rPr>
                <w:color w:val="auto"/>
                <w:szCs w:val="21"/>
                <w:highlight w:val="none"/>
              </w:rPr>
              <w:t>分</w:t>
            </w:r>
          </w:p>
        </w:tc>
        <w:tc>
          <w:tcPr>
            <w:tcW w:w="1178" w:type="dxa"/>
            <w:vAlign w:val="center"/>
          </w:tcPr>
          <w:p>
            <w:pPr>
              <w:spacing w:line="380" w:lineRule="atLeast"/>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color w:val="auto"/>
                <w:szCs w:val="21"/>
                <w:highlight w:val="none"/>
                <w:u w:val="singl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w:t>
            </w:r>
          </w:p>
        </w:tc>
        <w:tc>
          <w:tcPr>
            <w:tcW w:w="772" w:type="dxa"/>
            <w:vAlign w:val="center"/>
          </w:tcPr>
          <w:p>
            <w:pPr>
              <w:spacing w:line="380" w:lineRule="atLeast"/>
              <w:jc w:val="right"/>
              <w:rPr>
                <w:color w:val="auto"/>
                <w:szCs w:val="21"/>
                <w:highlight w:val="none"/>
                <w:u w:val="single"/>
              </w:rPr>
            </w:pPr>
            <w:r>
              <w:rPr>
                <w:color w:val="auto"/>
                <w:szCs w:val="21"/>
                <w:highlight w:val="none"/>
                <w:u w:val="single"/>
              </w:rPr>
              <w:t xml:space="preserve">   </w:t>
            </w:r>
            <w:r>
              <w:rPr>
                <w:color w:val="auto"/>
                <w:szCs w:val="21"/>
                <w:highlight w:val="none"/>
              </w:rPr>
              <w:t>分</w:t>
            </w:r>
          </w:p>
        </w:tc>
        <w:tc>
          <w:tcPr>
            <w:tcW w:w="1178" w:type="dxa"/>
            <w:vAlign w:val="center"/>
          </w:tcPr>
          <w:p>
            <w:pPr>
              <w:spacing w:line="380" w:lineRule="atLeast"/>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vAlign w:val="center"/>
          </w:tcPr>
          <w:p>
            <w:pPr>
              <w:spacing w:line="380" w:lineRule="atLeast"/>
              <w:jc w:val="center"/>
              <w:rPr>
                <w:color w:val="auto"/>
                <w:szCs w:val="21"/>
                <w:highlight w:val="none"/>
              </w:rPr>
            </w:pPr>
            <w:r>
              <w:rPr>
                <w:color w:val="auto"/>
                <w:szCs w:val="21"/>
                <w:highlight w:val="none"/>
              </w:rPr>
              <w:t>2.2.</w:t>
            </w:r>
            <w:r>
              <w:rPr>
                <w:rFonts w:hint="eastAsia"/>
                <w:color w:val="auto"/>
                <w:szCs w:val="21"/>
                <w:highlight w:val="none"/>
              </w:rPr>
              <w:t>2</w:t>
            </w:r>
            <w:r>
              <w:rPr>
                <w:color w:val="auto"/>
                <w:szCs w:val="21"/>
                <w:highlight w:val="none"/>
              </w:rPr>
              <w:t>（2）</w:t>
            </w:r>
          </w:p>
        </w:tc>
        <w:tc>
          <w:tcPr>
            <w:tcW w:w="1371" w:type="dxa"/>
            <w:gridSpan w:val="2"/>
            <w:vMerge w:val="restart"/>
            <w:vAlign w:val="center"/>
          </w:tcPr>
          <w:p>
            <w:pPr>
              <w:spacing w:line="380" w:lineRule="atLeast"/>
              <w:jc w:val="center"/>
              <w:rPr>
                <w:color w:val="auto"/>
                <w:szCs w:val="21"/>
                <w:highlight w:val="none"/>
              </w:rPr>
            </w:pPr>
            <w:r>
              <w:rPr>
                <w:color w:val="auto"/>
                <w:szCs w:val="21"/>
                <w:highlight w:val="none"/>
              </w:rPr>
              <w:t>承包人实施计划</w:t>
            </w:r>
          </w:p>
        </w:tc>
        <w:tc>
          <w:tcPr>
            <w:tcW w:w="992" w:type="dxa"/>
            <w:vMerge w:val="restart"/>
            <w:vAlign w:val="center"/>
          </w:tcPr>
          <w:p>
            <w:pPr>
              <w:spacing w:line="380" w:lineRule="atLeast"/>
              <w:jc w:val="right"/>
              <w:rPr>
                <w:color w:val="auto"/>
                <w:szCs w:val="21"/>
                <w:highlight w:val="none"/>
                <w:u w:val="singl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总体实施方案</w:t>
            </w:r>
          </w:p>
        </w:tc>
        <w:tc>
          <w:tcPr>
            <w:tcW w:w="772" w:type="dxa"/>
            <w:vAlign w:val="center"/>
          </w:tcPr>
          <w:p>
            <w:pPr>
              <w:spacing w:line="380" w:lineRule="atLeast"/>
              <w:jc w:val="right"/>
              <w:rPr>
                <w:color w:val="auto"/>
                <w:szCs w:val="21"/>
                <w:highlight w:val="none"/>
                <w:u w:val="single"/>
              </w:rPr>
            </w:pPr>
            <w:r>
              <w:rPr>
                <w:color w:val="auto"/>
                <w:szCs w:val="21"/>
                <w:highlight w:val="none"/>
                <w:u w:val="single"/>
              </w:rPr>
              <w:t xml:space="preserve">   </w:t>
            </w:r>
            <w:r>
              <w:rPr>
                <w:color w:val="auto"/>
                <w:szCs w:val="21"/>
                <w:highlight w:val="none"/>
              </w:rPr>
              <w:t>分</w:t>
            </w:r>
          </w:p>
        </w:tc>
        <w:tc>
          <w:tcPr>
            <w:tcW w:w="1178" w:type="dxa"/>
            <w:vAlign w:val="center"/>
          </w:tcPr>
          <w:p>
            <w:pPr>
              <w:spacing w:line="380" w:lineRule="atLeast"/>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color w:val="auto"/>
                <w:szCs w:val="21"/>
                <w:highlight w:val="none"/>
                <w:u w:val="singl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项目实施要点</w:t>
            </w:r>
          </w:p>
        </w:tc>
        <w:tc>
          <w:tcPr>
            <w:tcW w:w="772" w:type="dxa"/>
            <w:vAlign w:val="center"/>
          </w:tcPr>
          <w:p>
            <w:pPr>
              <w:spacing w:line="380" w:lineRule="atLeast"/>
              <w:jc w:val="right"/>
              <w:rPr>
                <w:color w:val="auto"/>
                <w:szCs w:val="21"/>
                <w:highlight w:val="none"/>
                <w:u w:val="single"/>
              </w:rPr>
            </w:pPr>
            <w:r>
              <w:rPr>
                <w:color w:val="auto"/>
                <w:szCs w:val="21"/>
                <w:highlight w:val="none"/>
                <w:u w:val="single"/>
              </w:rPr>
              <w:t xml:space="preserve">   </w:t>
            </w:r>
            <w:r>
              <w:rPr>
                <w:color w:val="auto"/>
                <w:szCs w:val="21"/>
                <w:highlight w:val="none"/>
              </w:rPr>
              <w:t>分</w:t>
            </w:r>
          </w:p>
        </w:tc>
        <w:tc>
          <w:tcPr>
            <w:tcW w:w="1178" w:type="dxa"/>
            <w:vAlign w:val="center"/>
          </w:tcPr>
          <w:p>
            <w:pPr>
              <w:spacing w:line="380" w:lineRule="atLeast"/>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color w:val="auto"/>
                <w:szCs w:val="21"/>
                <w:highlight w:val="none"/>
                <w:u w:val="singl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项目管理要点</w:t>
            </w:r>
          </w:p>
        </w:tc>
        <w:tc>
          <w:tcPr>
            <w:tcW w:w="772" w:type="dxa"/>
            <w:vAlign w:val="center"/>
          </w:tcPr>
          <w:p>
            <w:pPr>
              <w:spacing w:line="380" w:lineRule="atLeast"/>
              <w:jc w:val="right"/>
              <w:rPr>
                <w:color w:val="auto"/>
                <w:szCs w:val="21"/>
                <w:highlight w:val="none"/>
                <w:u w:val="single"/>
              </w:rPr>
            </w:pPr>
            <w:r>
              <w:rPr>
                <w:color w:val="auto"/>
                <w:szCs w:val="21"/>
                <w:highlight w:val="none"/>
                <w:u w:val="single"/>
              </w:rPr>
              <w:t xml:space="preserve">   </w:t>
            </w:r>
            <w:r>
              <w:rPr>
                <w:color w:val="auto"/>
                <w:szCs w:val="21"/>
                <w:highlight w:val="none"/>
              </w:rPr>
              <w:t>分</w:t>
            </w:r>
          </w:p>
        </w:tc>
        <w:tc>
          <w:tcPr>
            <w:tcW w:w="1178" w:type="dxa"/>
            <w:vAlign w:val="center"/>
          </w:tcPr>
          <w:p>
            <w:pPr>
              <w:spacing w:line="380" w:lineRule="atLeast"/>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rFonts w:eastAsia="隶书"/>
                <w:b/>
                <w:color w:val="auto"/>
                <w:szCs w:val="21"/>
                <w:highlight w:val="non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w:t>
            </w:r>
          </w:p>
        </w:tc>
        <w:tc>
          <w:tcPr>
            <w:tcW w:w="772" w:type="dxa"/>
            <w:vAlign w:val="center"/>
          </w:tcPr>
          <w:p>
            <w:pPr>
              <w:spacing w:line="380" w:lineRule="atLeast"/>
              <w:jc w:val="righ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vAlign w:val="center"/>
          </w:tcPr>
          <w:p>
            <w:pPr>
              <w:spacing w:line="380" w:lineRule="atLeast"/>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vAlign w:val="center"/>
          </w:tcPr>
          <w:p>
            <w:pPr>
              <w:spacing w:line="360" w:lineRule="atLeast"/>
              <w:ind w:left="-92" w:leftChars="-44" w:right="-88" w:rightChars="-42"/>
              <w:jc w:val="center"/>
              <w:rPr>
                <w:color w:val="auto"/>
                <w:szCs w:val="21"/>
                <w:highlight w:val="none"/>
              </w:rPr>
            </w:pPr>
            <w:r>
              <w:rPr>
                <w:color w:val="auto"/>
                <w:szCs w:val="21"/>
                <w:highlight w:val="none"/>
              </w:rPr>
              <w:t>2.2.</w:t>
            </w:r>
            <w:r>
              <w:rPr>
                <w:rFonts w:hint="eastAsia"/>
                <w:color w:val="auto"/>
                <w:szCs w:val="21"/>
                <w:highlight w:val="none"/>
              </w:rPr>
              <w:t>2</w:t>
            </w:r>
            <w:r>
              <w:rPr>
                <w:color w:val="auto"/>
                <w:szCs w:val="21"/>
                <w:highlight w:val="none"/>
              </w:rPr>
              <w:t>（3）</w:t>
            </w:r>
          </w:p>
        </w:tc>
        <w:tc>
          <w:tcPr>
            <w:tcW w:w="1371" w:type="dxa"/>
            <w:gridSpan w:val="2"/>
            <w:vMerge w:val="restart"/>
            <w:vAlign w:val="center"/>
          </w:tcPr>
          <w:p>
            <w:pPr>
              <w:spacing w:line="360" w:lineRule="atLeast"/>
              <w:jc w:val="center"/>
              <w:rPr>
                <w:color w:val="auto"/>
                <w:szCs w:val="21"/>
                <w:highlight w:val="none"/>
              </w:rPr>
            </w:pPr>
            <w:r>
              <w:rPr>
                <w:color w:val="auto"/>
                <w:szCs w:val="21"/>
                <w:highlight w:val="none"/>
              </w:rPr>
              <w:t>主要人员</w:t>
            </w:r>
          </w:p>
        </w:tc>
        <w:tc>
          <w:tcPr>
            <w:tcW w:w="992" w:type="dxa"/>
            <w:vMerge w:val="restart"/>
            <w:vAlign w:val="center"/>
          </w:tcPr>
          <w:p>
            <w:pPr>
              <w:spacing w:line="380" w:lineRule="atLeast"/>
              <w:jc w:val="right"/>
              <w:rPr>
                <w:color w:val="auto"/>
                <w:szCs w:val="21"/>
                <w:highlight w:val="none"/>
              </w:rPr>
            </w:pPr>
            <w:r>
              <w:rPr>
                <w:color w:val="auto"/>
                <w:szCs w:val="21"/>
                <w:highlight w:val="none"/>
                <w:u w:val="single"/>
              </w:rPr>
              <w:t xml:space="preserve">   </w:t>
            </w:r>
            <w:r>
              <w:rPr>
                <w:color w:val="auto"/>
                <w:szCs w:val="21"/>
                <w:highlight w:val="none"/>
              </w:rPr>
              <w:t>分</w:t>
            </w: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项目负责人任职资格与业绩</w:t>
            </w:r>
          </w:p>
        </w:tc>
        <w:tc>
          <w:tcPr>
            <w:tcW w:w="772" w:type="dxa"/>
            <w:vAlign w:val="center"/>
          </w:tcPr>
          <w:p>
            <w:pPr>
              <w:spacing w:line="380" w:lineRule="atLeast"/>
              <w:jc w:val="right"/>
              <w:rPr>
                <w:rFonts w:ascii="宋体" w:hAnsi="宋体"/>
                <w:color w:val="auto"/>
                <w:szCs w:val="21"/>
                <w:highlight w:val="none"/>
              </w:rPr>
            </w:pPr>
            <w:r>
              <w:rPr>
                <w:rFonts w:ascii="宋体" w:hAnsi="宋体"/>
                <w:color w:val="auto"/>
                <w:szCs w:val="21"/>
                <w:highlight w:val="none"/>
                <w:u w:val="single"/>
              </w:rPr>
              <w:t xml:space="preserve">   </w:t>
            </w:r>
            <w:r>
              <w:rPr>
                <w:rFonts w:ascii="宋体" w:hAnsi="宋体"/>
                <w:color w:val="auto"/>
                <w:szCs w:val="21"/>
                <w:highlight w:val="none"/>
              </w:rPr>
              <w:t>分</w:t>
            </w:r>
          </w:p>
        </w:tc>
        <w:tc>
          <w:tcPr>
            <w:tcW w:w="1178" w:type="dxa"/>
            <w:vAlign w:val="center"/>
          </w:tcPr>
          <w:p>
            <w:pPr>
              <w:spacing w:line="380" w:lineRule="atLeast"/>
              <w:rPr>
                <w:rFonts w:ascii="宋体" w:hAnsi="宋体"/>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rFonts w:eastAsia="隶书"/>
                <w:b/>
                <w:color w:val="auto"/>
                <w:szCs w:val="21"/>
                <w:highlight w:val="non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设计负责人</w:t>
            </w:r>
            <w:r>
              <w:rPr>
                <w:rFonts w:hint="eastAsia" w:ascii="宋体" w:hAnsi="宋体"/>
                <w:color w:val="auto"/>
                <w:szCs w:val="21"/>
                <w:highlight w:val="none"/>
              </w:rPr>
              <w:t>任职</w:t>
            </w:r>
            <w:r>
              <w:rPr>
                <w:rFonts w:ascii="宋体" w:hAnsi="宋体"/>
                <w:color w:val="auto"/>
                <w:szCs w:val="21"/>
                <w:highlight w:val="none"/>
              </w:rPr>
              <w:t>资格与业绩</w:t>
            </w:r>
          </w:p>
        </w:tc>
        <w:tc>
          <w:tcPr>
            <w:tcW w:w="772" w:type="dxa"/>
            <w:vAlign w:val="center"/>
          </w:tcPr>
          <w:p>
            <w:pPr>
              <w:spacing w:line="380" w:lineRule="atLeast"/>
              <w:jc w:val="right"/>
              <w:rPr>
                <w:rFonts w:ascii="宋体" w:hAnsi="宋体"/>
                <w:color w:val="auto"/>
                <w:szCs w:val="21"/>
                <w:highlight w:val="none"/>
              </w:rPr>
            </w:pPr>
            <w:r>
              <w:rPr>
                <w:rFonts w:ascii="宋体" w:hAnsi="宋体"/>
                <w:color w:val="auto"/>
                <w:szCs w:val="21"/>
                <w:highlight w:val="none"/>
                <w:u w:val="single"/>
              </w:rPr>
              <w:t xml:space="preserve">   </w:t>
            </w:r>
            <w:r>
              <w:rPr>
                <w:rFonts w:ascii="宋体" w:hAnsi="宋体"/>
                <w:color w:val="auto"/>
                <w:szCs w:val="21"/>
                <w:highlight w:val="none"/>
              </w:rPr>
              <w:t>分</w:t>
            </w:r>
          </w:p>
        </w:tc>
        <w:tc>
          <w:tcPr>
            <w:tcW w:w="1178" w:type="dxa"/>
            <w:vAlign w:val="center"/>
          </w:tcPr>
          <w:p>
            <w:pPr>
              <w:spacing w:line="380" w:lineRule="atLeast"/>
              <w:rPr>
                <w:rFonts w:ascii="宋体" w:hAnsi="宋体"/>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rFonts w:eastAsia="隶书"/>
                <w:b/>
                <w:color w:val="auto"/>
                <w:szCs w:val="21"/>
                <w:highlight w:val="non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施工负责人</w:t>
            </w:r>
            <w:r>
              <w:rPr>
                <w:rFonts w:hint="eastAsia" w:ascii="宋体" w:hAnsi="宋体"/>
                <w:color w:val="auto"/>
                <w:szCs w:val="21"/>
                <w:highlight w:val="none"/>
              </w:rPr>
              <w:t>任职</w:t>
            </w:r>
            <w:r>
              <w:rPr>
                <w:rFonts w:ascii="宋体" w:hAnsi="宋体"/>
                <w:color w:val="auto"/>
                <w:szCs w:val="21"/>
                <w:highlight w:val="none"/>
              </w:rPr>
              <w:t>资格与业绩</w:t>
            </w:r>
          </w:p>
        </w:tc>
        <w:tc>
          <w:tcPr>
            <w:tcW w:w="772" w:type="dxa"/>
            <w:vAlign w:val="center"/>
          </w:tcPr>
          <w:p>
            <w:pPr>
              <w:spacing w:line="380" w:lineRule="atLeast"/>
              <w:jc w:val="right"/>
              <w:rPr>
                <w:rFonts w:ascii="宋体" w:hAnsi="宋体"/>
                <w:color w:val="auto"/>
                <w:szCs w:val="21"/>
                <w:highlight w:val="none"/>
                <w:u w:val="single"/>
              </w:rPr>
            </w:pPr>
            <w:r>
              <w:rPr>
                <w:rFonts w:ascii="宋体" w:hAnsi="宋体"/>
                <w:color w:val="auto"/>
                <w:szCs w:val="21"/>
                <w:highlight w:val="none"/>
                <w:u w:val="single"/>
              </w:rPr>
              <w:t xml:space="preserve">   </w:t>
            </w:r>
            <w:r>
              <w:rPr>
                <w:rFonts w:ascii="宋体" w:hAnsi="宋体"/>
                <w:color w:val="auto"/>
                <w:szCs w:val="21"/>
                <w:highlight w:val="none"/>
              </w:rPr>
              <w:t>分</w:t>
            </w:r>
          </w:p>
        </w:tc>
        <w:tc>
          <w:tcPr>
            <w:tcW w:w="1178" w:type="dxa"/>
            <w:vAlign w:val="center"/>
          </w:tcPr>
          <w:p>
            <w:pPr>
              <w:spacing w:line="380" w:lineRule="atLeast"/>
              <w:rPr>
                <w:rFonts w:ascii="宋体" w:hAnsi="宋体"/>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413" w:type="dxa"/>
            <w:vMerge w:val="continue"/>
            <w:vAlign w:val="center"/>
          </w:tcPr>
          <w:p>
            <w:pPr>
              <w:spacing w:line="380" w:lineRule="atLeast"/>
              <w:jc w:val="center"/>
              <w:rPr>
                <w:color w:val="auto"/>
                <w:szCs w:val="21"/>
                <w:highlight w:val="none"/>
              </w:rPr>
            </w:pPr>
          </w:p>
        </w:tc>
        <w:tc>
          <w:tcPr>
            <w:tcW w:w="1371" w:type="dxa"/>
            <w:gridSpan w:val="2"/>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rFonts w:eastAsia="隶书"/>
                <w:b/>
                <w:color w:val="auto"/>
                <w:szCs w:val="21"/>
                <w:highlight w:val="none"/>
              </w:rPr>
            </w:pPr>
          </w:p>
        </w:tc>
        <w:tc>
          <w:tcPr>
            <w:tcW w:w="3165" w:type="dxa"/>
            <w:vAlign w:val="center"/>
          </w:tcPr>
          <w:p>
            <w:pPr>
              <w:spacing w:line="380" w:lineRule="atLeast"/>
              <w:ind w:firstLine="186" w:firstLineChars="89"/>
              <w:rPr>
                <w:rFonts w:ascii="宋体" w:hAnsi="宋体"/>
                <w:color w:val="auto"/>
                <w:szCs w:val="21"/>
                <w:highlight w:val="none"/>
              </w:rPr>
            </w:pPr>
            <w:r>
              <w:rPr>
                <w:rFonts w:ascii="宋体" w:hAnsi="宋体"/>
                <w:color w:val="auto"/>
                <w:szCs w:val="21"/>
                <w:highlight w:val="none"/>
              </w:rPr>
              <w:t>……</w:t>
            </w:r>
          </w:p>
        </w:tc>
        <w:tc>
          <w:tcPr>
            <w:tcW w:w="772" w:type="dxa"/>
            <w:vAlign w:val="center"/>
          </w:tcPr>
          <w:p>
            <w:pPr>
              <w:spacing w:line="380" w:lineRule="atLeast"/>
              <w:jc w:val="right"/>
              <w:rPr>
                <w:rFonts w:ascii="宋体" w:hAnsi="宋体"/>
                <w:color w:val="auto"/>
                <w:szCs w:val="21"/>
                <w:highlight w:val="none"/>
                <w:u w:val="single"/>
              </w:rPr>
            </w:pPr>
            <w:r>
              <w:rPr>
                <w:rFonts w:ascii="宋体" w:hAnsi="宋体"/>
                <w:color w:val="auto"/>
                <w:szCs w:val="21"/>
                <w:highlight w:val="none"/>
                <w:u w:val="single"/>
              </w:rPr>
              <w:t xml:space="preserve">   </w:t>
            </w:r>
            <w:r>
              <w:rPr>
                <w:rFonts w:ascii="宋体" w:hAnsi="宋体"/>
                <w:color w:val="auto"/>
                <w:szCs w:val="21"/>
                <w:highlight w:val="none"/>
              </w:rPr>
              <w:t>分</w:t>
            </w:r>
          </w:p>
        </w:tc>
        <w:tc>
          <w:tcPr>
            <w:tcW w:w="1178" w:type="dxa"/>
            <w:vAlign w:val="center"/>
          </w:tcPr>
          <w:p>
            <w:pPr>
              <w:spacing w:line="380" w:lineRule="atLeast"/>
              <w:rPr>
                <w:rFonts w:ascii="宋体" w:hAnsi="宋体"/>
                <w:color w:val="auto"/>
                <w:szCs w:val="21"/>
                <w:highlight w:val="none"/>
              </w:rPr>
            </w:pPr>
            <w:r>
              <w:rPr>
                <w:rFonts w:ascii="宋体" w:hAnsi="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vAlign w:val="center"/>
          </w:tcPr>
          <w:p>
            <w:pPr>
              <w:spacing w:line="380" w:lineRule="atLeast"/>
              <w:jc w:val="center"/>
              <w:rPr>
                <w:color w:val="auto"/>
                <w:szCs w:val="21"/>
                <w:highlight w:val="none"/>
              </w:rPr>
            </w:pPr>
            <w:r>
              <w:rPr>
                <w:color w:val="auto"/>
                <w:szCs w:val="21"/>
                <w:highlight w:val="none"/>
              </w:rPr>
              <w:t>2.2.</w:t>
            </w:r>
            <w:r>
              <w:rPr>
                <w:rFonts w:hint="eastAsia"/>
                <w:color w:val="auto"/>
                <w:szCs w:val="21"/>
                <w:highlight w:val="none"/>
              </w:rPr>
              <w:t>2</w:t>
            </w:r>
            <w:r>
              <w:rPr>
                <w:color w:val="auto"/>
                <w:szCs w:val="21"/>
                <w:highlight w:val="none"/>
              </w:rPr>
              <w:t>（4）</w:t>
            </w:r>
          </w:p>
        </w:tc>
        <w:tc>
          <w:tcPr>
            <w:tcW w:w="453" w:type="dxa"/>
            <w:vMerge w:val="restart"/>
            <w:vAlign w:val="center"/>
          </w:tcPr>
          <w:p>
            <w:pPr>
              <w:spacing w:line="380" w:lineRule="atLeast"/>
              <w:jc w:val="center"/>
              <w:rPr>
                <w:color w:val="auto"/>
                <w:szCs w:val="21"/>
                <w:highlight w:val="none"/>
              </w:rPr>
            </w:pPr>
            <w:r>
              <w:rPr>
                <w:color w:val="auto"/>
                <w:szCs w:val="21"/>
                <w:highlight w:val="none"/>
              </w:rPr>
              <w:t>其他因素</w:t>
            </w:r>
          </w:p>
        </w:tc>
        <w:tc>
          <w:tcPr>
            <w:tcW w:w="918" w:type="dxa"/>
            <w:vMerge w:val="restart"/>
            <w:vAlign w:val="center"/>
          </w:tcPr>
          <w:p>
            <w:pPr>
              <w:spacing w:line="380" w:lineRule="atLeast"/>
              <w:jc w:val="center"/>
              <w:rPr>
                <w:color w:val="auto"/>
                <w:szCs w:val="21"/>
                <w:highlight w:val="none"/>
              </w:rPr>
            </w:pPr>
            <w:r>
              <w:rPr>
                <w:rFonts w:hint="eastAsia"/>
                <w:color w:val="auto"/>
                <w:szCs w:val="21"/>
                <w:highlight w:val="none"/>
              </w:rPr>
              <w:t>技术</w:t>
            </w:r>
          </w:p>
          <w:p>
            <w:pPr>
              <w:spacing w:line="380" w:lineRule="atLeast"/>
              <w:jc w:val="center"/>
              <w:rPr>
                <w:color w:val="auto"/>
                <w:szCs w:val="21"/>
                <w:highlight w:val="none"/>
              </w:rPr>
            </w:pPr>
            <w:r>
              <w:rPr>
                <w:color w:val="auto"/>
                <w:szCs w:val="21"/>
                <w:highlight w:val="none"/>
              </w:rPr>
              <w:t>能力</w:t>
            </w:r>
          </w:p>
        </w:tc>
        <w:tc>
          <w:tcPr>
            <w:tcW w:w="992" w:type="dxa"/>
            <w:vMerge w:val="restart"/>
            <w:vAlign w:val="center"/>
          </w:tcPr>
          <w:p>
            <w:pPr>
              <w:spacing w:line="380" w:lineRule="atLeast"/>
              <w:jc w:val="right"/>
              <w:rPr>
                <w:color w:val="auto"/>
                <w:szCs w:val="21"/>
                <w:highlight w:val="none"/>
              </w:rPr>
            </w:pPr>
            <w:r>
              <w:rPr>
                <w:color w:val="auto"/>
                <w:szCs w:val="21"/>
                <w:highlight w:val="none"/>
                <w:u w:val="single"/>
              </w:rPr>
              <w:t xml:space="preserve">   </w:t>
            </w:r>
            <w:r>
              <w:rPr>
                <w:color w:val="auto"/>
                <w:szCs w:val="21"/>
                <w:highlight w:val="none"/>
              </w:rPr>
              <w:t>分</w:t>
            </w:r>
          </w:p>
        </w:tc>
        <w:tc>
          <w:tcPr>
            <w:tcW w:w="3165" w:type="dxa"/>
          </w:tcPr>
          <w:p>
            <w:pPr>
              <w:spacing w:line="380" w:lineRule="atLeast"/>
              <w:jc w:val="center"/>
              <w:rPr>
                <w:color w:val="auto"/>
                <w:szCs w:val="21"/>
                <w:highlight w:val="none"/>
              </w:rPr>
            </w:pPr>
            <w:r>
              <w:rPr>
                <w:color w:val="auto"/>
                <w:szCs w:val="21"/>
                <w:highlight w:val="none"/>
              </w:rPr>
              <w:t>……</w:t>
            </w:r>
          </w:p>
        </w:tc>
        <w:tc>
          <w:tcPr>
            <w:tcW w:w="772" w:type="dxa"/>
            <w:vAlign w:val="center"/>
          </w:tcPr>
          <w:p>
            <w:pPr>
              <w:spacing w:line="380" w:lineRule="atLeast"/>
              <w:jc w:val="righ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tcPr>
          <w:p>
            <w:pPr>
              <w:spacing w:line="380" w:lineRule="atLeast"/>
              <w:jc w:val="center"/>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rFonts w:eastAsia="隶书"/>
                <w:color w:val="auto"/>
                <w:szCs w:val="21"/>
                <w:highlight w:val="none"/>
              </w:rPr>
            </w:pPr>
          </w:p>
        </w:tc>
        <w:tc>
          <w:tcPr>
            <w:tcW w:w="453" w:type="dxa"/>
            <w:vMerge w:val="continue"/>
            <w:vAlign w:val="center"/>
          </w:tcPr>
          <w:p>
            <w:pPr>
              <w:spacing w:line="380" w:lineRule="atLeast"/>
              <w:jc w:val="center"/>
              <w:rPr>
                <w:rFonts w:eastAsia="隶书"/>
                <w:color w:val="auto"/>
                <w:szCs w:val="21"/>
                <w:highlight w:val="none"/>
              </w:rPr>
            </w:pPr>
          </w:p>
        </w:tc>
        <w:tc>
          <w:tcPr>
            <w:tcW w:w="918" w:type="dxa"/>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color w:val="auto"/>
                <w:szCs w:val="21"/>
                <w:highlight w:val="none"/>
              </w:rPr>
            </w:pPr>
          </w:p>
        </w:tc>
        <w:tc>
          <w:tcPr>
            <w:tcW w:w="3165" w:type="dxa"/>
          </w:tcPr>
          <w:p>
            <w:pPr>
              <w:spacing w:line="380" w:lineRule="atLeast"/>
              <w:jc w:val="center"/>
              <w:rPr>
                <w:color w:val="auto"/>
                <w:szCs w:val="21"/>
                <w:highlight w:val="none"/>
              </w:rPr>
            </w:pPr>
            <w:r>
              <w:rPr>
                <w:color w:val="auto"/>
                <w:szCs w:val="21"/>
                <w:highlight w:val="none"/>
              </w:rPr>
              <w:t>……</w:t>
            </w:r>
          </w:p>
        </w:tc>
        <w:tc>
          <w:tcPr>
            <w:tcW w:w="772" w:type="dxa"/>
            <w:vAlign w:val="center"/>
          </w:tcPr>
          <w:p>
            <w:pPr>
              <w:spacing w:line="380" w:lineRule="atLeas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tcPr>
          <w:p>
            <w:pPr>
              <w:spacing w:line="380" w:lineRule="atLeast"/>
              <w:jc w:val="center"/>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rFonts w:eastAsia="隶书"/>
                <w:color w:val="auto"/>
                <w:szCs w:val="21"/>
                <w:highlight w:val="none"/>
              </w:rPr>
            </w:pPr>
          </w:p>
        </w:tc>
        <w:tc>
          <w:tcPr>
            <w:tcW w:w="453" w:type="dxa"/>
            <w:vMerge w:val="continue"/>
            <w:vAlign w:val="center"/>
          </w:tcPr>
          <w:p>
            <w:pPr>
              <w:spacing w:line="380" w:lineRule="atLeast"/>
              <w:ind w:left="-105" w:leftChars="-50" w:right="-105" w:rightChars="-50"/>
              <w:jc w:val="center"/>
              <w:rPr>
                <w:rFonts w:eastAsia="隶书"/>
                <w:color w:val="auto"/>
                <w:szCs w:val="21"/>
                <w:highlight w:val="none"/>
              </w:rPr>
            </w:pPr>
          </w:p>
        </w:tc>
        <w:tc>
          <w:tcPr>
            <w:tcW w:w="918" w:type="dxa"/>
            <w:vMerge w:val="restart"/>
            <w:vAlign w:val="center"/>
          </w:tcPr>
          <w:p>
            <w:pPr>
              <w:spacing w:line="380" w:lineRule="atLeast"/>
              <w:ind w:left="-105" w:leftChars="-50" w:right="-105" w:rightChars="-50"/>
              <w:jc w:val="center"/>
              <w:rPr>
                <w:color w:val="auto"/>
                <w:szCs w:val="21"/>
                <w:highlight w:val="none"/>
              </w:rPr>
            </w:pPr>
            <w:r>
              <w:rPr>
                <w:color w:val="auto"/>
                <w:szCs w:val="21"/>
                <w:highlight w:val="none"/>
              </w:rPr>
              <w:t>履约信誉</w:t>
            </w:r>
          </w:p>
        </w:tc>
        <w:tc>
          <w:tcPr>
            <w:tcW w:w="992" w:type="dxa"/>
            <w:vMerge w:val="restart"/>
            <w:vAlign w:val="center"/>
          </w:tcPr>
          <w:p>
            <w:pPr>
              <w:spacing w:line="380" w:lineRule="atLeast"/>
              <w:jc w:val="right"/>
              <w:rPr>
                <w:color w:val="auto"/>
                <w:szCs w:val="21"/>
                <w:highlight w:val="none"/>
              </w:rPr>
            </w:pPr>
            <w:r>
              <w:rPr>
                <w:color w:val="auto"/>
                <w:szCs w:val="21"/>
                <w:highlight w:val="none"/>
                <w:u w:val="single"/>
              </w:rPr>
              <w:t xml:space="preserve">   </w:t>
            </w:r>
            <w:r>
              <w:rPr>
                <w:color w:val="auto"/>
                <w:szCs w:val="21"/>
                <w:highlight w:val="none"/>
              </w:rPr>
              <w:t>分</w:t>
            </w:r>
          </w:p>
        </w:tc>
        <w:tc>
          <w:tcPr>
            <w:tcW w:w="3165" w:type="dxa"/>
          </w:tcPr>
          <w:p>
            <w:pPr>
              <w:spacing w:line="380" w:lineRule="atLeast"/>
              <w:jc w:val="center"/>
              <w:rPr>
                <w:color w:val="auto"/>
                <w:szCs w:val="21"/>
                <w:highlight w:val="none"/>
              </w:rPr>
            </w:pPr>
            <w:r>
              <w:rPr>
                <w:color w:val="auto"/>
                <w:szCs w:val="21"/>
                <w:highlight w:val="none"/>
              </w:rPr>
              <w:t>……</w:t>
            </w:r>
          </w:p>
        </w:tc>
        <w:tc>
          <w:tcPr>
            <w:tcW w:w="772" w:type="dxa"/>
            <w:vAlign w:val="center"/>
          </w:tcPr>
          <w:p>
            <w:pPr>
              <w:spacing w:line="380" w:lineRule="atLeas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tcPr>
          <w:p>
            <w:pPr>
              <w:spacing w:line="380" w:lineRule="atLeast"/>
              <w:jc w:val="center"/>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rFonts w:eastAsia="隶书"/>
                <w:color w:val="auto"/>
                <w:szCs w:val="21"/>
                <w:highlight w:val="none"/>
              </w:rPr>
            </w:pPr>
          </w:p>
        </w:tc>
        <w:tc>
          <w:tcPr>
            <w:tcW w:w="453" w:type="dxa"/>
            <w:vMerge w:val="continue"/>
            <w:vAlign w:val="center"/>
          </w:tcPr>
          <w:p>
            <w:pPr>
              <w:spacing w:line="380" w:lineRule="atLeast"/>
              <w:jc w:val="center"/>
              <w:rPr>
                <w:rFonts w:eastAsia="隶书"/>
                <w:color w:val="auto"/>
                <w:szCs w:val="21"/>
                <w:highlight w:val="none"/>
              </w:rPr>
            </w:pPr>
          </w:p>
        </w:tc>
        <w:tc>
          <w:tcPr>
            <w:tcW w:w="918" w:type="dxa"/>
            <w:vMerge w:val="continue"/>
            <w:vAlign w:val="center"/>
          </w:tcPr>
          <w:p>
            <w:pPr>
              <w:spacing w:line="380" w:lineRule="atLeast"/>
              <w:jc w:val="center"/>
              <w:rPr>
                <w:color w:val="auto"/>
                <w:szCs w:val="21"/>
                <w:highlight w:val="none"/>
              </w:rPr>
            </w:pPr>
          </w:p>
        </w:tc>
        <w:tc>
          <w:tcPr>
            <w:tcW w:w="992" w:type="dxa"/>
            <w:vMerge w:val="continue"/>
            <w:vAlign w:val="center"/>
          </w:tcPr>
          <w:p>
            <w:pPr>
              <w:spacing w:line="380" w:lineRule="atLeast"/>
              <w:jc w:val="right"/>
              <w:rPr>
                <w:b/>
                <w:color w:val="auto"/>
                <w:szCs w:val="21"/>
                <w:highlight w:val="none"/>
              </w:rPr>
            </w:pPr>
          </w:p>
        </w:tc>
        <w:tc>
          <w:tcPr>
            <w:tcW w:w="3165" w:type="dxa"/>
          </w:tcPr>
          <w:p>
            <w:pPr>
              <w:spacing w:line="380" w:lineRule="atLeast"/>
              <w:jc w:val="center"/>
              <w:rPr>
                <w:color w:val="auto"/>
                <w:szCs w:val="21"/>
                <w:highlight w:val="none"/>
              </w:rPr>
            </w:pPr>
            <w:r>
              <w:rPr>
                <w:color w:val="auto"/>
                <w:szCs w:val="21"/>
                <w:highlight w:val="none"/>
              </w:rPr>
              <w:t>……</w:t>
            </w:r>
          </w:p>
        </w:tc>
        <w:tc>
          <w:tcPr>
            <w:tcW w:w="772" w:type="dxa"/>
            <w:vAlign w:val="center"/>
          </w:tcPr>
          <w:p>
            <w:pPr>
              <w:spacing w:line="380" w:lineRule="atLeas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tcPr>
          <w:p>
            <w:pPr>
              <w:spacing w:line="380" w:lineRule="atLeast"/>
              <w:jc w:val="center"/>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rFonts w:eastAsia="隶书"/>
                <w:color w:val="auto"/>
                <w:szCs w:val="21"/>
                <w:highlight w:val="none"/>
              </w:rPr>
            </w:pPr>
          </w:p>
        </w:tc>
        <w:tc>
          <w:tcPr>
            <w:tcW w:w="453" w:type="dxa"/>
            <w:vMerge w:val="continue"/>
          </w:tcPr>
          <w:p>
            <w:pPr>
              <w:spacing w:line="380" w:lineRule="atLeast"/>
              <w:jc w:val="center"/>
              <w:rPr>
                <w:rFonts w:eastAsia="隶书"/>
                <w:color w:val="auto"/>
                <w:szCs w:val="21"/>
                <w:highlight w:val="none"/>
              </w:rPr>
            </w:pPr>
          </w:p>
        </w:tc>
        <w:tc>
          <w:tcPr>
            <w:tcW w:w="918" w:type="dxa"/>
            <w:vMerge w:val="restart"/>
          </w:tcPr>
          <w:p>
            <w:pPr>
              <w:spacing w:line="380" w:lineRule="atLeast"/>
              <w:jc w:val="center"/>
              <w:rPr>
                <w:color w:val="auto"/>
                <w:szCs w:val="21"/>
                <w:highlight w:val="none"/>
              </w:rPr>
            </w:pPr>
            <w:r>
              <w:rPr>
                <w:color w:val="auto"/>
                <w:szCs w:val="21"/>
                <w:highlight w:val="none"/>
              </w:rPr>
              <w:t>……</w:t>
            </w:r>
          </w:p>
        </w:tc>
        <w:tc>
          <w:tcPr>
            <w:tcW w:w="992" w:type="dxa"/>
            <w:vMerge w:val="restart"/>
            <w:vAlign w:val="center"/>
          </w:tcPr>
          <w:p>
            <w:pPr>
              <w:spacing w:line="380" w:lineRule="atLeast"/>
              <w:jc w:val="right"/>
              <w:rPr>
                <w:color w:val="auto"/>
                <w:szCs w:val="21"/>
                <w:highlight w:val="none"/>
              </w:rPr>
            </w:pPr>
            <w:r>
              <w:rPr>
                <w:color w:val="auto"/>
                <w:szCs w:val="21"/>
                <w:highlight w:val="none"/>
                <w:u w:val="single"/>
              </w:rPr>
              <w:t xml:space="preserve">   </w:t>
            </w:r>
            <w:r>
              <w:rPr>
                <w:color w:val="auto"/>
                <w:szCs w:val="21"/>
                <w:highlight w:val="none"/>
              </w:rPr>
              <w:t>分</w:t>
            </w:r>
          </w:p>
        </w:tc>
        <w:tc>
          <w:tcPr>
            <w:tcW w:w="3165" w:type="dxa"/>
          </w:tcPr>
          <w:p>
            <w:pPr>
              <w:spacing w:line="380" w:lineRule="atLeast"/>
              <w:jc w:val="center"/>
              <w:rPr>
                <w:color w:val="auto"/>
                <w:szCs w:val="21"/>
                <w:highlight w:val="none"/>
              </w:rPr>
            </w:pPr>
            <w:r>
              <w:rPr>
                <w:color w:val="auto"/>
                <w:szCs w:val="21"/>
                <w:highlight w:val="none"/>
              </w:rPr>
              <w:t>……</w:t>
            </w:r>
          </w:p>
        </w:tc>
        <w:tc>
          <w:tcPr>
            <w:tcW w:w="772" w:type="dxa"/>
            <w:vAlign w:val="center"/>
          </w:tcPr>
          <w:p>
            <w:pPr>
              <w:spacing w:line="380" w:lineRule="atLeas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tcPr>
          <w:p>
            <w:pPr>
              <w:spacing w:line="380" w:lineRule="atLeast"/>
              <w:jc w:val="center"/>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spacing w:line="380" w:lineRule="atLeast"/>
              <w:jc w:val="center"/>
              <w:rPr>
                <w:rFonts w:eastAsia="隶书"/>
                <w:color w:val="auto"/>
                <w:szCs w:val="21"/>
                <w:highlight w:val="none"/>
              </w:rPr>
            </w:pPr>
          </w:p>
        </w:tc>
        <w:tc>
          <w:tcPr>
            <w:tcW w:w="453" w:type="dxa"/>
            <w:vMerge w:val="continue"/>
          </w:tcPr>
          <w:p>
            <w:pPr>
              <w:spacing w:line="380" w:lineRule="atLeast"/>
              <w:jc w:val="center"/>
              <w:rPr>
                <w:rFonts w:eastAsia="隶书"/>
                <w:color w:val="auto"/>
                <w:szCs w:val="21"/>
                <w:highlight w:val="none"/>
              </w:rPr>
            </w:pPr>
          </w:p>
        </w:tc>
        <w:tc>
          <w:tcPr>
            <w:tcW w:w="918" w:type="dxa"/>
            <w:vMerge w:val="continue"/>
          </w:tcPr>
          <w:p>
            <w:pPr>
              <w:spacing w:line="380" w:lineRule="atLeast"/>
              <w:jc w:val="center"/>
              <w:rPr>
                <w:color w:val="auto"/>
                <w:szCs w:val="21"/>
                <w:highlight w:val="none"/>
              </w:rPr>
            </w:pPr>
          </w:p>
        </w:tc>
        <w:tc>
          <w:tcPr>
            <w:tcW w:w="992" w:type="dxa"/>
            <w:vMerge w:val="continue"/>
            <w:vAlign w:val="center"/>
          </w:tcPr>
          <w:p>
            <w:pPr>
              <w:spacing w:line="380" w:lineRule="atLeast"/>
              <w:rPr>
                <w:color w:val="auto"/>
                <w:szCs w:val="21"/>
                <w:highlight w:val="none"/>
                <w:u w:val="single"/>
              </w:rPr>
            </w:pPr>
          </w:p>
        </w:tc>
        <w:tc>
          <w:tcPr>
            <w:tcW w:w="3165" w:type="dxa"/>
          </w:tcPr>
          <w:p>
            <w:pPr>
              <w:spacing w:line="380" w:lineRule="atLeast"/>
              <w:jc w:val="center"/>
              <w:rPr>
                <w:color w:val="auto"/>
                <w:szCs w:val="21"/>
                <w:highlight w:val="none"/>
              </w:rPr>
            </w:pPr>
            <w:r>
              <w:rPr>
                <w:color w:val="auto"/>
                <w:szCs w:val="21"/>
                <w:highlight w:val="none"/>
              </w:rPr>
              <w:t>……</w:t>
            </w:r>
          </w:p>
        </w:tc>
        <w:tc>
          <w:tcPr>
            <w:tcW w:w="772" w:type="dxa"/>
            <w:vAlign w:val="center"/>
          </w:tcPr>
          <w:p>
            <w:pPr>
              <w:spacing w:line="380" w:lineRule="atLeast"/>
              <w:rPr>
                <w:color w:val="auto"/>
                <w:szCs w:val="21"/>
                <w:highlight w:val="none"/>
              </w:rPr>
            </w:pPr>
            <w:r>
              <w:rPr>
                <w:color w:val="auto"/>
                <w:szCs w:val="21"/>
                <w:highlight w:val="none"/>
                <w:u w:val="single"/>
              </w:rPr>
              <w:t xml:space="preserve">   </w:t>
            </w:r>
            <w:r>
              <w:rPr>
                <w:color w:val="auto"/>
                <w:szCs w:val="21"/>
                <w:highlight w:val="none"/>
              </w:rPr>
              <w:t>分</w:t>
            </w:r>
          </w:p>
        </w:tc>
        <w:tc>
          <w:tcPr>
            <w:tcW w:w="1178" w:type="dxa"/>
          </w:tcPr>
          <w:p>
            <w:pPr>
              <w:spacing w:line="380" w:lineRule="atLeast"/>
              <w:jc w:val="center"/>
              <w:rPr>
                <w:color w:val="auto"/>
                <w:szCs w:val="21"/>
                <w:highlight w:val="none"/>
              </w:rPr>
            </w:pPr>
            <w:r>
              <w:rPr>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pageBreakBefore w:val="0"/>
              <w:kinsoku/>
              <w:wordWrap w:val="0"/>
              <w:bidi w:val="0"/>
              <w:spacing w:line="380" w:lineRule="atLeast"/>
              <w:jc w:val="center"/>
              <w:rPr>
                <w:rFonts w:eastAsia="隶书"/>
                <w:color w:val="auto"/>
                <w:szCs w:val="21"/>
                <w:highlight w:val="none"/>
              </w:rPr>
            </w:pPr>
            <w:r>
              <w:rPr>
                <w:rFonts w:hint="default" w:ascii="Times New Roman" w:hAnsi="Times New Roman" w:cs="Times New Roman"/>
                <w:color w:val="auto"/>
                <w:szCs w:val="21"/>
                <w:highlight w:val="none"/>
              </w:rPr>
              <w:t>2.2.2（</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rPr>
              <w:t>）</w:t>
            </w:r>
          </w:p>
        </w:tc>
        <w:tc>
          <w:tcPr>
            <w:tcW w:w="1371" w:type="dxa"/>
            <w:gridSpan w:val="2"/>
            <w:vAlign w:val="center"/>
          </w:tcPr>
          <w:p>
            <w:pPr>
              <w:pageBreakBefore w:val="0"/>
              <w:kinsoku/>
              <w:wordWrap w:val="0"/>
              <w:bidi w:val="0"/>
              <w:spacing w:line="380" w:lineRule="atLeast"/>
              <w:jc w:val="center"/>
              <w:rPr>
                <w:color w:val="auto"/>
                <w:szCs w:val="21"/>
                <w:highlight w:val="none"/>
              </w:rPr>
            </w:pPr>
            <w:r>
              <w:rPr>
                <w:rFonts w:ascii="Times New Roman" w:hAnsi="Times New Roman" w:eastAsia="宋体" w:cs="Times New Roman"/>
                <w:color w:val="auto"/>
                <w:szCs w:val="21"/>
                <w:highlight w:val="none"/>
              </w:rPr>
              <w:t>评标价</w:t>
            </w:r>
          </w:p>
        </w:tc>
        <w:tc>
          <w:tcPr>
            <w:tcW w:w="992" w:type="dxa"/>
            <w:vAlign w:val="center"/>
          </w:tcPr>
          <w:p>
            <w:pPr>
              <w:pageBreakBefore w:val="0"/>
              <w:kinsoku/>
              <w:wordWrap w:val="0"/>
              <w:bidi w:val="0"/>
              <w:spacing w:line="380" w:lineRule="atLeast"/>
              <w:jc w:val="center"/>
              <w:rPr>
                <w:color w:val="auto"/>
                <w:szCs w:val="21"/>
                <w:highlight w:val="none"/>
                <w:u w:val="single"/>
              </w:rPr>
            </w:pPr>
            <w:r>
              <w:rPr>
                <w:rFonts w:ascii="宋体" w:hAnsi="宋体" w:eastAsia="宋体" w:cs="Times New Roman"/>
                <w:color w:val="auto"/>
                <w:szCs w:val="21"/>
                <w:highlight w:val="none"/>
                <w:u w:val="single"/>
              </w:rPr>
              <w:t xml:space="preserve"> </w:t>
            </w:r>
            <w:r>
              <w:rPr>
                <w:rFonts w:hint="eastAsia" w:ascii="宋体" w:hAnsi="宋体" w:cs="Times New Roman"/>
                <w:color w:val="auto"/>
                <w:szCs w:val="21"/>
                <w:highlight w:val="none"/>
                <w:u w:val="single"/>
                <w:lang w:val="en-US" w:eastAsia="zh-CN"/>
              </w:rPr>
              <w:t>100</w:t>
            </w:r>
            <w:r>
              <w:rPr>
                <w:rFonts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rPr>
              <w:t>分</w:t>
            </w:r>
          </w:p>
        </w:tc>
        <w:tc>
          <w:tcPr>
            <w:tcW w:w="5115" w:type="dxa"/>
            <w:gridSpan w:val="3"/>
            <w:vAlign w:val="top"/>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评标价得分计算公式示例：</w:t>
            </w:r>
          </w:p>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（1）如果投标人的评标价&gt;评标基准价，则评标价得分＝</w:t>
            </w:r>
            <w:r>
              <w:rPr>
                <w:rFonts w:hint="eastAsia" w:ascii="Times New Roman" w:hAnsi="Times New Roman" w:eastAsia="宋体" w:cs="Times New Roman"/>
                <w:color w:val="auto"/>
                <w:szCs w:val="21"/>
                <w:highlight w:val="none"/>
              </w:rPr>
              <w:t>评标价满分</w:t>
            </w:r>
            <w:r>
              <w:rPr>
                <w:rFonts w:ascii="Times New Roman" w:hAnsi="Times New Roman" w:eastAsia="宋体" w:cs="Times New Roman"/>
                <w:color w:val="auto"/>
                <w:szCs w:val="21"/>
                <w:highlight w:val="none"/>
              </w:rPr>
              <w:t>－偏差率×100×</w:t>
            </w:r>
            <w:r>
              <w:rPr>
                <w:rFonts w:hint="eastAsia" w:cs="Times New Roman"/>
                <w:color w:val="auto"/>
                <w:szCs w:val="21"/>
                <w:highlight w:val="none"/>
                <w:lang w:val="en-US" w:eastAsia="zh-CN"/>
              </w:rPr>
              <w:t>2</w:t>
            </w:r>
            <w:r>
              <w:rPr>
                <w:rFonts w:ascii="Times New Roman" w:hAnsi="Times New Roman" w:eastAsia="宋体" w:cs="Times New Roman"/>
                <w:color w:val="auto"/>
                <w:szCs w:val="21"/>
                <w:highlight w:val="none"/>
              </w:rPr>
              <w:t>；</w:t>
            </w:r>
          </w:p>
          <w:p>
            <w:pPr>
              <w:pageBreakBefore w:val="0"/>
              <w:kinsoku/>
              <w:wordWrap w:val="0"/>
              <w:bidi w:val="0"/>
              <w:spacing w:line="380" w:lineRule="atLeast"/>
              <w:jc w:val="left"/>
              <w:rPr>
                <w:color w:val="auto"/>
                <w:szCs w:val="21"/>
                <w:highlight w:val="none"/>
              </w:rPr>
            </w:pPr>
            <w:r>
              <w:rPr>
                <w:rFonts w:ascii="Times New Roman" w:hAnsi="Times New Roman" w:eastAsia="宋体" w:cs="Times New Roman"/>
                <w:color w:val="auto"/>
                <w:szCs w:val="21"/>
                <w:highlight w:val="none"/>
              </w:rPr>
              <w:t>（2）如果投标人的评标价≤评标基准价，则评标价得分＝</w:t>
            </w:r>
            <w:r>
              <w:rPr>
                <w:rFonts w:hint="eastAsia" w:ascii="Times New Roman" w:hAnsi="Times New Roman" w:eastAsia="宋体" w:cs="Times New Roman"/>
                <w:color w:val="auto"/>
                <w:szCs w:val="21"/>
                <w:highlight w:val="none"/>
              </w:rPr>
              <w:t>评标价满分</w:t>
            </w:r>
            <w:r>
              <w:rPr>
                <w:rFonts w:ascii="Times New Roman" w:hAnsi="Times New Roman" w:eastAsia="宋体" w:cs="Times New Roman"/>
                <w:color w:val="auto"/>
                <w:szCs w:val="21"/>
                <w:highlight w:val="none"/>
              </w:rPr>
              <w:t>＋偏差率× 100×</w:t>
            </w:r>
            <w:r>
              <w:rPr>
                <w:rFonts w:hint="eastAsia" w:cs="Times New Roman"/>
                <w:color w:val="auto"/>
                <w:szCs w:val="21"/>
                <w:highlight w:val="none"/>
                <w:lang w:val="en-US" w:eastAsia="zh-CN"/>
              </w:rPr>
              <w:t>1</w:t>
            </w: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1" w:type="dxa"/>
            <w:gridSpan w:val="7"/>
          </w:tcPr>
          <w:p>
            <w:pPr>
              <w:spacing w:line="380" w:lineRule="atLeast"/>
              <w:rPr>
                <w:color w:val="auto"/>
                <w:szCs w:val="21"/>
                <w:highlight w:val="none"/>
              </w:rPr>
            </w:pPr>
            <w:r>
              <w:rPr>
                <w:color w:val="auto"/>
                <w:szCs w:val="21"/>
                <w:highlight w:val="none"/>
              </w:rPr>
              <w:t>需要补充的其他内容：</w:t>
            </w:r>
          </w:p>
          <w:p>
            <w:pPr>
              <w:spacing w:line="380" w:lineRule="atLeast"/>
              <w:rPr>
                <w:color w:val="auto"/>
                <w:szCs w:val="21"/>
                <w:highlight w:val="none"/>
              </w:rPr>
            </w:pPr>
            <w:r>
              <w:rPr>
                <w:color w:val="auto"/>
                <w:szCs w:val="21"/>
                <w:highlight w:val="none"/>
              </w:rPr>
              <w:t>……</w:t>
            </w:r>
          </w:p>
        </w:tc>
      </w:tr>
    </w:tbl>
    <w:p>
      <w:pPr>
        <w:pStyle w:val="2"/>
        <w:pageBreakBefore w:val="0"/>
        <w:kinsoku/>
        <w:wordWrap w:val="0"/>
        <w:bidi w:val="0"/>
        <w:spacing w:before="240" w:after="240" w:line="240" w:lineRule="atLeast"/>
        <w:outlineLvl w:val="1"/>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7"/>
          <w:szCs w:val="27"/>
          <w:highlight w:val="none"/>
        </w:rPr>
        <w:br w:type="page"/>
      </w:r>
      <w:bookmarkStart w:id="568" w:name="_Toc13255"/>
      <w:r>
        <w:rPr>
          <w:rFonts w:hint="default" w:ascii="Times New Roman" w:hAnsi="Times New Roman" w:eastAsia="黑体" w:cs="Times New Roman"/>
          <w:b w:val="0"/>
          <w:color w:val="auto"/>
          <w:sz w:val="28"/>
          <w:szCs w:val="28"/>
          <w:highlight w:val="none"/>
        </w:rPr>
        <w:t>1. 评标方法</w:t>
      </w:r>
      <w:bookmarkEnd w:id="568"/>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次评标采用技术评分合理低标价法。评标委员会对满足招标文件实质性要求的第一信封商务及技术文件的承包人建议书和承包人实施计划、主要人员、技术能力、履约信誉等因素进行评分，按照得分由高到低排序，对排名在招标文件规定数量以内的投标人的报价文件进行评审，按照评标价得分由高到低的顺序推荐中标候选人，或根据招标人授权直接确定中标人，但投标报价低于其成本的除外。评标价相等时，评标委员会应按照评标办法前附表规定的优先次序推荐中标候选人或确定中标人。</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569" w:name="_Toc17749"/>
      <w:r>
        <w:rPr>
          <w:rFonts w:hint="default" w:ascii="Times New Roman" w:hAnsi="Times New Roman" w:eastAsia="黑体" w:cs="Times New Roman"/>
          <w:b w:val="0"/>
          <w:color w:val="auto"/>
          <w:sz w:val="28"/>
          <w:szCs w:val="28"/>
          <w:highlight w:val="none"/>
        </w:rPr>
        <w:t>2. 评审标准</w:t>
      </w:r>
      <w:bookmarkEnd w:id="569"/>
    </w:p>
    <w:p>
      <w:pPr>
        <w:keepNext/>
        <w:keepLines/>
        <w:pageBreakBefore w:val="0"/>
        <w:kinsoku/>
        <w:wordWrap w:val="0"/>
        <w:bidi w:val="0"/>
        <w:spacing w:before="240" w:after="240"/>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2.1 初步评审标准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 形式评审标准：见评标办法前附表。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 资格评审标准：见评标办法前附表。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 响应性评审标准：见评标办法前附表。</w:t>
      </w:r>
    </w:p>
    <w:p>
      <w:pPr>
        <w:keepNext/>
        <w:keepLines/>
        <w:pageBreakBefore w:val="0"/>
        <w:kinsoku/>
        <w:wordWrap w:val="0"/>
        <w:bidi w:val="0"/>
        <w:spacing w:before="240" w:after="240"/>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2.2 分值构成与评分标准</w:t>
      </w:r>
    </w:p>
    <w:p>
      <w:pPr>
        <w:pageBreakBefore w:val="0"/>
        <w:tabs>
          <w:tab w:val="left" w:pos="360"/>
        </w:tabs>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2.2.1 </w:t>
      </w:r>
      <w:r>
        <w:rPr>
          <w:rFonts w:hint="default" w:ascii="Times New Roman" w:hAnsi="Times New Roman" w:eastAsia="宋体" w:cs="Times New Roman"/>
          <w:bCs/>
          <w:color w:val="auto"/>
          <w:kern w:val="44"/>
          <w:sz w:val="24"/>
          <w:highlight w:val="none"/>
        </w:rPr>
        <w:t>第一个信封评分</w:t>
      </w:r>
      <w:r>
        <w:rPr>
          <w:rFonts w:hint="default" w:ascii="Times New Roman" w:hAnsi="Times New Roman" w:eastAsia="宋体" w:cs="Times New Roman"/>
          <w:color w:val="auto"/>
          <w:sz w:val="24"/>
          <w:highlight w:val="none"/>
        </w:rPr>
        <w:t>分值构成</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（1）承包人建议书和承包人实施计划：见评标办法前附表；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（2）主要人员：见评标办法前附表；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（3）其他评分因素：见评标办法前附表。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2.2.2 </w:t>
      </w:r>
      <w:r>
        <w:rPr>
          <w:rFonts w:hint="default" w:ascii="Times New Roman" w:hAnsi="Times New Roman" w:eastAsia="宋体" w:cs="Times New Roman"/>
          <w:bCs/>
          <w:color w:val="auto"/>
          <w:kern w:val="44"/>
          <w:sz w:val="24"/>
          <w:highlight w:val="none"/>
        </w:rPr>
        <w:t>第一个信封评分</w:t>
      </w:r>
      <w:r>
        <w:rPr>
          <w:rFonts w:hint="default" w:ascii="Times New Roman" w:hAnsi="Times New Roman" w:eastAsia="宋体" w:cs="Times New Roman"/>
          <w:color w:val="auto"/>
          <w:sz w:val="24"/>
          <w:highlight w:val="none"/>
        </w:rPr>
        <w:t>评分标准</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（1）承包人建议书评分标准：见评标办法前附表；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（2）承包人实施计划评分标准：见评标办法前附表；</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（3）主要人员评分标准：见评标办法前附表；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（4）其他因素评分标准：见评标办法前附表。</w:t>
      </w:r>
    </w:p>
    <w:p>
      <w:pPr>
        <w:pageBreakBefore w:val="0"/>
        <w:kinsoku/>
        <w:wordWrap w:val="0"/>
        <w:bidi w:val="0"/>
        <w:spacing w:line="400" w:lineRule="atLeast"/>
        <w:ind w:firstLine="480" w:firstLineChars="200"/>
        <w:rPr>
          <w:rFonts w:hint="eastAsia" w:cs="Times New Roman"/>
          <w:color w:val="auto"/>
          <w:sz w:val="24"/>
          <w:highlight w:val="none"/>
          <w:lang w:eastAsia="zh-CN"/>
        </w:rPr>
      </w:pPr>
      <w:r>
        <w:rPr>
          <w:rFonts w:hint="default" w:ascii="Times New Roman" w:hAnsi="Times New Roman" w:eastAsia="宋体" w:cs="Times New Roman"/>
          <w:color w:val="auto"/>
          <w:sz w:val="24"/>
          <w:highlight w:val="none"/>
        </w:rPr>
        <w:t>2.2.3 第二个信封评分分值构成及详细评审标准：见评标办法前附表</w:t>
      </w:r>
      <w:r>
        <w:rPr>
          <w:rFonts w:hint="eastAsia" w:cs="Times New Roman"/>
          <w:color w:val="auto"/>
          <w:sz w:val="24"/>
          <w:highlight w:val="none"/>
          <w:lang w:eastAsia="zh-CN"/>
        </w:rPr>
        <w:t>。</w:t>
      </w:r>
    </w:p>
    <w:p>
      <w:pPr>
        <w:pageBreakBefore w:val="0"/>
        <w:kinsoku/>
        <w:wordWrap w:val="0"/>
        <w:bidi w:val="0"/>
        <w:spacing w:line="400" w:lineRule="atLeast"/>
        <w:ind w:firstLine="480" w:firstLineChars="200"/>
        <w:rPr>
          <w:rFonts w:hint="default" w:ascii="Times New Roman" w:hAnsi="Times New Roman" w:eastAsia="宋体" w:cs="Times New Roman"/>
          <w:bCs/>
          <w:color w:val="auto"/>
          <w:kern w:val="44"/>
          <w:sz w:val="24"/>
          <w:highlight w:val="none"/>
        </w:rPr>
      </w:pPr>
      <w:r>
        <w:rPr>
          <w:rFonts w:hint="eastAsia" w:cs="Times New Roman"/>
          <w:color w:val="auto"/>
          <w:sz w:val="24"/>
          <w:highlight w:val="none"/>
          <w:lang w:val="en-US" w:eastAsia="zh-CN"/>
        </w:rPr>
        <w:t xml:space="preserve">2.2.4 </w:t>
      </w:r>
      <w:r>
        <w:rPr>
          <w:rFonts w:hint="default" w:ascii="Times New Roman" w:hAnsi="Times New Roman" w:eastAsia="宋体" w:cs="Times New Roman"/>
          <w:bCs/>
          <w:color w:val="auto"/>
          <w:kern w:val="44"/>
          <w:sz w:val="24"/>
          <w:highlight w:val="none"/>
        </w:rPr>
        <w:t>评标基准价计算</w:t>
      </w:r>
    </w:p>
    <w:p>
      <w:pPr>
        <w:pageBreakBefore w:val="0"/>
        <w:kinsoku/>
        <w:wordWrap w:val="0"/>
        <w:bidi w:val="0"/>
        <w:spacing w:line="400" w:lineRule="atLeast"/>
        <w:ind w:firstLine="480" w:firstLineChars="200"/>
        <w:rPr>
          <w:rFonts w:hint="eastAsia" w:cs="Times New Roman"/>
          <w:color w:val="auto"/>
          <w:sz w:val="24"/>
          <w:highlight w:val="none"/>
          <w:lang w:eastAsia="zh-CN"/>
        </w:rPr>
      </w:pPr>
      <w:r>
        <w:rPr>
          <w:rFonts w:hint="default" w:ascii="Times New Roman" w:hAnsi="Times New Roman" w:eastAsia="宋体" w:cs="Times New Roman"/>
          <w:color w:val="auto"/>
          <w:sz w:val="24"/>
          <w:highlight w:val="none"/>
        </w:rPr>
        <w:t>评标基准价计算方法：见评标办法前附表</w:t>
      </w:r>
      <w:r>
        <w:rPr>
          <w:rFonts w:hint="eastAsia" w:cs="Times New Roman"/>
          <w:color w:val="auto"/>
          <w:sz w:val="24"/>
          <w:highlight w:val="none"/>
          <w:lang w:eastAsia="zh-CN"/>
        </w:rPr>
        <w:t>。</w:t>
      </w:r>
    </w:p>
    <w:p>
      <w:pPr>
        <w:wordWrap w:val="0"/>
        <w:spacing w:line="400" w:lineRule="atLeast"/>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2.2.</w:t>
      </w:r>
      <w:r>
        <w:rPr>
          <w:rFonts w:hint="eastAsia" w:cs="Times New Roman"/>
          <w:color w:val="auto"/>
          <w:sz w:val="24"/>
          <w:highlight w:val="none"/>
          <w:lang w:eastAsia="zh-CN"/>
        </w:rPr>
        <w:t>5</w:t>
      </w:r>
      <w:r>
        <w:rPr>
          <w:rFonts w:hint="eastAsia" w:ascii="Times New Roman" w:hAnsi="Times New Roman" w:eastAsia="宋体" w:cs="Times New Roman"/>
          <w:color w:val="auto"/>
          <w:sz w:val="24"/>
          <w:highlight w:val="none"/>
        </w:rPr>
        <w:t xml:space="preserve"> 评标价的偏差率计算</w:t>
      </w:r>
    </w:p>
    <w:p>
      <w:pPr>
        <w:pageBreakBefore w:val="0"/>
        <w:kinsoku/>
        <w:wordWrap w:val="0"/>
        <w:bidi w:val="0"/>
        <w:spacing w:line="400" w:lineRule="atLeast"/>
        <w:ind w:firstLine="480" w:firstLineChars="200"/>
        <w:rPr>
          <w:rFonts w:hint="eastAsia" w:eastAsia="宋体" w:cs="Times New Roman"/>
          <w:color w:val="auto"/>
          <w:sz w:val="24"/>
          <w:highlight w:val="none"/>
          <w:lang w:eastAsia="zh-CN"/>
        </w:rPr>
      </w:pPr>
      <w:r>
        <w:rPr>
          <w:rFonts w:hint="default" w:ascii="Times New Roman" w:hAnsi="Times New Roman" w:eastAsia="宋体" w:cs="Times New Roman"/>
          <w:color w:val="auto"/>
          <w:sz w:val="24"/>
          <w:highlight w:val="none"/>
        </w:rPr>
        <w:t>评标价的偏差率计算公式：见评标办法前附表</w:t>
      </w:r>
      <w:r>
        <w:rPr>
          <w:rFonts w:hint="eastAsia" w:cs="Times New Roman"/>
          <w:color w:val="auto"/>
          <w:sz w:val="24"/>
          <w:highlight w:val="none"/>
          <w:lang w:eastAsia="zh-CN"/>
        </w:rPr>
        <w:t>。</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570" w:name="_Toc22318"/>
      <w:r>
        <w:rPr>
          <w:rFonts w:hint="default" w:ascii="Times New Roman" w:hAnsi="Times New Roman" w:eastAsia="黑体" w:cs="Times New Roman"/>
          <w:b w:val="0"/>
          <w:color w:val="auto"/>
          <w:sz w:val="28"/>
          <w:szCs w:val="28"/>
          <w:highlight w:val="none"/>
        </w:rPr>
        <w:t>3. 评标程序</w:t>
      </w:r>
      <w:bookmarkEnd w:id="570"/>
    </w:p>
    <w:p>
      <w:pPr>
        <w:keepNext/>
        <w:keepLines/>
        <w:pageBreakBefore w:val="0"/>
        <w:kinsoku/>
        <w:wordWrap w:val="0"/>
        <w:bidi w:val="0"/>
        <w:spacing w:before="240" w:after="240"/>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3.1第一个信封初步评审</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评标委员会依据本章第2.1款规定的评审标准对投标文件第一个信封（商务及技术文件）进行初步评审。有一项不符合评审标准的，评标委员会应否决其投标。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投标文件的标的、质量标准、工期等实质性要求和条件不得出现（存在）不利于招标人的偏差，否则，评标委员会应否决其投标。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keepNext/>
        <w:keepLines/>
        <w:pageBreakBefore w:val="0"/>
        <w:kinsoku/>
        <w:wordWrap w:val="0"/>
        <w:bidi w:val="0"/>
        <w:spacing w:before="240" w:after="240"/>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3.2</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第一个信封详细评审</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3.2.1 评标委员会按本章第2.2款规定的量化因素和分值进行打分，并计算出各投标人的商务和技术得分。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（1）按本章第2.2.2项（1）</w:t>
      </w:r>
      <w:r>
        <w:rPr>
          <w:rFonts w:hint="eastAsia" w:cs="Times New Roman"/>
          <w:color w:val="auto"/>
          <w:sz w:val="24"/>
          <w:highlight w:val="none"/>
          <w:lang w:val="en-US" w:eastAsia="zh-CN"/>
        </w:rPr>
        <w:t>和（2）</w:t>
      </w:r>
      <w:r>
        <w:rPr>
          <w:rFonts w:hint="default" w:ascii="Times New Roman" w:hAnsi="Times New Roman" w:eastAsia="宋体" w:cs="Times New Roman"/>
          <w:color w:val="auto"/>
          <w:sz w:val="24"/>
          <w:highlight w:val="none"/>
        </w:rPr>
        <w:t>目规定的评审因素和分值对承包人建议书和承包人实施计划部分计算出得分A；</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（2）按本章第2.2.2项（</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rPr>
        <w:t>）目规定的评审因素和分值对主要人员部分计算出得分B；</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（3）按本章第2.2.2项（</w:t>
      </w:r>
      <w:r>
        <w:rPr>
          <w:rFonts w:hint="eastAsia" w:cs="Times New Roman"/>
          <w:color w:val="auto"/>
          <w:sz w:val="24"/>
          <w:highlight w:val="none"/>
          <w:lang w:val="en-US" w:eastAsia="zh-CN"/>
        </w:rPr>
        <w:t>4</w:t>
      </w:r>
      <w:r>
        <w:rPr>
          <w:rFonts w:hint="default" w:ascii="Times New Roman" w:hAnsi="Times New Roman" w:eastAsia="宋体" w:cs="Times New Roman"/>
          <w:color w:val="auto"/>
          <w:sz w:val="24"/>
          <w:highlight w:val="none"/>
        </w:rPr>
        <w:t>）目规定的评审因素和分值对其他部分计算出得分C。</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3.2.2 投标人的商务和技术得分分值计算保留小数点后两位，小数点后第三位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四舍五入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3.2.3 投标人的商务和技术得分=A+B+C。</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3.2.4 评标委员会按照投标人的商务和技术得分由高到低排序，排名在评标办法前附表规定数量以内的投标人，其投标文件第一个信封（商务及技术文件）通过详细评审。</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3.2.5 通过投标文件第一个信封（商务及技术文件）初步评审的投标人不少于3个且未超过评标办法前附表第3.2.4项规定数量的，均通过投标文件第一个信封（商务及技术文件）详细评审，不再对投标人的商务和技术文件进行评分。</w:t>
      </w:r>
    </w:p>
    <w:p>
      <w:pPr>
        <w:pageBreakBefore w:val="0"/>
        <w:kinsoku/>
        <w:wordWrap w:val="0"/>
        <w:bidi w:val="0"/>
        <w:spacing w:before="240" w:after="240"/>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3.3</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第二个信封开标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第一个信封（商务及技术文件）评审结束后，招标人将按照第二章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第5.1款规定的时间和地点对通过投标文件第一个信封（商务及技术文件）评审的投标文件第二个信封（报价文件）进行开标。</w:t>
      </w:r>
    </w:p>
    <w:p>
      <w:pPr>
        <w:pageBreakBefore w:val="0"/>
        <w:kinsoku/>
        <w:wordWrap w:val="0"/>
        <w:bidi w:val="0"/>
        <w:spacing w:before="240" w:after="240"/>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3.4</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第二个信封初步评审</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 评标委员会依据本章第2.1.1项、第2.1.3项规定的评审标准对投标文件第二个信封（报价文件）进行初步评审。有一项不符合评审标准的，评标委员会应否决其投标。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w:t>
      </w:r>
      <w:r>
        <w:rPr>
          <w:rFonts w:hint="default" w:ascii="Times New Roman" w:hAnsi="Times New Roman" w:eastAsia="宋体" w:cs="Times New Roman"/>
          <w:color w:val="auto"/>
          <w:highlight w:val="none"/>
          <w:vertAlign w:val="superscript"/>
        </w:rPr>
        <w:footnoteReference w:id="65"/>
      </w:r>
      <w:r>
        <w:rPr>
          <w:rFonts w:hint="default" w:ascii="Times New Roman" w:hAnsi="Times New Roman" w:eastAsia="宋体" w:cs="Times New Roman"/>
          <w:color w:val="auto"/>
          <w:sz w:val="24"/>
          <w:highlight w:val="none"/>
        </w:rPr>
        <w:t xml:space="preserve"> 投标报价有算术错误的，评标委员会按以下原则对投标报价进行修正，修正的价格经投标人书面确认后具有约束力。投标人不接受修正价格的，评标委员会应否决其投标。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（1）投标文件中的大写金额与小写金额不一致的，以大写金额为准；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（2）总价金额与依据单价计算出的结果不一致的，以单价金额为准修正总价，但单价金额小数点有明显错误的除外;</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（3）当单价与数量相乘不等于合价时，以单价计算为准，如果单价有明显的小数点位置差错，应以标出的合价为准，同时对单价予以修正；</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（4）当各子目的合价累计不等于总价时，应以各子目合价累计数为准，修正总价。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3.4.3 修正后的最终投标报价若超过最高投标限价（如有），评标委员会应否决其投标。</w:t>
      </w:r>
    </w:p>
    <w:p>
      <w:pPr>
        <w:pageBreakBefore w:val="0"/>
        <w:kinsoku/>
        <w:wordWrap w:val="0"/>
        <w:bidi w:val="0"/>
        <w:spacing w:before="240" w:after="240"/>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3.5</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第二个信封详细评审</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 评标委员会按本章第2.2款规定的量化因素和分值进行打分，并计算出评标价得分。</w:t>
      </w:r>
    </w:p>
    <w:p>
      <w:pPr>
        <w:pageBreakBefore w:val="0"/>
        <w:kinsoku/>
        <w:wordWrap w:val="0"/>
        <w:bidi w:val="0"/>
        <w:spacing w:line="400" w:lineRule="atLeast"/>
        <w:ind w:firstLine="480" w:firstLineChars="200"/>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3.</w:t>
      </w: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rPr>
        <w:t>.2 投标人得分分值计算保留小数点后两位，小数点后第三位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四舍五入</w:t>
      </w:r>
      <w:r>
        <w:rPr>
          <w:rFonts w:hint="eastAsia" w:ascii="宋体" w:hAnsi="宋体" w:eastAsia="宋体" w:cs="宋体"/>
          <w:color w:val="auto"/>
          <w:sz w:val="24"/>
          <w:highlight w:val="none"/>
        </w:rPr>
        <w:t>”</w:t>
      </w:r>
      <w:r>
        <w:rPr>
          <w:rFonts w:hint="eastAsia" w:ascii="宋体" w:hAnsi="宋体" w:cs="宋体"/>
          <w:color w:val="auto"/>
          <w:sz w:val="24"/>
          <w:highlight w:val="none"/>
          <w:lang w:eastAsia="zh-CN"/>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rPr>
        <w:t xml:space="preserve"> 评标委员会发现投标人的报价明显低于其他投标报价，是有可能影响履约的异常低价，应按本章3.7款的规定向投标人发出澄清，要求该投标人作出书面说明该报价的合理性并提供相应证明材料。当投标人不能合理说明并证明其报价的合理性的，评标委员会应以少数服从多数的原则否决其投标。</w:t>
      </w:r>
    </w:p>
    <w:p>
      <w:pPr>
        <w:pageBreakBefore w:val="0"/>
        <w:kinsoku/>
        <w:wordWrap w:val="0"/>
        <w:bidi w:val="0"/>
        <w:spacing w:before="240" w:after="240"/>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3.6</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投标文件相关信息的核查</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 在评标过程中，评标委员会应查询交通运输主管部门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，对投标人的资质、业绩、主要人员资历和目前在岗情况、信用等级等信息进行核实。若投标文件载明的信息与交通运输主管部门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发布的信息不符，使得投标人的资格条件不符合招标文件规定的，评标委员会应否决其投标。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 评标委员会应对在评标过程中发现的投标人与投标人之间、投标人与招标人之间存在的串通投标的情形进行评审和认定。投标人存在串通投标、弄虚作假、行贿等违法行为的，评标委员会应否决其投标。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（1）有下列情形之一的，属于投标人相互串通投标：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a.投标人之间协商投标报价等投标文件的实质性内容；</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b.投标人之间约定中标人；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c.投标人之间约定部分投标人放弃投标或中标；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d.属于同一集团、协会、商会等组织成员的投标人按照该组织要求协同投标；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e.投标人之间为谋取中标或排斥特定投标人而采取的其他联合行动。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（2）有下列情形之一的，视为投标人相互串通投标：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a.不同投标人的投标文件由同一单位或个人编制；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b.不同投标人委托同一单位或个人办理投标事宜；</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c.不同投标人的投标文件载明的项目管理成员为同一人；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d.不同投标人的投标文件异常一致或投标报价呈规律性差异；</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e.不同投标人的投标文件相互混装；</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f.不同投标人的投标保证金从同一单位或个人的账户转出。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（3）有下列情形之一的，属于招标人与投标人串通投标：</w:t>
      </w:r>
    </w:p>
    <w:p>
      <w:pPr>
        <w:pageBreakBefore w:val="0"/>
        <w:kinsoku/>
        <w:wordWrap w:val="0"/>
        <w:bidi w:val="0"/>
        <w:spacing w:line="400" w:lineRule="atLeast"/>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a.招标人在开标前开启投标文件并将有关信息泄露给其他投标人</w:t>
      </w:r>
      <w:r>
        <w:rPr>
          <w:rFonts w:hint="eastAsia" w:cs="Times New Roman"/>
          <w:color w:val="auto"/>
          <w:sz w:val="24"/>
          <w:highlight w:val="none"/>
          <w:lang w:eastAsia="zh-CN"/>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b.招标人直接或间接向投标人泄露标底、评标委员会成员等信息；</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c.招标人明示或暗示投标人压低或抬高投标报价；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d.招标人授意投标人撤换、修改投标文件；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e.招标人明示或暗示投标人为特定投标人中标提供方便；</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f.招标人与投标人为谋求特定投标人中标而采取的其他串通行为。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（4）投标人有下列情形之一的，属于弄虚作假的行为：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a.使用通过受让或租借等方式获取的资格、资质证书投标；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b.使用伪造、变造的许可证件；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c.提供虚假的财务状况或业绩；</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d.提供虚假的项目负责人或主要技术人员简历、劳动关系证明；</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e.提供虚假的信用状况；</w:t>
      </w:r>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f.其他弄虚作假的行为。</w:t>
      </w:r>
    </w:p>
    <w:p>
      <w:pPr>
        <w:pageBreakBefore w:val="0"/>
        <w:kinsoku/>
        <w:wordWrap w:val="0"/>
        <w:bidi w:val="0"/>
        <w:spacing w:before="240" w:after="240"/>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3.7 投标文件的澄清和说明</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3.7.2 澄清和说明不得超出投标文件的范围或改变投标文件的实质性内容（算术性错误的修正除外）。投标人的书面澄清、说明属于投标文件的组成部分。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3.7.3 评标委员会不得暗示或诱导投标人作出澄清、说明，对投标人提交的澄清、说明有疑问的，可以要求投标人进一步澄清或说明，直至满足评标委员会的要求。</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3.7.4 凡超出招标文件规定的或给发包人带来未曾要求的利益的变化、偏差或其他因素在评标时不予考虑。</w:t>
      </w:r>
    </w:p>
    <w:p>
      <w:pPr>
        <w:pageBreakBefore w:val="0"/>
        <w:kinsoku/>
        <w:wordWrap w:val="0"/>
        <w:bidi w:val="0"/>
        <w:spacing w:before="240" w:after="240"/>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 xml:space="preserve"> 不得否决投标的情形</w:t>
      </w:r>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投标文件存在第二章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第1.12.3项所列情形的，均视为细微偏差，评标委员会不得否决投标人的投标，应按照第二章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第1.12.4项规定的原则处理。</w:t>
      </w:r>
    </w:p>
    <w:p>
      <w:pPr>
        <w:pageBreakBefore w:val="0"/>
        <w:kinsoku/>
        <w:wordWrap w:val="0"/>
        <w:bidi w:val="0"/>
        <w:spacing w:before="240" w:after="240"/>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9</w:t>
      </w:r>
      <w:r>
        <w:rPr>
          <w:rFonts w:hint="default" w:ascii="Times New Roman" w:hAnsi="Times New Roman" w:eastAsia="黑体" w:cs="Times New Roman"/>
          <w:b w:val="0"/>
          <w:color w:val="auto"/>
          <w:sz w:val="24"/>
          <w:szCs w:val="24"/>
          <w:highlight w:val="none"/>
        </w:rPr>
        <w:t xml:space="preserve"> 评标结果</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3.9.1除第二章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前附表授权直接确定中标人外，评标委员会按照评标价得分由高到低的顺序推荐中标候选人，并标明排序。</w:t>
      </w:r>
    </w:p>
    <w:p>
      <w:pPr>
        <w:keepNext/>
        <w:keepLines/>
        <w:widowControl w:val="0"/>
        <w:spacing w:before="340" w:beforeLines="0" w:after="330" w:afterLines="0" w:line="576" w:lineRule="auto"/>
        <w:ind w:firstLine="480" w:firstLineChars="200"/>
        <w:jc w:val="both"/>
        <w:outlineLvl w:val="9"/>
        <w:rPr>
          <w:rFonts w:hint="default" w:ascii="Times New Roman" w:hAnsi="Times New Roman" w:eastAsia="宋体" w:cs="Times New Roman"/>
          <w:b/>
          <w:bCs/>
          <w:color w:val="auto"/>
          <w:kern w:val="44"/>
          <w:sz w:val="44"/>
          <w:szCs w:val="44"/>
          <w:highlight w:val="none"/>
          <w:lang w:val="en-US" w:eastAsia="zh-CN" w:bidi="ar-SA"/>
        </w:rPr>
        <w:sectPr>
          <w:footnotePr>
            <w:numFmt w:val="decimalEnclosedCircleChinese"/>
            <w:numRestart w:val="eachPage"/>
          </w:footnotePr>
          <w:type w:val="continuous"/>
          <w:pgSz w:w="11910" w:h="16850"/>
          <w:pgMar w:top="1480" w:right="1200" w:bottom="1040" w:left="1220" w:header="876" w:footer="853" w:gutter="0"/>
          <w:pgNumType w:fmt="decimal"/>
          <w:cols w:space="720" w:num="1"/>
        </w:sectPr>
      </w:pPr>
      <w:r>
        <w:rPr>
          <w:rFonts w:hint="default" w:ascii="Times New Roman" w:hAnsi="Times New Roman" w:eastAsia="宋体" w:cs="Times New Roman"/>
          <w:color w:val="auto"/>
          <w:sz w:val="24"/>
          <w:highlight w:val="none"/>
        </w:rPr>
        <w:t>3.9.2 评标委员会完成评标后，应向招标人提交评标报告</w:t>
      </w:r>
      <w:r>
        <w:rPr>
          <w:rFonts w:hint="default" w:ascii="Times New Roman" w:hAnsi="Times New Roman" w:eastAsia="隶书" w:cs="Times New Roman"/>
          <w:color w:val="auto"/>
          <w:sz w:val="24"/>
          <w:highlight w:val="none"/>
        </w:rPr>
        <w:t>。</w:t>
      </w:r>
    </w:p>
    <w:bookmarkEnd w:id="451"/>
    <w:p>
      <w:pPr>
        <w:spacing w:line="400" w:lineRule="exact"/>
        <w:ind w:firstLine="420" w:firstLineChars="200"/>
        <w:rPr>
          <w:rFonts w:hint="default" w:ascii="Times New Roman" w:hAnsi="Times New Roman" w:eastAsia="宋体"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Style w:val="2"/>
        <w:pageBreakBefore w:val="0"/>
        <w:kinsoku/>
        <w:wordWrap w:val="0"/>
        <w:overflowPunct/>
        <w:bidi w:val="0"/>
        <w:spacing w:before="240" w:after="240" w:line="380" w:lineRule="atLeast"/>
        <w:jc w:val="center"/>
        <w:rPr>
          <w:rFonts w:hint="default" w:ascii="Times New Roman" w:hAnsi="Times New Roman" w:eastAsia="黑体" w:cs="Times New Roman"/>
          <w:b w:val="0"/>
          <w:color w:val="auto"/>
          <w:sz w:val="56"/>
          <w:szCs w:val="56"/>
          <w:highlight w:val="none"/>
        </w:rPr>
      </w:pPr>
      <w:bookmarkStart w:id="571" w:name="_Toc7535"/>
      <w:bookmarkStart w:id="572" w:name="_Toc23747633"/>
      <w:bookmarkStart w:id="573" w:name="_Toc234832964"/>
      <w:bookmarkStart w:id="574" w:name="_Toc501257187"/>
      <w:bookmarkStart w:id="575" w:name="_Toc12702"/>
      <w:bookmarkStart w:id="576" w:name="_Toc4038"/>
      <w:r>
        <w:rPr>
          <w:rFonts w:hint="default" w:ascii="Times New Roman" w:hAnsi="Times New Roman" w:eastAsia="黑体" w:cs="Times New Roman"/>
          <w:b w:val="0"/>
          <w:color w:val="auto"/>
          <w:sz w:val="56"/>
          <w:szCs w:val="56"/>
          <w:highlight w:val="none"/>
        </w:rPr>
        <w:t>第四章  合同条款及格式</w:t>
      </w:r>
      <w:bookmarkEnd w:id="571"/>
      <w:bookmarkEnd w:id="572"/>
      <w:bookmarkEnd w:id="573"/>
      <w:bookmarkEnd w:id="574"/>
      <w:bookmarkEnd w:id="575"/>
      <w:bookmarkEnd w:id="576"/>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Style w:val="2"/>
        <w:pageBreakBefore w:val="0"/>
        <w:kinsoku/>
        <w:wordWrap w:val="0"/>
        <w:overflowPunct/>
        <w:bidi w:val="0"/>
        <w:spacing w:before="240" w:after="240" w:line="380" w:lineRule="atLeast"/>
        <w:jc w:val="center"/>
        <w:outlineLvl w:val="9"/>
        <w:rPr>
          <w:rFonts w:hint="default" w:ascii="Times New Roman" w:hAnsi="Times New Roman" w:cs="Times New Roman"/>
          <w:color w:val="auto"/>
          <w:sz w:val="20"/>
          <w:szCs w:val="20"/>
          <w:highlight w:val="none"/>
        </w:rPr>
        <w:sectPr>
          <w:footerReference r:id="rId36" w:type="default"/>
          <w:footnotePr>
            <w:numFmt w:val="decimalEnclosedCircleChinese"/>
            <w:numRestart w:val="eachPage"/>
          </w:footnotePr>
          <w:pgSz w:w="11910" w:h="16850"/>
          <w:pgMar w:top="1480" w:right="1200" w:bottom="1040" w:left="1220" w:header="876" w:footer="853" w:gutter="0"/>
          <w:pgNumType w:fmt="decimal"/>
          <w:cols w:space="720" w:num="1"/>
        </w:sectPr>
      </w:pP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bookmarkStart w:id="577" w:name="_Toc501257188"/>
      <w:bookmarkStart w:id="578" w:name="_Toc234832965"/>
      <w:bookmarkStart w:id="579" w:name="_Toc23747634"/>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p>
    <w:p>
      <w:pPr>
        <w:pStyle w:val="2"/>
        <w:pageBreakBefore w:val="0"/>
        <w:kinsoku/>
        <w:wordWrap w:val="0"/>
        <w:overflowPunct/>
        <w:bidi w:val="0"/>
        <w:spacing w:before="240" w:after="240" w:line="380" w:lineRule="atLeast"/>
        <w:jc w:val="center"/>
        <w:outlineLvl w:val="1"/>
        <w:rPr>
          <w:rFonts w:hint="default" w:ascii="Times New Roman" w:hAnsi="Times New Roman" w:eastAsia="黑体" w:cs="Times New Roman"/>
          <w:b w:val="0"/>
          <w:color w:val="auto"/>
          <w:sz w:val="42"/>
          <w:szCs w:val="42"/>
          <w:highlight w:val="none"/>
        </w:rPr>
      </w:pPr>
      <w:bookmarkStart w:id="580" w:name="_Toc5769"/>
      <w:bookmarkStart w:id="581" w:name="_Toc18624"/>
      <w:bookmarkStart w:id="582" w:name="_Toc6630"/>
      <w:r>
        <w:rPr>
          <w:rFonts w:hint="default" w:ascii="Times New Roman" w:hAnsi="Times New Roman" w:eastAsia="黑体" w:cs="Times New Roman"/>
          <w:b w:val="0"/>
          <w:color w:val="auto"/>
          <w:sz w:val="42"/>
          <w:szCs w:val="42"/>
          <w:highlight w:val="none"/>
        </w:rPr>
        <w:t>第一节  通用合同条款</w:t>
      </w:r>
      <w:bookmarkEnd w:id="577"/>
      <w:bookmarkEnd w:id="578"/>
      <w:r>
        <w:rPr>
          <w:rStyle w:val="45"/>
          <w:rFonts w:hint="default" w:ascii="Times New Roman" w:hAnsi="Times New Roman" w:eastAsia="黑体" w:cs="Times New Roman"/>
          <w:b w:val="0"/>
          <w:color w:val="auto"/>
          <w:sz w:val="32"/>
          <w:szCs w:val="32"/>
          <w:highlight w:val="none"/>
        </w:rPr>
        <w:footnoteReference w:id="66"/>
      </w:r>
      <w:bookmarkEnd w:id="579"/>
      <w:bookmarkEnd w:id="580"/>
      <w:bookmarkEnd w:id="581"/>
      <w:bookmarkEnd w:id="582"/>
    </w:p>
    <w:p>
      <w:pPr>
        <w:pageBreakBefore w:val="0"/>
        <w:kinsoku/>
        <w:wordWrap w:val="0"/>
        <w:overflowPunct/>
        <w:bidi w:val="0"/>
        <w:rPr>
          <w:rFonts w:hint="default" w:ascii="Times New Roman" w:hAnsi="Times New Roman" w:cs="Times New Roman"/>
          <w:color w:val="auto"/>
          <w:highlight w:val="none"/>
        </w:rPr>
      </w:pPr>
      <w:r>
        <w:rPr>
          <w:rFonts w:hint="default" w:ascii="Times New Roman" w:hAnsi="Times New Roman" w:eastAsia="黑体" w:cs="Times New Roman"/>
          <w:b/>
          <w:color w:val="auto"/>
          <w:sz w:val="32"/>
          <w:szCs w:val="32"/>
          <w:highlight w:val="none"/>
        </w:rPr>
        <w:br w:type="page"/>
      </w: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32"/>
          <w:szCs w:val="32"/>
          <w:highlight w:val="none"/>
        </w:rPr>
      </w:pPr>
      <w:bookmarkStart w:id="583" w:name="_Toc23747636"/>
      <w:r>
        <w:rPr>
          <w:rFonts w:hint="default" w:ascii="Times New Roman" w:hAnsi="Times New Roman" w:eastAsia="黑体" w:cs="Times New Roman"/>
          <w:b w:val="0"/>
          <w:color w:val="auto"/>
          <w:sz w:val="32"/>
          <w:szCs w:val="32"/>
          <w:highlight w:val="none"/>
        </w:rPr>
        <w:t>通用合同条款</w:t>
      </w:r>
      <w:bookmarkEnd w:id="583"/>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b/>
          <w:bCs w:val="0"/>
          <w:i w:val="0"/>
          <w:iCs w:val="0"/>
          <w:color w:val="auto"/>
          <w:szCs w:val="28"/>
          <w:highlight w:val="none"/>
        </w:rPr>
      </w:pPr>
      <w:bookmarkStart w:id="584" w:name="_Toc247527636"/>
      <w:bookmarkStart w:id="585" w:name="_Toc247514035"/>
      <w:bookmarkStart w:id="586" w:name="_Toc184635098"/>
      <w:bookmarkStart w:id="587" w:name="_Toc382809672"/>
      <w:bookmarkStart w:id="588" w:name="_Toc234832967"/>
      <w:bookmarkStart w:id="589" w:name="_Toc23747637"/>
      <w:bookmarkStart w:id="590" w:name="_Toc385256947"/>
      <w:bookmarkStart w:id="591" w:name="_Toc387158316"/>
      <w:bookmarkStart w:id="592" w:name="_Toc501257190"/>
      <w:bookmarkStart w:id="593" w:name="_Toc23235"/>
      <w:bookmarkStart w:id="594" w:name="_Toc247527798"/>
      <w:bookmarkStart w:id="595" w:name="_Toc247514197"/>
      <w:bookmarkStart w:id="596" w:name="_Toc184635122"/>
      <w:r>
        <w:rPr>
          <w:rFonts w:hint="default" w:ascii="Times New Roman" w:hAnsi="Times New Roman" w:cs="Times New Roman"/>
          <w:i w:val="0"/>
          <w:iCs w:val="0"/>
          <w:color w:val="auto"/>
          <w:szCs w:val="24"/>
          <w:highlight w:val="none"/>
        </w:rPr>
        <w:t>1. 一般约定</w:t>
      </w:r>
      <w:bookmarkEnd w:id="584"/>
      <w:bookmarkEnd w:id="585"/>
      <w:bookmarkEnd w:id="586"/>
      <w:bookmarkEnd w:id="587"/>
      <w:bookmarkEnd w:id="588"/>
      <w:bookmarkEnd w:id="589"/>
      <w:bookmarkEnd w:id="590"/>
      <w:bookmarkEnd w:id="591"/>
      <w:bookmarkEnd w:id="592"/>
      <w:bookmarkEnd w:id="593"/>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597" w:name="_Toc30589"/>
      <w:bookmarkStart w:id="598" w:name="_Toc234832968"/>
      <w:bookmarkStart w:id="599" w:name="_Toc23747638"/>
      <w:bookmarkStart w:id="600" w:name="_Toc382809673"/>
      <w:bookmarkStart w:id="601" w:name="_Toc247527637"/>
      <w:bookmarkStart w:id="602" w:name="_Toc385256948"/>
      <w:bookmarkStart w:id="603" w:name="_Toc501257191"/>
      <w:bookmarkStart w:id="604" w:name="_Toc387158317"/>
      <w:bookmarkStart w:id="605" w:name="_Toc247514036"/>
      <w:r>
        <w:rPr>
          <w:rFonts w:hint="default" w:ascii="Times New Roman" w:hAnsi="Times New Roman" w:cs="Times New Roman"/>
          <w:color w:val="auto"/>
          <w:sz w:val="24"/>
          <w:szCs w:val="24"/>
          <w:highlight w:val="none"/>
        </w:rPr>
        <w:t>1.1 词语定义</w:t>
      </w:r>
      <w:bookmarkEnd w:id="597"/>
      <w:bookmarkEnd w:id="598"/>
      <w:bookmarkEnd w:id="599"/>
      <w:bookmarkEnd w:id="600"/>
      <w:bookmarkEnd w:id="601"/>
      <w:bookmarkEnd w:id="602"/>
      <w:bookmarkEnd w:id="603"/>
      <w:bookmarkEnd w:id="604"/>
      <w:bookmarkEnd w:id="605"/>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通用合同条款、专用合同条款中的下列词语应具有本款所赋予的含义。</w:t>
      </w:r>
    </w:p>
    <w:p>
      <w:pPr>
        <w:pageBreakBefore w:val="0"/>
        <w:kinsoku/>
        <w:wordWrap w:val="0"/>
        <w:overflowPunct/>
        <w:autoSpaceDE/>
        <w:autoSpaceDN/>
        <w:bidi w:val="0"/>
        <w:ind w:firstLine="470" w:firstLineChars="196"/>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 合同</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1.1.1.1 合同文件(或称合同)：指合同协议书、中标通知书、投标函及投标函附录、专用合同条款、通用合同条款、发包人要求、价格清单、承包人建议书，以及其他构成合同组成部分的文件。</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1.1.1.2 合同协议书：指第1.5 款所指的合同协议书。</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1.1.1.3 中标通知书：指发包人通知承包人中标的函件。中标通知书随附的澄清、说明、补正事项纪要等，是中标通知书的组成部分。</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1.1.1.4 投标函：指构成合同文件组成部分的由承包人填写并签署的投标函。</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1.1.1.5 投标函附录：指附在投标函后构成合同文件的投标函附录。</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1.1.1.6 发包人要求：指构成合同文件组成部分的名为发包人要求的文件，包括招标项目的目的、范围、设计与其他技术标准和要求，</w:t>
      </w:r>
      <w:r>
        <w:rPr>
          <w:rStyle w:val="44"/>
          <w:rFonts w:hint="default" w:ascii="Times New Roman" w:hAnsi="Times New Roman" w:cs="Times New Roman"/>
          <w:color w:val="auto"/>
          <w:sz w:val="24"/>
          <w:highlight w:val="none"/>
        </w:rPr>
        <w:t>以及</w:t>
      </w:r>
      <w:r>
        <w:rPr>
          <w:rFonts w:hint="default" w:ascii="Times New Roman" w:hAnsi="Times New Roman" w:cs="Times New Roman"/>
          <w:color w:val="auto"/>
          <w:sz w:val="24"/>
          <w:highlight w:val="none"/>
        </w:rPr>
        <w:t>合同双方当事人约定对其所作的修改或补充。</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1.1.1.7 价格清单：指构成合同文件组成部分的由承包人按规定的格式和要求填写并标明价格的清单。</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1.1.1.8承包人建议书：指构成合同文件组成部分的名为承包人建议书的文件。承包人建议书由承包人随投标函一起提交。承包人建议书应包括承包人的设计图纸及相应说明等设计文件。</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1.1.1.9 其他合同文件：指经合同双方当事人确认构成合同文件的其他文件。</w:t>
      </w:r>
    </w:p>
    <w:p>
      <w:pPr>
        <w:pageBreakBefore w:val="0"/>
        <w:kinsoku/>
        <w:wordWrap w:val="0"/>
        <w:overflowPunct/>
        <w:autoSpaceDE/>
        <w:autoSpaceDN/>
        <w:bidi w:val="0"/>
        <w:ind w:firstLine="470" w:firstLineChars="196"/>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 合同当事人和人员</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1.1.2.1 合同当事人：指发包人和(或)承包人。</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1.1.2.2 发包人：指专用合同条款中指明并与承包人在合同协议书中签字的当事人。</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1.1.2.3 承包人：指与发包人签订合同协议书的当事人。</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1.1.2.4 承包人项目经理：指承包人指定代表承包人履行义务的负责人。</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1.1.2.5 设计负责人：指承包人指定负责组织指导协调设计工作并具有相应资格的人员。</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1.1.2.6 施工负责人：指承包人指定负责组织指导协调施工工作并具有相应资格的人员。</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1.1.2.7 采购负责人：指承包人指定负责组织指导协调采购工作的人员。</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1.1.2.8 分包人：指从承包人处分包合同中某一部分工作，并与其签订分包合同的分包人。</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1.1.2.9 监理人：指在专用合同条款中指明的，受发包人委托对合同履行实施管理的法人或其他组织。属于国家强制监理的，监理人应当具有相应的监理资质。</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1.1.2.10 总监理工程师：指由监理人委派对合同履行实施管理的全权负责人。</w:t>
      </w:r>
    </w:p>
    <w:p>
      <w:pPr>
        <w:pageBreakBefore w:val="0"/>
        <w:kinsoku/>
        <w:wordWrap w:val="0"/>
        <w:overflowPunct/>
        <w:autoSpaceDE/>
        <w:autoSpaceDN/>
        <w:bidi w:val="0"/>
        <w:ind w:firstLine="470" w:firstLineChars="196"/>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 工程和设备</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 工程：指永久工程和(或)临时工程。</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1.1.3.2 永久工程：指按合同约定建造并移交给发包人的工程，包括工程设备。</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1.1.3.3 临时工程：指为完成合同约定的永久工程所修建的各类临时性工程，不包括施工设备。</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1.1.3.4 区段工程：指专用合同条款中指明特定范围的能单独接收并使用的永久工程。</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1.1.3.5 工程设备：指构成或计划构成永久工程的机电设备、仪器装置、运载工具及其他类似的设备和装置。</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1.1.3.6 施工设备：指为完成合同约定的各项工作所需的设备、器具和其他物品，不包括临时工程和材料。</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1.1.3.7 临时设施：指为完成合同约定的各项工作所服务的临时性生产和生活设施。</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1.1.3.8 承包人设备：指承包人为工程实施提供的施工设备。</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1.1.3.9 施工场地(或称工地、现场)：指用于合同工程施工的场所，以及在合同中指定作为施工场地组成部分的其他场所，包括永久占地和临时占地。</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1.1.3.10 永久占地：指专用合同条款中指明为实施合同工程需永久占用的土地。</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1.1.3.11 临时占地：指专用合同条款中指明为实施合同工程需临时占用的土地。</w:t>
      </w:r>
    </w:p>
    <w:p>
      <w:pPr>
        <w:pageBreakBefore w:val="0"/>
        <w:kinsoku/>
        <w:wordWrap w:val="0"/>
        <w:overflowPunct/>
        <w:autoSpaceDE/>
        <w:autoSpaceDN/>
        <w:bidi w:val="0"/>
        <w:ind w:firstLine="470" w:firstLineChars="196"/>
        <w:textAlignment w:val="auto"/>
        <w:outlineLvl w:val="9"/>
        <w:rPr>
          <w:rFonts w:hint="default" w:ascii="Times New Roman" w:hAnsi="Times New Roman" w:cs="Times New Roman"/>
          <w:b/>
          <w:color w:val="auto"/>
          <w:sz w:val="24"/>
          <w:highlight w:val="none"/>
        </w:rPr>
      </w:pPr>
      <w:r>
        <w:rPr>
          <w:rFonts w:hint="default" w:ascii="Times New Roman" w:hAnsi="Times New Roman" w:cs="Times New Roman"/>
          <w:color w:val="auto"/>
          <w:sz w:val="24"/>
          <w:highlight w:val="none"/>
        </w:rPr>
        <w:t>1.1.4 日期、检验和竣工</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1.1.4.1 开始工作通知：指监理人按第11.1 款通知承包人开始工作的函件。</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1.1.4.2 开始工作日期：指监理人按第11.1款发出的开始工作通知中写明的开始工作日期。</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1.1.4.3 工期：指承包人在投标函中承诺的完成合同工作所需的期限，包括按第11.3款、第11.4款和第11.6款约定所作的变更。</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1.1.4.4 竣工日期：指第1.1.4.3目约定工期届满时的日期。实际竣工日期以工程接收证书中写明的日期为准。</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1.1.4.5 缺陷责任期：指履行第19.2款约定的缺陷责任的期限，具体期限在发包人要求中明确的包括根据第19.3 款约定所作的延长。</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1.1.4.6 基准日期：指投标截止之日前28天的日期。</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1.1.4.7 天：除特别指明外，指日历天。合同中按天计算时间的，开始当天不计入，从次日开始计算。期限最后一天的截止时间为当天24:00。</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1.1.4.8 竣工试验：是指在工程竣工验收前，根据第18.1款要求进行的试验。</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1.1.4.9 竣工验收：是指承包人完成了全部合同工作后，发包人按合同要求进行的验收。</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1.1.4.10 竣工后试验：是指在工程竣工验收后，根据第18.9款约定进行的试验。</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1.1.4.11国家验收：是指政府有关部门根据法律、规范、规程和政策要求，针对发包人全面组织实施的整个工程正式交付投运前的验收。</w:t>
      </w:r>
    </w:p>
    <w:p>
      <w:pPr>
        <w:pageBreakBefore w:val="0"/>
        <w:kinsoku/>
        <w:wordWrap w:val="0"/>
        <w:overflowPunct/>
        <w:autoSpaceDE/>
        <w:autoSpaceDN/>
        <w:bidi w:val="0"/>
        <w:ind w:firstLine="470" w:firstLineChars="196"/>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 合同价格和费用</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1.1.5.1 签约合同价：指中标通知书明确的并在签定合同时于合同协议书中写明的，包括了暂列金额、暂估价的合同总金额。</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1.1.5.2 合同价格：指承包人按合同约定完成了包括缺陷责任期内的全部承包工作后，发包人应付给承包人的金额，包括在履行合同过程中按合同约定进行的变更和调整。</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1.1.5.3 费用：指为履行合同所发生的或将要发生的所有合理开支，包括管理费和应分摊的其他费用，但不包括利润。</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1.1.5.4 暂列金额：指招标文件中给定的，用于在签订协议书时尚未确定或不可预见变更的设计、施工及其所需材料、工程设备、服务等的金额，包括以计日工方式支付的金额。</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1.1.5.5 暂估价：指招标文件中给定的，用于支付必然发生但暂时不能确定价格的专业服务、材料、设备专业工程的金额。</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1.1.5.6 计日工：指对零星工作采取的一种计价方式，按合同中的计日工子目及其单价计价付款。</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1.1.5.7 质量保证金：指按第17.4.1项约定用于保证在缺陷责任期内履行缺陷修复义务的金额。</w:t>
      </w:r>
    </w:p>
    <w:p>
      <w:pPr>
        <w:pageBreakBefore w:val="0"/>
        <w:kinsoku/>
        <w:wordWrap w:val="0"/>
        <w:overflowPunct/>
        <w:autoSpaceDE/>
        <w:autoSpaceDN/>
        <w:bidi w:val="0"/>
        <w:ind w:firstLine="470" w:firstLineChars="196"/>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 其他</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1.1.6.1 书面形式：指合同文件、信函、电报、传真、数据电文、电子邮件、会议纪要等可以有形地表现所载内容的形式。</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1.1.6.2 承包人文件：指由承包人根据合同应提交的所有图纸、手册、模型、计算书、软件和其他文件。</w:t>
      </w:r>
    </w:p>
    <w:p>
      <w:pPr>
        <w:pageBreakBefore w:val="0"/>
        <w:kinsoku/>
        <w:wordWrap w:val="0"/>
        <w:overflowPunct/>
        <w:autoSpaceDE/>
        <w:autoSpaceDN/>
        <w:bidi w:val="0"/>
        <w:spacing w:line="360" w:lineRule="auto"/>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1.1.6.3 变更是指根据第15条的约定，经指示或批准对发包人要求或工程所做的改变。</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606" w:name="_Toc385256949"/>
      <w:bookmarkStart w:id="607" w:name="_Toc247527638"/>
      <w:bookmarkStart w:id="608" w:name="_Toc4525"/>
      <w:bookmarkStart w:id="609" w:name="_Toc387158318"/>
      <w:bookmarkStart w:id="610" w:name="_Toc234832969"/>
      <w:bookmarkStart w:id="611" w:name="_Toc23747639"/>
      <w:bookmarkStart w:id="612" w:name="_Toc501257192"/>
      <w:bookmarkStart w:id="613" w:name="_Toc382809674"/>
      <w:bookmarkStart w:id="614" w:name="_Toc247514037"/>
      <w:r>
        <w:rPr>
          <w:rFonts w:hint="default" w:ascii="Times New Roman" w:hAnsi="Times New Roman" w:cs="Times New Roman"/>
          <w:color w:val="auto"/>
          <w:sz w:val="24"/>
          <w:szCs w:val="24"/>
          <w:highlight w:val="none"/>
        </w:rPr>
        <w:t>1.2 语言文字</w:t>
      </w:r>
      <w:bookmarkEnd w:id="606"/>
      <w:bookmarkEnd w:id="607"/>
      <w:bookmarkEnd w:id="608"/>
      <w:bookmarkEnd w:id="609"/>
      <w:bookmarkEnd w:id="610"/>
      <w:bookmarkEnd w:id="611"/>
      <w:bookmarkEnd w:id="612"/>
      <w:bookmarkEnd w:id="613"/>
      <w:bookmarkEnd w:id="614"/>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合同使用的语言文字为中文。专用术语使用外文的，应附有中文注释。</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615" w:name="_Toc234832970"/>
      <w:bookmarkStart w:id="616" w:name="_Toc387158319"/>
      <w:bookmarkStart w:id="617" w:name="_Toc247527639"/>
      <w:bookmarkStart w:id="618" w:name="_Toc247514038"/>
      <w:bookmarkStart w:id="619" w:name="_Toc23151"/>
      <w:bookmarkStart w:id="620" w:name="_Toc501257193"/>
      <w:bookmarkStart w:id="621" w:name="_Toc385256950"/>
      <w:bookmarkStart w:id="622" w:name="_Toc23747640"/>
      <w:bookmarkStart w:id="623" w:name="_Toc382809675"/>
      <w:r>
        <w:rPr>
          <w:rFonts w:hint="default" w:ascii="Times New Roman" w:hAnsi="Times New Roman" w:cs="Times New Roman"/>
          <w:color w:val="auto"/>
          <w:sz w:val="24"/>
          <w:szCs w:val="24"/>
          <w:highlight w:val="none"/>
        </w:rPr>
        <w:t>1.3 法律</w:t>
      </w:r>
      <w:bookmarkEnd w:id="615"/>
      <w:bookmarkEnd w:id="616"/>
      <w:bookmarkEnd w:id="617"/>
      <w:bookmarkEnd w:id="618"/>
      <w:bookmarkEnd w:id="619"/>
      <w:bookmarkEnd w:id="620"/>
      <w:bookmarkEnd w:id="621"/>
      <w:bookmarkEnd w:id="622"/>
      <w:bookmarkEnd w:id="62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适用于合同的法律包括中华人民共和国法律、行政法规、部门规章，以及工程所在地的地方法规、自治条例、单行条例和地方政府规章。</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624" w:name="_Toc382809676"/>
      <w:bookmarkStart w:id="625" w:name="_Toc247514039"/>
      <w:bookmarkStart w:id="626" w:name="_Toc234832971"/>
      <w:bookmarkStart w:id="627" w:name="_Toc23747641"/>
      <w:bookmarkStart w:id="628" w:name="_Toc247527640"/>
      <w:bookmarkStart w:id="629" w:name="_Toc387158320"/>
      <w:bookmarkStart w:id="630" w:name="_Toc501257194"/>
      <w:bookmarkStart w:id="631" w:name="_Toc385256951"/>
      <w:bookmarkStart w:id="632" w:name="_Toc16611"/>
      <w:r>
        <w:rPr>
          <w:rFonts w:hint="default" w:ascii="Times New Roman" w:hAnsi="Times New Roman" w:cs="Times New Roman"/>
          <w:color w:val="auto"/>
          <w:sz w:val="24"/>
          <w:szCs w:val="24"/>
          <w:highlight w:val="none"/>
        </w:rPr>
        <w:t>1.4 合同文件的优先顺序</w:t>
      </w:r>
      <w:bookmarkEnd w:id="624"/>
      <w:bookmarkEnd w:id="625"/>
      <w:bookmarkEnd w:id="626"/>
      <w:bookmarkEnd w:id="627"/>
      <w:bookmarkEnd w:id="628"/>
      <w:bookmarkEnd w:id="629"/>
      <w:bookmarkEnd w:id="630"/>
      <w:bookmarkEnd w:id="631"/>
      <w:bookmarkEnd w:id="63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组成合同的各项文件应互相解释，互为说明。除专用合同条款另有约定外，解释合同文件的优先顺序如下：</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(1)合同协议书；</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(2)中标通知书；</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(3)投标函及投标函附录；</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(4)专用合同条款；</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(5)通用合同条款；</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(6)发包人要求；</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(7)承包人建议书；</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(8)价格清单；</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(9)其他合同文件。</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633" w:name="_Toc234832972"/>
      <w:bookmarkStart w:id="634" w:name="_Toc247514040"/>
      <w:bookmarkStart w:id="635" w:name="_Toc30537"/>
      <w:bookmarkStart w:id="636" w:name="_Toc501257195"/>
      <w:bookmarkStart w:id="637" w:name="_Toc382809677"/>
      <w:bookmarkStart w:id="638" w:name="_Toc385256952"/>
      <w:bookmarkStart w:id="639" w:name="_Toc247527641"/>
      <w:bookmarkStart w:id="640" w:name="_Toc387158321"/>
      <w:bookmarkStart w:id="641" w:name="_Toc23747642"/>
      <w:r>
        <w:rPr>
          <w:rFonts w:hint="default" w:ascii="Times New Roman" w:hAnsi="Times New Roman" w:cs="Times New Roman"/>
          <w:color w:val="auto"/>
          <w:sz w:val="24"/>
          <w:szCs w:val="24"/>
          <w:highlight w:val="none"/>
        </w:rPr>
        <w:t>1.5 合同协议书</w:t>
      </w:r>
      <w:bookmarkEnd w:id="633"/>
      <w:bookmarkEnd w:id="634"/>
      <w:bookmarkEnd w:id="635"/>
      <w:bookmarkEnd w:id="636"/>
      <w:bookmarkEnd w:id="637"/>
      <w:bookmarkEnd w:id="638"/>
      <w:bookmarkEnd w:id="639"/>
      <w:bookmarkEnd w:id="640"/>
      <w:bookmarkEnd w:id="64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承包人按中标通知书规定的时间与发包人签订合同协议书。除法律另有规定或合同另有约定外，发包人和承包人的法定代表人或其委托代理人在合同协议书上签字并盖单位章后，合同生效。</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lang w:val="en-US"/>
        </w:rPr>
      </w:pPr>
      <w:bookmarkStart w:id="642" w:name="_Toc501257196"/>
      <w:bookmarkStart w:id="643" w:name="_Toc234832973"/>
      <w:bookmarkStart w:id="644" w:name="_Toc247514041"/>
      <w:bookmarkStart w:id="645" w:name="_Toc247527642"/>
      <w:bookmarkStart w:id="646" w:name="_Toc21253"/>
      <w:bookmarkStart w:id="647" w:name="_Toc382809678"/>
      <w:bookmarkStart w:id="648" w:name="_Toc23747643"/>
      <w:bookmarkStart w:id="649" w:name="_Toc387158322"/>
      <w:bookmarkStart w:id="650" w:name="_Toc385256953"/>
      <w:r>
        <w:rPr>
          <w:rFonts w:hint="default" w:ascii="Times New Roman" w:hAnsi="Times New Roman" w:cs="Times New Roman"/>
          <w:color w:val="auto"/>
          <w:sz w:val="24"/>
          <w:szCs w:val="24"/>
          <w:highlight w:val="none"/>
          <w:lang w:val="en-US"/>
        </w:rPr>
        <w:t xml:space="preserve">1.6 </w:t>
      </w:r>
      <w:bookmarkEnd w:id="642"/>
      <w:bookmarkEnd w:id="643"/>
      <w:r>
        <w:rPr>
          <w:rFonts w:hint="default" w:ascii="Times New Roman" w:hAnsi="Times New Roman" w:cs="Times New Roman"/>
          <w:color w:val="auto"/>
          <w:sz w:val="24"/>
          <w:szCs w:val="24"/>
          <w:highlight w:val="none"/>
        </w:rPr>
        <w:t>文件的提供和</w:t>
      </w:r>
      <w:bookmarkEnd w:id="644"/>
      <w:bookmarkEnd w:id="645"/>
      <w:r>
        <w:rPr>
          <w:rFonts w:hint="default" w:ascii="Times New Roman" w:hAnsi="Times New Roman" w:cs="Times New Roman"/>
          <w:color w:val="auto"/>
          <w:sz w:val="24"/>
          <w:szCs w:val="24"/>
          <w:highlight w:val="none"/>
        </w:rPr>
        <w:t>照管</w:t>
      </w:r>
      <w:bookmarkEnd w:id="646"/>
      <w:bookmarkEnd w:id="647"/>
      <w:bookmarkEnd w:id="648"/>
      <w:bookmarkEnd w:id="649"/>
      <w:bookmarkEnd w:id="650"/>
    </w:p>
    <w:p>
      <w:pPr>
        <w:pageBreakBefore w:val="0"/>
        <w:kinsoku/>
        <w:wordWrap w:val="0"/>
        <w:overflowPunct/>
        <w:autoSpaceDE/>
        <w:autoSpaceDN/>
        <w:bidi w:val="0"/>
        <w:spacing w:line="360" w:lineRule="auto"/>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1.6.1 承包人文件的提供</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承包人应在合理的期限内按照合同约定的数量向监理人提供承包人文件。合同约定承包人文件应批准的，监理人应当在合同约定的期限内批复。承包人的设计文件的提供和审查按第5.3款和第5.5款的约定执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1.6.2 发包人提供的文件</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按专用合同条款约定由发包人提供的文件，包括前期工作相关文件、环境保护、气象水文、地质条件等，发包人应按约定的数量和期限交给承包人。由于发包人未按时提供文件造成工期延误的，按第11.3款约定执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1.6.3 文件错误的通知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任何一方发现了文件中存在的明显错误或疏忽，应及时通知另一方。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1.6.4 文件的照管</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承包人应在现场保留一份合同、发包人要求中列出的所有文件、承包人文件、变更以及其它根据合同收发的往来信函。发包人有权在任何合理的时间查阅和使用上述所有文件。</w:t>
      </w:r>
      <w:bookmarkStart w:id="651" w:name="_Toc247527643"/>
      <w:bookmarkStart w:id="652" w:name="_Toc247514042"/>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653" w:name="_Toc382809679"/>
      <w:bookmarkStart w:id="654" w:name="_Toc501257197"/>
      <w:bookmarkStart w:id="655" w:name="_Toc20091"/>
      <w:bookmarkStart w:id="656" w:name="_Toc385256954"/>
      <w:bookmarkStart w:id="657" w:name="_Toc23747644"/>
      <w:bookmarkStart w:id="658" w:name="_Toc387158323"/>
      <w:bookmarkStart w:id="659" w:name="_Toc234832974"/>
      <w:r>
        <w:rPr>
          <w:rFonts w:hint="default" w:ascii="Times New Roman" w:hAnsi="Times New Roman" w:cs="Times New Roman"/>
          <w:color w:val="auto"/>
          <w:sz w:val="24"/>
          <w:szCs w:val="24"/>
          <w:highlight w:val="none"/>
        </w:rPr>
        <w:t>1.7 联络</w:t>
      </w:r>
      <w:bookmarkEnd w:id="651"/>
      <w:bookmarkEnd w:id="652"/>
      <w:bookmarkEnd w:id="653"/>
      <w:bookmarkEnd w:id="654"/>
      <w:bookmarkEnd w:id="655"/>
      <w:bookmarkEnd w:id="656"/>
      <w:bookmarkEnd w:id="657"/>
      <w:bookmarkEnd w:id="658"/>
      <w:bookmarkEnd w:id="659"/>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1.7.1 与合同有关的通知、批准、证明、证书、指示、要求、请求、同意、意见、确定和决定等，均应采用书面形式。</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1.7.2 第1.7.1 项中的通知、批准、证明、证书、指示、要求、请求、同意、意见、确定和决定等来往函件，均应在合同约定的期限内送达指定的地点和指定的接收人，并办理签收手续。</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660" w:name="_Toc247514043"/>
      <w:bookmarkStart w:id="661" w:name="_Toc234832975"/>
      <w:bookmarkStart w:id="662" w:name="_Toc501257198"/>
      <w:bookmarkStart w:id="663" w:name="_Toc19910"/>
      <w:bookmarkStart w:id="664" w:name="_Toc247527644"/>
      <w:bookmarkStart w:id="665" w:name="_Toc387158324"/>
      <w:bookmarkStart w:id="666" w:name="_Toc385256955"/>
      <w:bookmarkStart w:id="667" w:name="_Toc382809680"/>
      <w:bookmarkStart w:id="668" w:name="_Toc23747645"/>
      <w:r>
        <w:rPr>
          <w:rFonts w:hint="default" w:ascii="Times New Roman" w:hAnsi="Times New Roman" w:cs="Times New Roman"/>
          <w:color w:val="auto"/>
          <w:sz w:val="24"/>
          <w:szCs w:val="24"/>
          <w:highlight w:val="none"/>
        </w:rPr>
        <w:t>1.8 转让</w:t>
      </w:r>
      <w:bookmarkEnd w:id="660"/>
      <w:bookmarkEnd w:id="661"/>
      <w:bookmarkEnd w:id="662"/>
      <w:bookmarkEnd w:id="663"/>
      <w:bookmarkEnd w:id="664"/>
      <w:bookmarkEnd w:id="665"/>
      <w:bookmarkEnd w:id="666"/>
      <w:bookmarkEnd w:id="667"/>
      <w:bookmarkEnd w:id="668"/>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合同另有约定外，未经承包人同意，发包人不得将合同权利全部或部分转让给第三人，也不得全部或部分转让合同义务。承包人不得将合同权利和义务全部转让给第三人，也不得将合同的义务全部或部分转让给第三人，法律另有规定的除外。</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669" w:name="_Toc25039"/>
      <w:bookmarkStart w:id="670" w:name="_Toc501257199"/>
      <w:bookmarkStart w:id="671" w:name="_Toc23747646"/>
      <w:bookmarkStart w:id="672" w:name="_Toc247514044"/>
      <w:bookmarkStart w:id="673" w:name="_Toc247527645"/>
      <w:bookmarkStart w:id="674" w:name="_Toc387158325"/>
      <w:bookmarkStart w:id="675" w:name="_Toc382809681"/>
      <w:bookmarkStart w:id="676" w:name="_Toc385256956"/>
      <w:bookmarkStart w:id="677" w:name="_Toc234832976"/>
      <w:r>
        <w:rPr>
          <w:rFonts w:hint="default" w:ascii="Times New Roman" w:hAnsi="Times New Roman" w:cs="Times New Roman"/>
          <w:color w:val="auto"/>
          <w:sz w:val="24"/>
          <w:szCs w:val="24"/>
          <w:highlight w:val="none"/>
        </w:rPr>
        <w:t>1.9 严禁贿赂</w:t>
      </w:r>
      <w:bookmarkEnd w:id="669"/>
      <w:bookmarkEnd w:id="670"/>
      <w:bookmarkEnd w:id="671"/>
      <w:bookmarkEnd w:id="672"/>
      <w:bookmarkEnd w:id="673"/>
      <w:bookmarkEnd w:id="674"/>
      <w:bookmarkEnd w:id="675"/>
      <w:bookmarkEnd w:id="676"/>
      <w:bookmarkEnd w:id="677"/>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合同双方当事人不得以贿赂或变相贿赂的方式，谋取不当利益或损害对方权益。因贿赂造成对方损失的，行为人应赔偿损失，并承担相应的法律责任。</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678" w:name="_Toc31527"/>
      <w:bookmarkStart w:id="679" w:name="_Toc23747647"/>
      <w:bookmarkStart w:id="680" w:name="_Toc382809682"/>
      <w:bookmarkStart w:id="681" w:name="_Toc247514045"/>
      <w:bookmarkStart w:id="682" w:name="_Toc385256957"/>
      <w:bookmarkStart w:id="683" w:name="_Toc501257200"/>
      <w:bookmarkStart w:id="684" w:name="_Toc247527646"/>
      <w:bookmarkStart w:id="685" w:name="_Toc234832977"/>
      <w:bookmarkStart w:id="686" w:name="_Toc387158326"/>
      <w:r>
        <w:rPr>
          <w:rFonts w:hint="default" w:ascii="Times New Roman" w:hAnsi="Times New Roman" w:cs="Times New Roman"/>
          <w:color w:val="auto"/>
          <w:sz w:val="24"/>
          <w:szCs w:val="24"/>
          <w:highlight w:val="none"/>
        </w:rPr>
        <w:t>1.10 化石、文物</w:t>
      </w:r>
      <w:bookmarkEnd w:id="678"/>
      <w:bookmarkEnd w:id="679"/>
      <w:bookmarkEnd w:id="680"/>
      <w:bookmarkEnd w:id="681"/>
      <w:bookmarkEnd w:id="682"/>
      <w:bookmarkEnd w:id="683"/>
      <w:bookmarkEnd w:id="684"/>
      <w:bookmarkEnd w:id="685"/>
      <w:bookmarkEnd w:id="68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1.10.1 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和发包人。发包人、监理人和承包人应按文物行政部门要求采取妥善保护措施，由此导致费用增加和(或)工期延误由发包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1.10.2 承包人发现文物后不及时报告或隐瞒不报，致使文物丢失或损坏的，应赔偿损失，并承担相应的法律责任。</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687" w:name="_Toc501257201"/>
      <w:bookmarkStart w:id="688" w:name="_Toc247527647"/>
      <w:bookmarkStart w:id="689" w:name="_Toc234832978"/>
      <w:bookmarkStart w:id="690" w:name="_Toc247514046"/>
      <w:bookmarkStart w:id="691" w:name="_Toc387158327"/>
      <w:bookmarkStart w:id="692" w:name="_Toc23747648"/>
      <w:bookmarkStart w:id="693" w:name="_Toc382809683"/>
      <w:bookmarkStart w:id="694" w:name="_Toc19762"/>
      <w:bookmarkStart w:id="695" w:name="_Toc385256958"/>
      <w:r>
        <w:rPr>
          <w:rFonts w:hint="default" w:ascii="Times New Roman" w:hAnsi="Times New Roman" w:cs="Times New Roman"/>
          <w:color w:val="auto"/>
          <w:sz w:val="24"/>
          <w:szCs w:val="24"/>
          <w:highlight w:val="none"/>
        </w:rPr>
        <w:t xml:space="preserve">1.11 </w:t>
      </w:r>
      <w:bookmarkEnd w:id="687"/>
      <w:bookmarkEnd w:id="688"/>
      <w:bookmarkEnd w:id="689"/>
      <w:bookmarkEnd w:id="690"/>
      <w:r>
        <w:rPr>
          <w:rFonts w:hint="default" w:ascii="Times New Roman" w:hAnsi="Times New Roman" w:cs="Times New Roman"/>
          <w:color w:val="auto"/>
          <w:sz w:val="24"/>
          <w:szCs w:val="24"/>
          <w:highlight w:val="none"/>
        </w:rPr>
        <w:t>知识产权</w:t>
      </w:r>
      <w:bookmarkEnd w:id="691"/>
      <w:bookmarkEnd w:id="692"/>
      <w:bookmarkEnd w:id="693"/>
      <w:bookmarkEnd w:id="694"/>
      <w:bookmarkEnd w:id="695"/>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1.11.1除专用合同条款另有约定外，承包人完成的设计工作成果和建造完成的建筑物，除署名权以外的著作权以及建筑物形象使用收益等其他知识产权均归发包人享有。</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1.11.2 承包人在进行设计，以及使用任何材料、承包人设备、工程设备或采用施工工艺时，因侵犯专利权或其他知识产权所引起的责任，由承包人承担。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1.11.3 承包人在投标文件中采用专利技术的，专利技术的使用费包含在投标报价内。</w:t>
      </w:r>
      <w:bookmarkStart w:id="696" w:name="_Toc247527648"/>
      <w:bookmarkStart w:id="697" w:name="_Toc247514047"/>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698" w:name="_Toc501257202"/>
      <w:bookmarkStart w:id="699" w:name="_Toc234832979"/>
      <w:bookmarkStart w:id="700" w:name="_Toc387158328"/>
      <w:bookmarkStart w:id="701" w:name="_Toc24974"/>
      <w:bookmarkStart w:id="702" w:name="_Toc385256959"/>
      <w:bookmarkStart w:id="703" w:name="_Toc382809684"/>
      <w:bookmarkStart w:id="704" w:name="_Toc23747649"/>
      <w:r>
        <w:rPr>
          <w:rFonts w:hint="default" w:ascii="Times New Roman" w:hAnsi="Times New Roman" w:cs="Times New Roman"/>
          <w:color w:val="auto"/>
          <w:sz w:val="24"/>
          <w:szCs w:val="24"/>
          <w:highlight w:val="none"/>
        </w:rPr>
        <w:t xml:space="preserve">1.12 </w:t>
      </w:r>
      <w:bookmarkEnd w:id="698"/>
      <w:bookmarkEnd w:id="699"/>
      <w:r>
        <w:rPr>
          <w:rFonts w:hint="default" w:ascii="Times New Roman" w:hAnsi="Times New Roman" w:cs="Times New Roman"/>
          <w:color w:val="auto"/>
          <w:sz w:val="24"/>
          <w:szCs w:val="24"/>
          <w:highlight w:val="none"/>
        </w:rPr>
        <w:t>文件及信息的保密</w:t>
      </w:r>
      <w:bookmarkEnd w:id="696"/>
      <w:bookmarkEnd w:id="697"/>
      <w:bookmarkEnd w:id="700"/>
      <w:bookmarkEnd w:id="701"/>
      <w:bookmarkEnd w:id="702"/>
      <w:bookmarkEnd w:id="703"/>
      <w:bookmarkEnd w:id="704"/>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未经对方同意，任何一方当事人不得将有关文件、技术秘密、需要保密的资料和信息泄露给他人或公开发表与引用。</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705" w:name="_Toc265955390"/>
      <w:bookmarkStart w:id="706" w:name="_Toc247514048"/>
      <w:bookmarkStart w:id="707" w:name="_Toc247527649"/>
      <w:bookmarkStart w:id="708" w:name="_Toc382809685"/>
      <w:bookmarkStart w:id="709" w:name="_Toc385256960"/>
      <w:bookmarkStart w:id="710" w:name="_Toc387158329"/>
      <w:bookmarkStart w:id="711" w:name="_Toc5878"/>
      <w:bookmarkStart w:id="712" w:name="_Toc23747650"/>
      <w:r>
        <w:rPr>
          <w:rFonts w:hint="default" w:ascii="Times New Roman" w:hAnsi="Times New Roman" w:cs="Times New Roman"/>
          <w:color w:val="auto"/>
          <w:sz w:val="24"/>
          <w:szCs w:val="24"/>
          <w:highlight w:val="none"/>
        </w:rPr>
        <w:t>1.13 发包人要求中的错误</w:t>
      </w:r>
      <w:bookmarkEnd w:id="705"/>
      <w:bookmarkEnd w:id="706"/>
      <w:bookmarkEnd w:id="707"/>
      <w:r>
        <w:rPr>
          <w:rFonts w:hint="default" w:ascii="Times New Roman" w:hAnsi="Times New Roman" w:cs="Times New Roman"/>
          <w:color w:val="auto"/>
          <w:sz w:val="24"/>
          <w:szCs w:val="24"/>
          <w:highlight w:val="none"/>
        </w:rPr>
        <w:t>(A)</w:t>
      </w:r>
      <w:bookmarkEnd w:id="708"/>
      <w:bookmarkEnd w:id="709"/>
      <w:bookmarkEnd w:id="710"/>
      <w:bookmarkEnd w:id="711"/>
      <w:bookmarkEnd w:id="712"/>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1.13.1承包人应认真阅读、复核发包人要求，发现错误的，应及时书面通知发包人。</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1.13.2发包人要求中的错误导致承包人增加费用和(或)工期延误的，发包人应承担由此增加的费用和(或)工期延误，并向承包人支付合理利润。</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713" w:name="_Toc382809686"/>
      <w:bookmarkStart w:id="714" w:name="_Toc385256961"/>
      <w:bookmarkStart w:id="715" w:name="_Toc387158330"/>
      <w:bookmarkStart w:id="716" w:name="_Toc10614"/>
      <w:bookmarkStart w:id="717" w:name="_Toc23747651"/>
      <w:r>
        <w:rPr>
          <w:rFonts w:hint="default" w:ascii="Times New Roman" w:hAnsi="Times New Roman" w:cs="Times New Roman"/>
          <w:color w:val="auto"/>
          <w:sz w:val="24"/>
          <w:szCs w:val="24"/>
          <w:highlight w:val="none"/>
        </w:rPr>
        <w:t>1.13 发包人要求中的错误(B)</w:t>
      </w:r>
      <w:bookmarkEnd w:id="713"/>
      <w:bookmarkEnd w:id="714"/>
      <w:bookmarkEnd w:id="715"/>
      <w:bookmarkEnd w:id="716"/>
      <w:bookmarkEnd w:id="717"/>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 承包人应认真阅读、复核发包人要求，发现错误的，应及时书面通知发包人。发包人作相应修改的，按照第15条约定处理。对确实存在的错误，发包人坚持不作修改的，应承担由此导致承包人增加的费用和(或)延误的工期。</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1.13.2 承包人未发现发包人要求中存在错误的，承包人自行承担由此导致的费用增加和(或) 工期延误，但专用合同条款另有约定的除外。</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1.13.3 无论承包人发现与否，在任何情况下，发包人要求中的下列错误导致承包人增加的费用和(或)延误的工期，由发包人承担，并向承包人支付合理利润。</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(1)发包人要求中引用的原始数据和资料；</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bookmarkStart w:id="718" w:name="_Toc234832980"/>
      <w:bookmarkStart w:id="719" w:name="_Toc501257203"/>
      <w:r>
        <w:rPr>
          <w:rFonts w:hint="default" w:ascii="Times New Roman" w:hAnsi="Times New Roman" w:cs="Times New Roman"/>
          <w:color w:val="auto"/>
          <w:sz w:val="24"/>
          <w:highlight w:val="none"/>
        </w:rPr>
        <w:t>2)对工程或其任何部分的功能要求；</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(3)对工程的工艺安排或要求；</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(4)试验和检验标准；</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(5)除合同另有约定外，承包人无法核实的数据和资料。</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720" w:name="_Toc387158331"/>
      <w:bookmarkStart w:id="721" w:name="_Toc23747652"/>
      <w:bookmarkStart w:id="722" w:name="_Toc31547"/>
      <w:bookmarkStart w:id="723" w:name="_Toc382809687"/>
      <w:bookmarkStart w:id="724" w:name="_Toc385256962"/>
      <w:r>
        <w:rPr>
          <w:rFonts w:hint="default" w:ascii="Times New Roman" w:hAnsi="Times New Roman" w:cs="Times New Roman"/>
          <w:color w:val="auto"/>
          <w:sz w:val="24"/>
          <w:szCs w:val="24"/>
          <w:highlight w:val="none"/>
        </w:rPr>
        <w:t>1.14 发包人要求违法</w:t>
      </w:r>
      <w:bookmarkEnd w:id="720"/>
      <w:bookmarkEnd w:id="721"/>
      <w:bookmarkEnd w:id="722"/>
      <w:bookmarkEnd w:id="723"/>
      <w:bookmarkEnd w:id="724"/>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要求违反法律规定的，承包人发现后应书面通知发包人，并要求其改正。发包人收到通知书后不予改正或不予答复的，承包人有权拒绝履行合同义务，直至解除合同。发包人应承担由此引起的承包人全部损失。</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725" w:name="_Toc184635099"/>
      <w:bookmarkStart w:id="726" w:name="_Toc387158332"/>
      <w:bookmarkStart w:id="727" w:name="_Toc247514049"/>
      <w:bookmarkStart w:id="728" w:name="_Toc23747653"/>
      <w:bookmarkStart w:id="729" w:name="_Toc247527650"/>
      <w:bookmarkStart w:id="730" w:name="_Toc385256963"/>
      <w:bookmarkStart w:id="731" w:name="_Toc17873"/>
      <w:bookmarkStart w:id="732" w:name="_Toc382809688"/>
      <w:r>
        <w:rPr>
          <w:rFonts w:hint="default" w:ascii="Times New Roman" w:hAnsi="Times New Roman" w:cs="Times New Roman"/>
          <w:i w:val="0"/>
          <w:iCs w:val="0"/>
          <w:color w:val="auto"/>
          <w:szCs w:val="24"/>
          <w:highlight w:val="none"/>
        </w:rPr>
        <w:t>2．发包人义务</w:t>
      </w:r>
      <w:bookmarkEnd w:id="718"/>
      <w:bookmarkEnd w:id="719"/>
      <w:bookmarkEnd w:id="725"/>
      <w:bookmarkEnd w:id="726"/>
      <w:bookmarkEnd w:id="727"/>
      <w:bookmarkEnd w:id="728"/>
      <w:bookmarkEnd w:id="729"/>
      <w:bookmarkEnd w:id="730"/>
      <w:bookmarkEnd w:id="731"/>
      <w:bookmarkEnd w:id="732"/>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733" w:name="_Toc21323"/>
      <w:bookmarkStart w:id="734" w:name="_Toc501257204"/>
      <w:bookmarkStart w:id="735" w:name="_Toc23747654"/>
      <w:bookmarkStart w:id="736" w:name="_Toc234832981"/>
      <w:bookmarkStart w:id="737" w:name="_Toc382809689"/>
      <w:bookmarkStart w:id="738" w:name="_Toc387158333"/>
      <w:bookmarkStart w:id="739" w:name="_Toc247527651"/>
      <w:bookmarkStart w:id="740" w:name="_Toc385256964"/>
      <w:bookmarkStart w:id="741" w:name="_Toc247514050"/>
      <w:r>
        <w:rPr>
          <w:rFonts w:hint="default" w:ascii="Times New Roman" w:hAnsi="Times New Roman" w:cs="Times New Roman"/>
          <w:color w:val="auto"/>
          <w:sz w:val="24"/>
          <w:szCs w:val="24"/>
          <w:highlight w:val="none"/>
        </w:rPr>
        <w:t>2.1 遵守法律</w:t>
      </w:r>
      <w:bookmarkEnd w:id="733"/>
      <w:bookmarkEnd w:id="734"/>
      <w:bookmarkEnd w:id="735"/>
      <w:bookmarkEnd w:id="736"/>
      <w:bookmarkEnd w:id="737"/>
      <w:bookmarkEnd w:id="738"/>
      <w:bookmarkEnd w:id="739"/>
      <w:bookmarkEnd w:id="740"/>
      <w:bookmarkEnd w:id="74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发包人在履行合同过程中应遵守法律，并保证承包人免于承担因发包人违反法律而引起的任何责任。</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742" w:name="_Toc501257205"/>
      <w:bookmarkStart w:id="743" w:name="_Toc234832982"/>
      <w:bookmarkStart w:id="744" w:name="_Toc387158334"/>
      <w:bookmarkStart w:id="745" w:name="_Toc247527652"/>
      <w:bookmarkStart w:id="746" w:name="_Toc247514051"/>
      <w:bookmarkStart w:id="747" w:name="_Toc23747655"/>
      <w:bookmarkStart w:id="748" w:name="_Toc7256"/>
      <w:bookmarkStart w:id="749" w:name="_Toc382809690"/>
      <w:bookmarkStart w:id="750" w:name="_Toc385256965"/>
      <w:r>
        <w:rPr>
          <w:rFonts w:hint="default" w:ascii="Times New Roman" w:hAnsi="Times New Roman" w:cs="Times New Roman"/>
          <w:color w:val="auto"/>
          <w:sz w:val="24"/>
          <w:szCs w:val="24"/>
          <w:highlight w:val="none"/>
        </w:rPr>
        <w:t xml:space="preserve">2.2 </w:t>
      </w:r>
      <w:bookmarkEnd w:id="742"/>
      <w:bookmarkEnd w:id="743"/>
      <w:r>
        <w:rPr>
          <w:rFonts w:hint="default" w:ascii="Times New Roman" w:hAnsi="Times New Roman" w:cs="Times New Roman"/>
          <w:color w:val="auto"/>
          <w:sz w:val="24"/>
          <w:szCs w:val="24"/>
          <w:highlight w:val="none"/>
        </w:rPr>
        <w:t>发出承包人开始工作通知</w:t>
      </w:r>
      <w:bookmarkEnd w:id="744"/>
      <w:bookmarkEnd w:id="745"/>
      <w:bookmarkEnd w:id="746"/>
      <w:bookmarkEnd w:id="747"/>
      <w:bookmarkEnd w:id="748"/>
      <w:bookmarkEnd w:id="749"/>
      <w:bookmarkEnd w:id="750"/>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发包人应委托监理人按第11.1 款的约定向承包人发出开始工作通知。</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751" w:name="_Toc234832983"/>
      <w:bookmarkStart w:id="752" w:name="_Toc382809691"/>
      <w:bookmarkStart w:id="753" w:name="_Toc387158335"/>
      <w:bookmarkStart w:id="754" w:name="_Toc501257206"/>
      <w:bookmarkStart w:id="755" w:name="_Toc385256966"/>
      <w:bookmarkStart w:id="756" w:name="_Toc247514052"/>
      <w:bookmarkStart w:id="757" w:name="_Toc308"/>
      <w:bookmarkStart w:id="758" w:name="_Toc247527653"/>
      <w:bookmarkStart w:id="759" w:name="_Toc23747656"/>
      <w:r>
        <w:rPr>
          <w:rFonts w:hint="default" w:ascii="Times New Roman" w:hAnsi="Times New Roman" w:cs="Times New Roman"/>
          <w:color w:val="auto"/>
          <w:sz w:val="24"/>
          <w:szCs w:val="24"/>
          <w:highlight w:val="none"/>
        </w:rPr>
        <w:t>2.3 提供施工场地</w:t>
      </w:r>
      <w:bookmarkEnd w:id="751"/>
      <w:bookmarkEnd w:id="752"/>
      <w:bookmarkEnd w:id="753"/>
      <w:bookmarkEnd w:id="754"/>
      <w:bookmarkEnd w:id="755"/>
      <w:bookmarkEnd w:id="756"/>
      <w:bookmarkEnd w:id="757"/>
      <w:bookmarkEnd w:id="758"/>
      <w:bookmarkEnd w:id="759"/>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发包人应按专用合同条款约定向承包人提供施工场地及进场施工条件，并明确与承包人的交接界面。</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760" w:name="_Toc234832984"/>
      <w:bookmarkStart w:id="761" w:name="_Toc501257207"/>
      <w:bookmarkStart w:id="762" w:name="_Toc247514053"/>
      <w:bookmarkStart w:id="763" w:name="_Toc23747657"/>
      <w:bookmarkStart w:id="764" w:name="_Toc385256967"/>
      <w:bookmarkStart w:id="765" w:name="_Toc247527654"/>
      <w:bookmarkStart w:id="766" w:name="_Toc5453"/>
      <w:bookmarkStart w:id="767" w:name="_Toc382809692"/>
      <w:bookmarkStart w:id="768" w:name="_Toc387158336"/>
      <w:r>
        <w:rPr>
          <w:rFonts w:hint="default" w:ascii="Times New Roman" w:hAnsi="Times New Roman" w:cs="Times New Roman"/>
          <w:color w:val="auto"/>
          <w:sz w:val="24"/>
          <w:szCs w:val="24"/>
          <w:highlight w:val="none"/>
        </w:rPr>
        <w:t xml:space="preserve">2.4 </w:t>
      </w:r>
      <w:bookmarkEnd w:id="760"/>
      <w:bookmarkEnd w:id="761"/>
      <w:r>
        <w:rPr>
          <w:rFonts w:hint="default" w:ascii="Times New Roman" w:hAnsi="Times New Roman" w:cs="Times New Roman"/>
          <w:color w:val="auto"/>
          <w:sz w:val="24"/>
          <w:szCs w:val="24"/>
          <w:highlight w:val="none"/>
        </w:rPr>
        <w:t>办理证件和批件</w:t>
      </w:r>
      <w:bookmarkEnd w:id="762"/>
      <w:bookmarkEnd w:id="763"/>
      <w:bookmarkEnd w:id="764"/>
      <w:bookmarkEnd w:id="765"/>
      <w:bookmarkEnd w:id="766"/>
      <w:bookmarkEnd w:id="767"/>
      <w:bookmarkEnd w:id="768"/>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法律规定和(或)合同约定由发包人负责办理的工程建设项目必须履行的各类审批、核准或备案手续，发包人应按时办理。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法律规定和(或)合同约定由承包人负责的有关设计、施工证件和批件，发包人应给予必要的协助。</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769" w:name="_Toc234832985"/>
      <w:bookmarkStart w:id="770" w:name="_Toc247514054"/>
      <w:bookmarkStart w:id="771" w:name="_Toc247527655"/>
      <w:bookmarkStart w:id="772" w:name="_Toc501257208"/>
      <w:bookmarkStart w:id="773" w:name="_Toc18665"/>
      <w:bookmarkStart w:id="774" w:name="_Toc23747658"/>
      <w:bookmarkStart w:id="775" w:name="_Toc387158337"/>
      <w:bookmarkStart w:id="776" w:name="_Toc382809693"/>
      <w:bookmarkStart w:id="777" w:name="_Toc385256968"/>
      <w:r>
        <w:rPr>
          <w:rFonts w:hint="default" w:ascii="Times New Roman" w:hAnsi="Times New Roman" w:cs="Times New Roman"/>
          <w:color w:val="auto"/>
          <w:sz w:val="24"/>
          <w:szCs w:val="24"/>
          <w:highlight w:val="none"/>
        </w:rPr>
        <w:t>2.5</w:t>
      </w:r>
      <w:bookmarkEnd w:id="769"/>
      <w:bookmarkEnd w:id="770"/>
      <w:bookmarkEnd w:id="771"/>
      <w:bookmarkEnd w:id="772"/>
      <w:bookmarkStart w:id="778" w:name="_Toc234832986"/>
      <w:bookmarkStart w:id="779" w:name="_Toc247527656"/>
      <w:bookmarkStart w:id="780" w:name="_Toc247514055"/>
      <w:bookmarkStart w:id="781" w:name="_Toc501257209"/>
      <w:r>
        <w:rPr>
          <w:rFonts w:hint="default" w:ascii="Times New Roman" w:hAnsi="Times New Roman" w:cs="Times New Roman"/>
          <w:color w:val="auto"/>
          <w:sz w:val="24"/>
          <w:szCs w:val="24"/>
          <w:highlight w:val="none"/>
        </w:rPr>
        <w:t>支付合同价款</w:t>
      </w:r>
      <w:bookmarkEnd w:id="773"/>
      <w:bookmarkEnd w:id="774"/>
      <w:bookmarkEnd w:id="775"/>
      <w:bookmarkEnd w:id="776"/>
      <w:bookmarkEnd w:id="777"/>
      <w:bookmarkEnd w:id="778"/>
      <w:bookmarkEnd w:id="779"/>
      <w:bookmarkEnd w:id="780"/>
      <w:bookmarkEnd w:id="78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发包人应按合同约定向承包人及时支付合同价款。专用合同条款对发包人工程款支付担保有约定的，从其约定。</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782" w:name="_Toc501257210"/>
      <w:bookmarkStart w:id="783" w:name="_Toc234832987"/>
      <w:bookmarkStart w:id="784" w:name="_Toc387158338"/>
      <w:bookmarkStart w:id="785" w:name="_Toc247514056"/>
      <w:bookmarkStart w:id="786" w:name="_Toc23747659"/>
      <w:bookmarkStart w:id="787" w:name="_Toc385256969"/>
      <w:bookmarkStart w:id="788" w:name="_Toc382809694"/>
      <w:bookmarkStart w:id="789" w:name="_Toc30348"/>
      <w:bookmarkStart w:id="790" w:name="_Toc247527657"/>
      <w:r>
        <w:rPr>
          <w:rFonts w:hint="default" w:ascii="Times New Roman" w:hAnsi="Times New Roman" w:cs="Times New Roman"/>
          <w:color w:val="auto"/>
          <w:sz w:val="24"/>
          <w:szCs w:val="24"/>
          <w:highlight w:val="none"/>
        </w:rPr>
        <w:t>2.6 组织竣工验收</w:t>
      </w:r>
      <w:bookmarkEnd w:id="782"/>
      <w:bookmarkEnd w:id="783"/>
      <w:bookmarkEnd w:id="784"/>
      <w:bookmarkEnd w:id="785"/>
      <w:bookmarkEnd w:id="786"/>
      <w:bookmarkEnd w:id="787"/>
      <w:bookmarkEnd w:id="788"/>
      <w:bookmarkEnd w:id="789"/>
      <w:bookmarkEnd w:id="790"/>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发包人应按合同约定及时组织竣工验收。</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791" w:name="_Toc382809695"/>
      <w:bookmarkStart w:id="792" w:name="_Toc387158339"/>
      <w:bookmarkStart w:id="793" w:name="_Toc247514057"/>
      <w:bookmarkStart w:id="794" w:name="_Toc385256970"/>
      <w:bookmarkStart w:id="795" w:name="_Toc501257211"/>
      <w:bookmarkStart w:id="796" w:name="_Toc234832988"/>
      <w:bookmarkStart w:id="797" w:name="_Toc247527658"/>
      <w:bookmarkStart w:id="798" w:name="_Toc23747660"/>
      <w:bookmarkStart w:id="799" w:name="_Toc2990"/>
      <w:r>
        <w:rPr>
          <w:rFonts w:hint="default" w:ascii="Times New Roman" w:hAnsi="Times New Roman" w:cs="Times New Roman"/>
          <w:color w:val="auto"/>
          <w:sz w:val="24"/>
          <w:szCs w:val="24"/>
          <w:highlight w:val="none"/>
        </w:rPr>
        <w:t>2.7 其他义务</w:t>
      </w:r>
      <w:bookmarkEnd w:id="791"/>
      <w:bookmarkEnd w:id="792"/>
      <w:bookmarkEnd w:id="793"/>
      <w:bookmarkEnd w:id="794"/>
      <w:bookmarkEnd w:id="795"/>
      <w:bookmarkEnd w:id="796"/>
      <w:bookmarkEnd w:id="797"/>
      <w:bookmarkEnd w:id="798"/>
      <w:bookmarkEnd w:id="799"/>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发包人应履行合同约定的其他义务。</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800" w:name="_Toc247527659"/>
      <w:bookmarkStart w:id="801" w:name="_Toc234832989"/>
      <w:bookmarkStart w:id="802" w:name="_Toc385256971"/>
      <w:bookmarkStart w:id="803" w:name="_Toc19415"/>
      <w:bookmarkStart w:id="804" w:name="_Toc387158340"/>
      <w:bookmarkStart w:id="805" w:name="_Toc247514058"/>
      <w:bookmarkStart w:id="806" w:name="_Toc501257212"/>
      <w:bookmarkStart w:id="807" w:name="_Toc382809696"/>
      <w:bookmarkStart w:id="808" w:name="_Toc23747661"/>
      <w:bookmarkStart w:id="809" w:name="_Toc184635100"/>
      <w:r>
        <w:rPr>
          <w:rFonts w:hint="default" w:ascii="Times New Roman" w:hAnsi="Times New Roman" w:cs="Times New Roman"/>
          <w:i w:val="0"/>
          <w:iCs w:val="0"/>
          <w:color w:val="auto"/>
          <w:szCs w:val="24"/>
          <w:highlight w:val="none"/>
        </w:rPr>
        <w:t>3. 监理人</w:t>
      </w:r>
      <w:bookmarkEnd w:id="800"/>
      <w:bookmarkEnd w:id="801"/>
      <w:bookmarkEnd w:id="802"/>
      <w:bookmarkEnd w:id="803"/>
      <w:bookmarkEnd w:id="804"/>
      <w:bookmarkEnd w:id="805"/>
      <w:bookmarkEnd w:id="806"/>
      <w:bookmarkEnd w:id="807"/>
      <w:bookmarkEnd w:id="808"/>
      <w:bookmarkEnd w:id="809"/>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810" w:name="_Toc247527660"/>
      <w:bookmarkStart w:id="811" w:name="_Toc385256972"/>
      <w:bookmarkStart w:id="812" w:name="_Toc16284"/>
      <w:bookmarkStart w:id="813" w:name="_Toc247514059"/>
      <w:bookmarkStart w:id="814" w:name="_Toc234832990"/>
      <w:bookmarkStart w:id="815" w:name="_Toc501257213"/>
      <w:bookmarkStart w:id="816" w:name="_Toc382809697"/>
      <w:bookmarkStart w:id="817" w:name="_Toc23747662"/>
      <w:bookmarkStart w:id="818" w:name="_Toc387158341"/>
      <w:r>
        <w:rPr>
          <w:rFonts w:hint="default" w:ascii="Times New Roman" w:hAnsi="Times New Roman" w:cs="Times New Roman"/>
          <w:color w:val="auto"/>
          <w:sz w:val="24"/>
          <w:szCs w:val="24"/>
          <w:highlight w:val="none"/>
        </w:rPr>
        <w:t>3.1 监理人的职责和权力</w:t>
      </w:r>
      <w:bookmarkEnd w:id="810"/>
      <w:bookmarkEnd w:id="811"/>
      <w:bookmarkEnd w:id="812"/>
      <w:bookmarkEnd w:id="813"/>
      <w:bookmarkEnd w:id="814"/>
      <w:bookmarkEnd w:id="815"/>
      <w:bookmarkEnd w:id="816"/>
      <w:bookmarkEnd w:id="817"/>
      <w:bookmarkEnd w:id="818"/>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3.1.1 监理人受发包人委托，享有合同约定的权力，其所发出的任何指示应视为已得到发包人的批准。监理人在行使某项权力前需要经发包人事先批准而通用合同条款没有指明的，应在专用合同条款中指明。未经发包人批准，监理人无权修改合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3.1.2 合同约定应由承包人承担的义务和责任，不因监理人对承包人文件的审查或批准，对工程、材料和工程设备的检查和检验，以及为实施监理作出的指示等职务行为而减轻或解除。</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819" w:name="_Toc247514060"/>
      <w:bookmarkStart w:id="820" w:name="_Toc247527661"/>
      <w:bookmarkStart w:id="821" w:name="_Toc28350"/>
      <w:bookmarkStart w:id="822" w:name="_Toc234832991"/>
      <w:bookmarkStart w:id="823" w:name="_Toc385256973"/>
      <w:bookmarkStart w:id="824" w:name="_Toc23747663"/>
      <w:bookmarkStart w:id="825" w:name="_Toc382809698"/>
      <w:bookmarkStart w:id="826" w:name="_Toc387158342"/>
      <w:bookmarkStart w:id="827" w:name="_Toc501257214"/>
      <w:r>
        <w:rPr>
          <w:rFonts w:hint="default" w:ascii="Times New Roman" w:hAnsi="Times New Roman" w:cs="Times New Roman"/>
          <w:color w:val="auto"/>
          <w:sz w:val="24"/>
          <w:szCs w:val="24"/>
          <w:highlight w:val="none"/>
        </w:rPr>
        <w:t>3.2 总监理工程师</w:t>
      </w:r>
      <w:bookmarkEnd w:id="819"/>
      <w:bookmarkEnd w:id="820"/>
      <w:bookmarkEnd w:id="821"/>
      <w:bookmarkEnd w:id="822"/>
      <w:bookmarkEnd w:id="823"/>
      <w:bookmarkEnd w:id="824"/>
      <w:bookmarkEnd w:id="825"/>
      <w:bookmarkEnd w:id="826"/>
      <w:bookmarkEnd w:id="827"/>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发包人应在发出开始工作通知前将总监理工程师的任命通知承包人。总监理工程师更换时，应提前14 天通知承包人。总监理工程师超过２天不能履行职责的，应委派代表代行其职责，并通知承包人。</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828" w:name="_Toc385256974"/>
      <w:bookmarkStart w:id="829" w:name="_Toc387158343"/>
      <w:bookmarkStart w:id="830" w:name="_Toc3193"/>
      <w:bookmarkStart w:id="831" w:name="_Toc23747664"/>
      <w:bookmarkStart w:id="832" w:name="_Toc382809699"/>
      <w:bookmarkStart w:id="833" w:name="_Toc247514061"/>
      <w:bookmarkStart w:id="834" w:name="_Toc234832992"/>
      <w:bookmarkStart w:id="835" w:name="_Toc247527662"/>
      <w:bookmarkStart w:id="836" w:name="_Toc501257215"/>
      <w:r>
        <w:rPr>
          <w:rFonts w:hint="default" w:ascii="Times New Roman" w:hAnsi="Times New Roman" w:cs="Times New Roman"/>
          <w:color w:val="auto"/>
          <w:sz w:val="24"/>
          <w:szCs w:val="24"/>
          <w:highlight w:val="none"/>
        </w:rPr>
        <w:t>3.3 监理人员</w:t>
      </w:r>
      <w:bookmarkEnd w:id="828"/>
      <w:bookmarkEnd w:id="829"/>
      <w:bookmarkEnd w:id="830"/>
      <w:bookmarkEnd w:id="831"/>
      <w:bookmarkEnd w:id="832"/>
      <w:bookmarkEnd w:id="833"/>
      <w:bookmarkEnd w:id="834"/>
      <w:bookmarkEnd w:id="835"/>
      <w:bookmarkEnd w:id="83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3.3.1 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发包人和承包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3.3.2 总监理工程师授权的监理人员对承包人文件、工程或其采用的材料和工程设备未在约定的或合理的期限内提出否定意见的，视为已获批准，但不影响监理人在以后拒绝该项工作、工程、材料或工程设备的权利，监理人的拒绝应当符合法律规定和合同约定。</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3.3.3 承包人对总监理工程师授权的监理人员发出的指示有疑问的，可在该指示发出的48小时内向总监理工程师提出书面异议，总监理工程师应在48小时内对该指示予以确认、更改或撤销。</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3.3.4 除专用合同条款另有约定外，总监理工程师不应将第3.5 款约定应由总监理工程师作出确定的权力授权或委托给其他监理人员。</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837" w:name="_Toc382809700"/>
      <w:bookmarkStart w:id="838" w:name="_Toc387158344"/>
      <w:bookmarkStart w:id="839" w:name="_Toc4757"/>
      <w:bookmarkStart w:id="840" w:name="_Toc234832993"/>
      <w:bookmarkStart w:id="841" w:name="_Toc23747665"/>
      <w:bookmarkStart w:id="842" w:name="_Toc247527663"/>
      <w:bookmarkStart w:id="843" w:name="_Toc385256975"/>
      <w:bookmarkStart w:id="844" w:name="_Toc501257216"/>
      <w:bookmarkStart w:id="845" w:name="_Toc247514062"/>
      <w:r>
        <w:rPr>
          <w:rFonts w:hint="default" w:ascii="Times New Roman" w:hAnsi="Times New Roman" w:cs="Times New Roman"/>
          <w:color w:val="auto"/>
          <w:sz w:val="24"/>
          <w:szCs w:val="24"/>
          <w:highlight w:val="none"/>
        </w:rPr>
        <w:t>3.4 监理人的指示</w:t>
      </w:r>
      <w:bookmarkEnd w:id="837"/>
      <w:bookmarkEnd w:id="838"/>
      <w:bookmarkEnd w:id="839"/>
      <w:bookmarkEnd w:id="840"/>
      <w:bookmarkEnd w:id="841"/>
      <w:bookmarkEnd w:id="842"/>
      <w:bookmarkEnd w:id="843"/>
      <w:bookmarkEnd w:id="844"/>
      <w:bookmarkEnd w:id="845"/>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3.4.1 监理人应按第3.1 款的约定向承包人发出指示，监理人的指示应盖有监理人授权的项目管理机构章，并由总监理工程师或总监理工程师约定授权的监理人员签字。</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3.4.2 承包人收到监理人作出的指示后应遵照执行。指示构成变更的，应按第15条执行。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3.4.3 在紧急情况下，总监理工程师或其授权的监理人员可以当场签发临时书面指示，承包人应遵照执行。监理应在临时书面指示发出后24小时内发出书面确认函，监理人在24小时内未发出书面确认函的，该临时书面指示应被视为监理人的正式指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3.4.4 除合同另有约定外，承包人只从总监理工程师或按第3.3.1项被授权的监理人员处取得指示。</w:t>
      </w:r>
    </w:p>
    <w:p>
      <w:pPr>
        <w:pageBreakBefore w:val="0"/>
        <w:kinsoku/>
        <w:wordWrap w:val="0"/>
        <w:overflowPunct/>
        <w:autoSpaceDE/>
        <w:autoSpaceDN/>
        <w:bidi w:val="0"/>
        <w:spacing w:line="360" w:lineRule="auto"/>
        <w:ind w:firstLine="42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3.4.5 由于监理人未能按合同约定发出指示、指示延误或指示错误而导致承包人费用增加和(或)工期延误的，发包人应承担由此增加的费用和(或)工期延误，并向承包人支付合理利润。</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846" w:name="_Toc247527664"/>
      <w:bookmarkStart w:id="847" w:name="_Toc385256976"/>
      <w:bookmarkStart w:id="848" w:name="_Toc501257217"/>
      <w:bookmarkStart w:id="849" w:name="_Toc387158345"/>
      <w:bookmarkStart w:id="850" w:name="_Toc234832994"/>
      <w:bookmarkStart w:id="851" w:name="_Toc247514063"/>
      <w:bookmarkStart w:id="852" w:name="_Toc23747666"/>
      <w:bookmarkStart w:id="853" w:name="_Toc382809701"/>
      <w:bookmarkStart w:id="854" w:name="_Toc70"/>
      <w:r>
        <w:rPr>
          <w:rFonts w:hint="default" w:ascii="Times New Roman" w:hAnsi="Times New Roman" w:cs="Times New Roman"/>
          <w:color w:val="auto"/>
          <w:sz w:val="24"/>
          <w:szCs w:val="24"/>
          <w:highlight w:val="none"/>
        </w:rPr>
        <w:t>3.5 商定或确定</w:t>
      </w:r>
      <w:bookmarkEnd w:id="846"/>
      <w:bookmarkEnd w:id="847"/>
      <w:bookmarkEnd w:id="848"/>
      <w:bookmarkEnd w:id="849"/>
      <w:bookmarkEnd w:id="850"/>
      <w:bookmarkEnd w:id="851"/>
      <w:bookmarkEnd w:id="852"/>
      <w:bookmarkEnd w:id="853"/>
      <w:bookmarkEnd w:id="854"/>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3.5.1 合同约定总监理工程师应按照本款对任何事项进行商定或确定时，总监理工程师应与合同当事人协商，尽量达成一致。不能达成一致的，总监理工程师应认真研究后审慎确定。</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3.5.2 总监理工程师应将商定或确定的事项通知合同当事人，并附详细依据。对总监理工程师的确定有异议的，构成争议，按照第24 条的约定处理。在争议解决前，双方应暂按总监理工程师的确定执行，按照第24 条的约定对总监理工程师的确定作出修改的，按修改后的结果执行，由此导致承包人增加的费用和(或)延误的工期由发包人承担。</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855" w:name="_Toc501257218"/>
      <w:bookmarkStart w:id="856" w:name="_Toc247527665"/>
      <w:bookmarkStart w:id="857" w:name="_Toc247514064"/>
      <w:bookmarkStart w:id="858" w:name="_Toc387158346"/>
      <w:bookmarkStart w:id="859" w:name="_Toc184635101"/>
      <w:bookmarkStart w:id="860" w:name="_Toc382809702"/>
      <w:bookmarkStart w:id="861" w:name="_Toc23747667"/>
      <w:bookmarkStart w:id="862" w:name="_Toc234832995"/>
      <w:bookmarkStart w:id="863" w:name="_Toc7512"/>
      <w:bookmarkStart w:id="864" w:name="_Toc385256977"/>
      <w:r>
        <w:rPr>
          <w:rFonts w:hint="default" w:ascii="Times New Roman" w:hAnsi="Times New Roman" w:cs="Times New Roman"/>
          <w:i w:val="0"/>
          <w:iCs w:val="0"/>
          <w:color w:val="auto"/>
          <w:szCs w:val="24"/>
          <w:highlight w:val="none"/>
        </w:rPr>
        <w:t>4. 承包人</w:t>
      </w:r>
      <w:bookmarkEnd w:id="855"/>
      <w:bookmarkEnd w:id="856"/>
      <w:bookmarkEnd w:id="857"/>
      <w:bookmarkEnd w:id="858"/>
      <w:bookmarkEnd w:id="859"/>
      <w:bookmarkEnd w:id="860"/>
      <w:bookmarkEnd w:id="861"/>
      <w:bookmarkEnd w:id="862"/>
      <w:bookmarkEnd w:id="863"/>
      <w:bookmarkEnd w:id="864"/>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865" w:name="_Toc247527666"/>
      <w:bookmarkStart w:id="866" w:name="_Toc247514065"/>
      <w:bookmarkStart w:id="867" w:name="_Toc501257219"/>
      <w:bookmarkStart w:id="868" w:name="_Toc385256978"/>
      <w:bookmarkStart w:id="869" w:name="_Toc8483"/>
      <w:bookmarkStart w:id="870" w:name="_Toc23747668"/>
      <w:bookmarkStart w:id="871" w:name="_Toc382809703"/>
      <w:bookmarkStart w:id="872" w:name="_Toc387158347"/>
      <w:bookmarkStart w:id="873" w:name="_Toc234832996"/>
      <w:r>
        <w:rPr>
          <w:rFonts w:hint="default" w:ascii="Times New Roman" w:hAnsi="Times New Roman" w:cs="Times New Roman"/>
          <w:color w:val="auto"/>
          <w:sz w:val="24"/>
          <w:szCs w:val="24"/>
          <w:highlight w:val="none"/>
        </w:rPr>
        <w:t>4.1 承包人的一般义务</w:t>
      </w:r>
      <w:bookmarkEnd w:id="865"/>
      <w:bookmarkEnd w:id="866"/>
      <w:bookmarkEnd w:id="867"/>
      <w:bookmarkEnd w:id="868"/>
      <w:bookmarkEnd w:id="869"/>
      <w:bookmarkEnd w:id="870"/>
      <w:bookmarkEnd w:id="871"/>
      <w:bookmarkEnd w:id="872"/>
      <w:bookmarkEnd w:id="87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 遵守法律</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承包人在履行合同过程中应遵守法律，并保证发包人免于承担因承包人违反法律而引起的任何责任。</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4.1.2 依法纳税</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承包人应按有关法律规定纳税，应缴纳的税金包括在合同价格内。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4.1.3 完成各项承包工作</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以及监理人根据第3.4款作出的指示，完成合同约定的全部工作，并对工作中的任何缺陷进行整改、完善和修补，使其满足合同约定的目的。除专用合同条款另有约定外，承包人应提供合同约定的工程设备和承包人文件，以及为完成合同工作所需的劳务、材料、施工设备和其他物品，并按合同约定负责临时设施的设计、施工、运行、维护、管理和拆除。</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4.1.4 对设计、施工作业和施工方法，以及工程的完备性负责</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承包人应按合同约定的工作内容和进度要求，编制设计、施工的组织和实施计划，并对所有设计、施工作业和施工方法，以及全部工程的完备性和安全可靠性负责。</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4.1.5 保证工程施工和人员的安全</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承包人应按第10.2 款约定采取施工安全措施，确保工程及其人员、材料、设备和设施的安全，防止因工程施工造成的人身伤害和财产损失。</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4.1.6 负责施工场地及其周边环境与生态的保护工作</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承包人应按照第10.4 款约定负责施工场地及其周边环境与生态的保护工作。</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4.1.7 避免施工对公众与他人的利益造成损害</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4.1.8 为他人提供方便</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承包人应按监理人的指示为他人在施工场地或附近实施与工程有关的其他各项工作提供可能的条件。除合同另有约定外，提供有关条件的内容和可能发生的费用，由监理人按第3.5 款商定或确定。</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4.1.9 工程的维护和照管</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工程接收证书颁发前，承包人应负责照管和维护工程。工程接收证书颁发时尚有部分未竣工工程的，承包人还应负责该未竣工工程的照管和维护工作，直至竣工后移交给发包人。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 其他义务</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承包人应履行合同约定的其他义务。</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874" w:name="_Toc387158348"/>
      <w:bookmarkStart w:id="875" w:name="_Toc7277"/>
      <w:bookmarkStart w:id="876" w:name="_Toc382809704"/>
      <w:bookmarkStart w:id="877" w:name="_Toc234832997"/>
      <w:bookmarkStart w:id="878" w:name="_Toc23747669"/>
      <w:bookmarkStart w:id="879" w:name="_Toc385256979"/>
      <w:bookmarkStart w:id="880" w:name="_Toc247527667"/>
      <w:bookmarkStart w:id="881" w:name="_Toc247514066"/>
      <w:bookmarkStart w:id="882" w:name="_Toc501257220"/>
      <w:r>
        <w:rPr>
          <w:rFonts w:hint="default" w:ascii="Times New Roman" w:hAnsi="Times New Roman" w:cs="Times New Roman"/>
          <w:color w:val="auto"/>
          <w:sz w:val="24"/>
          <w:szCs w:val="24"/>
          <w:highlight w:val="none"/>
        </w:rPr>
        <w:t>4.2 履约担保</w:t>
      </w:r>
      <w:bookmarkEnd w:id="874"/>
      <w:bookmarkEnd w:id="875"/>
      <w:bookmarkEnd w:id="876"/>
      <w:bookmarkEnd w:id="877"/>
      <w:bookmarkEnd w:id="878"/>
      <w:bookmarkEnd w:id="879"/>
      <w:bookmarkEnd w:id="880"/>
      <w:bookmarkEnd w:id="881"/>
      <w:bookmarkEnd w:id="88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4.2.1 承包人应保证其履约担保在发包人颁发工程接收证书前一直有效。发包人应在工程接收证书颁发后28 天内将履约担保退还给承包人。需进行竣工后试验的，承包人应保证其履约担保在竣工后试验通过前一直有效，发包人应在通过竣工验收后7天内将履约担保退还给承包人。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4.2.2 如工程延期，承包人有义务继续提供履约担保。由于发包人原因导致延期的，继续提供履约担保所需的费用由发包人承担；由于承包人原因导致延期的，继续提供履约担保所需费用由承包人承担。</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883" w:name="_Toc234832998"/>
      <w:bookmarkStart w:id="884" w:name="_Toc501257221"/>
      <w:bookmarkStart w:id="885" w:name="_Toc247527668"/>
      <w:bookmarkStart w:id="886" w:name="_Toc247514067"/>
      <w:bookmarkStart w:id="887" w:name="_Toc23747670"/>
      <w:bookmarkStart w:id="888" w:name="_Toc385256980"/>
      <w:bookmarkStart w:id="889" w:name="_Toc387158349"/>
      <w:bookmarkStart w:id="890" w:name="_Toc382809705"/>
      <w:bookmarkStart w:id="891" w:name="_Toc3969"/>
      <w:r>
        <w:rPr>
          <w:rFonts w:hint="default" w:ascii="Times New Roman" w:hAnsi="Times New Roman" w:cs="Times New Roman"/>
          <w:color w:val="auto"/>
          <w:sz w:val="24"/>
          <w:szCs w:val="24"/>
          <w:highlight w:val="none"/>
        </w:rPr>
        <w:t xml:space="preserve">4.3 </w:t>
      </w:r>
      <w:bookmarkEnd w:id="883"/>
      <w:bookmarkEnd w:id="884"/>
      <w:r>
        <w:rPr>
          <w:rFonts w:hint="default" w:ascii="Times New Roman" w:hAnsi="Times New Roman" w:cs="Times New Roman"/>
          <w:color w:val="auto"/>
          <w:sz w:val="24"/>
          <w:szCs w:val="24"/>
          <w:highlight w:val="none"/>
        </w:rPr>
        <w:t>分包</w:t>
      </w:r>
      <w:bookmarkEnd w:id="885"/>
      <w:bookmarkEnd w:id="886"/>
      <w:r>
        <w:rPr>
          <w:rFonts w:hint="default" w:ascii="Times New Roman" w:hAnsi="Times New Roman" w:cs="Times New Roman"/>
          <w:color w:val="auto"/>
          <w:sz w:val="24"/>
          <w:szCs w:val="24"/>
          <w:highlight w:val="none"/>
        </w:rPr>
        <w:t>和不得转包</w:t>
      </w:r>
      <w:bookmarkEnd w:id="887"/>
      <w:bookmarkEnd w:id="888"/>
      <w:bookmarkEnd w:id="889"/>
      <w:bookmarkEnd w:id="890"/>
      <w:bookmarkEnd w:id="89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4.3.1 承包人不得将其承包的全部工程转包给第三人，也不得将其承包的全部工程肢解后以分包的名义分别转包给第三人。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4.3.2 承包人不得将设计和施工的主体、关键性工作分包给第三人。除专用合同条款另有约定外，未经发包人同意，承包人也不得将非主体、非关键性工作分包给第三人。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4.3.3 分包人的资格能力应与其分包工作的标准和规模相适应。</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4.3.4 发包人同意承包人分包工作的，承包人应向发包人和监理人提交分包合同副本。</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892" w:name="_Toc382809706"/>
      <w:bookmarkStart w:id="893" w:name="_Toc385256981"/>
      <w:bookmarkStart w:id="894" w:name="_Toc247514068"/>
      <w:bookmarkStart w:id="895" w:name="_Toc247527669"/>
      <w:bookmarkStart w:id="896" w:name="_Toc23708"/>
      <w:bookmarkStart w:id="897" w:name="_Toc387158350"/>
      <w:bookmarkStart w:id="898" w:name="_Toc23747671"/>
      <w:bookmarkStart w:id="899" w:name="_Toc501257222"/>
      <w:bookmarkStart w:id="900" w:name="_Toc234832999"/>
      <w:r>
        <w:rPr>
          <w:rFonts w:hint="default" w:ascii="Times New Roman" w:hAnsi="Times New Roman" w:cs="Times New Roman"/>
          <w:color w:val="auto"/>
          <w:sz w:val="24"/>
          <w:szCs w:val="24"/>
          <w:highlight w:val="none"/>
        </w:rPr>
        <w:t>4.4 联合体</w:t>
      </w:r>
      <w:bookmarkEnd w:id="892"/>
      <w:bookmarkEnd w:id="893"/>
      <w:bookmarkEnd w:id="894"/>
      <w:bookmarkEnd w:id="895"/>
      <w:bookmarkEnd w:id="896"/>
      <w:bookmarkEnd w:id="897"/>
      <w:bookmarkEnd w:id="898"/>
      <w:bookmarkEnd w:id="899"/>
      <w:bookmarkEnd w:id="900"/>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4.4.1 联合体各方应共同与发包人签订合同。联合体各方应为履行合同承担连带责任。</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4.4.2 联合体协议经发包人确认后作为合同附件。在履行合同过程中，未经发包人同意，不得修改联合体协议。</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4.4.3 联合体牵头人或联合体授权的代表负责与发包人和监理人联系，并接受指示，负责组织联合体各成员全面履行合同。</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901" w:name="_Toc387158351"/>
      <w:bookmarkStart w:id="902" w:name="_Toc385256982"/>
      <w:bookmarkStart w:id="903" w:name="_Toc247514069"/>
      <w:bookmarkStart w:id="904" w:name="_Toc382809707"/>
      <w:bookmarkStart w:id="905" w:name="_Toc247527670"/>
      <w:bookmarkStart w:id="906" w:name="_Toc17083"/>
      <w:bookmarkStart w:id="907" w:name="_Toc501257223"/>
      <w:bookmarkStart w:id="908" w:name="_Toc234833000"/>
      <w:bookmarkStart w:id="909" w:name="_Toc23747672"/>
      <w:r>
        <w:rPr>
          <w:rFonts w:hint="default" w:ascii="Times New Roman" w:hAnsi="Times New Roman" w:cs="Times New Roman"/>
          <w:color w:val="auto"/>
          <w:sz w:val="24"/>
          <w:szCs w:val="24"/>
          <w:highlight w:val="none"/>
        </w:rPr>
        <w:t>4.5 承包人项目经理</w:t>
      </w:r>
      <w:bookmarkEnd w:id="901"/>
      <w:bookmarkEnd w:id="902"/>
      <w:bookmarkEnd w:id="903"/>
      <w:bookmarkEnd w:id="904"/>
      <w:bookmarkEnd w:id="905"/>
      <w:bookmarkEnd w:id="906"/>
      <w:bookmarkEnd w:id="907"/>
      <w:bookmarkEnd w:id="908"/>
      <w:bookmarkEnd w:id="909"/>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4.5.1 承包人应按合同协议书的约定指派项目经理，并在约定的期限内到职。承包人更换项目经理应事先征得发包人同意，并应在更换14天前将拟更换的项目经理的姓名和详细资料提交发包人和监理人。承包人项目经理2天内不能履行职责的，应事先征得监理人同意，并委派代表代行其职责。</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4.5.2 承包人项目经理应按合同约定以及监理人按第3.4 款作出的指示，负责组织合同工作的实施。在情况紧急且无法与监理人取得联系时，可采取保证工程和人员生命财产安全的紧急措施，并在采取措施后24小时内向监理人提交书面报告。</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4.5.3 承包人为履行合同发出的一切函件均应盖有承包人单位章或由承包人项目经理签字。</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4.5.4 承包人项目经理可以授权其下属人员履行其某项职责，但事先应将这些人员的姓名和授权范围书面通知发包人和监理人。</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910" w:name="_Toc382809708"/>
      <w:bookmarkStart w:id="911" w:name="_Toc23747673"/>
      <w:bookmarkStart w:id="912" w:name="_Toc385256983"/>
      <w:bookmarkStart w:id="913" w:name="_Toc387158352"/>
      <w:bookmarkStart w:id="914" w:name="_Toc247514070"/>
      <w:bookmarkStart w:id="915" w:name="_Toc234833001"/>
      <w:bookmarkStart w:id="916" w:name="_Toc501257224"/>
      <w:bookmarkStart w:id="917" w:name="_Toc9917"/>
      <w:bookmarkStart w:id="918" w:name="_Toc247527671"/>
      <w:r>
        <w:rPr>
          <w:rFonts w:hint="default" w:ascii="Times New Roman" w:hAnsi="Times New Roman" w:cs="Times New Roman"/>
          <w:color w:val="auto"/>
          <w:sz w:val="24"/>
          <w:szCs w:val="24"/>
          <w:highlight w:val="none"/>
        </w:rPr>
        <w:t>4.6 承包人人员的管理</w:t>
      </w:r>
      <w:bookmarkEnd w:id="910"/>
      <w:bookmarkEnd w:id="911"/>
      <w:bookmarkEnd w:id="912"/>
      <w:bookmarkEnd w:id="913"/>
      <w:bookmarkEnd w:id="914"/>
      <w:bookmarkEnd w:id="915"/>
      <w:bookmarkEnd w:id="916"/>
      <w:bookmarkEnd w:id="917"/>
      <w:bookmarkEnd w:id="918"/>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4.6.1 承包人应在接到开始工作通知之日起28天内，向监理人提交承包人的项目管理机构以及人员安排的报告，其内容应包括项目管理机构的设置、各主要岗位的技术和管理人员名单及其资格，以及设计人员和各工种技术工人的安排状况。承包人安排的主要管理人员和技术人员应相对稳定，更换主要管理人员和技术人员的，应取得监理人的同意,并向监理人提交继任人员的资格、管理经验等资料。项目经理的更换，应按照本章第4.5款规定执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4.6.2 承包人安排的主要管理人员包括项目经理、设计负责人、施工负责人、采购负责人以及专职质量、安全生产管理人员等；技术人员包括设计师、建筑师、土木工程师、设备工程师、建造师等。</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4.6.3 承包人的设计人员应由具有国家规定和发包人要求中约定的资格，并具有从事设计所必需的经验与能力。</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承包人应保证其设计人员(包括分包人的设计人员)在合同期限内的任何时候，都能按时参加发包人或其委托的监理人组织的工作会议。</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4.6.4 国家规定应当持证上岗的工作人员均应持有相应的资格证明，监理人有权随时检查。监理人认为有必要时，可进行现场考核。</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4.6.5 除专用合同条款另有约定外，承包人的主要施工管理人员离开施工现场连续超过3天的，应事先征得监理人同意。承包人擅自更换项目经理或主要施工管理人员，或前述人员未经监理人许可擅自离开施工现场连续超过3天的，应按照专用合同条款约定承担违约责任。</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919" w:name="_Toc23747674"/>
      <w:bookmarkStart w:id="920" w:name="_Toc234833002"/>
      <w:bookmarkStart w:id="921" w:name="_Toc382809709"/>
      <w:bookmarkStart w:id="922" w:name="_Toc247527672"/>
      <w:bookmarkStart w:id="923" w:name="_Toc385256984"/>
      <w:bookmarkStart w:id="924" w:name="_Toc247514071"/>
      <w:bookmarkStart w:id="925" w:name="_Toc31621"/>
      <w:bookmarkStart w:id="926" w:name="_Toc387158353"/>
      <w:bookmarkStart w:id="927" w:name="_Toc501257225"/>
      <w:r>
        <w:rPr>
          <w:rFonts w:hint="default" w:ascii="Times New Roman" w:hAnsi="Times New Roman" w:cs="Times New Roman"/>
          <w:color w:val="auto"/>
          <w:sz w:val="24"/>
          <w:szCs w:val="24"/>
          <w:highlight w:val="none"/>
        </w:rPr>
        <w:t>4.7 撤换承包人项目经理和其他人员</w:t>
      </w:r>
      <w:bookmarkEnd w:id="919"/>
      <w:bookmarkEnd w:id="920"/>
      <w:bookmarkEnd w:id="921"/>
      <w:bookmarkEnd w:id="922"/>
      <w:bookmarkEnd w:id="923"/>
      <w:bookmarkEnd w:id="924"/>
      <w:bookmarkEnd w:id="925"/>
      <w:bookmarkEnd w:id="926"/>
      <w:bookmarkEnd w:id="927"/>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承包人应对其项目经理和其他人员进行有效管理。监理人要求撤换不能胜任本职工作、行为不端或玩忽职守的承包人项目经理和其他人员的，承包人应予以撤换。</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928" w:name="_Toc247514072"/>
      <w:bookmarkStart w:id="929" w:name="_Toc247527673"/>
      <w:bookmarkStart w:id="930" w:name="_Toc234833003"/>
      <w:bookmarkStart w:id="931" w:name="_Toc23747675"/>
      <w:bookmarkStart w:id="932" w:name="_Toc501257226"/>
      <w:bookmarkStart w:id="933" w:name="_Toc28400"/>
      <w:bookmarkStart w:id="934" w:name="_Toc387158354"/>
      <w:bookmarkStart w:id="935" w:name="_Toc382809710"/>
      <w:bookmarkStart w:id="936" w:name="_Toc385256985"/>
      <w:r>
        <w:rPr>
          <w:rFonts w:hint="default" w:ascii="Times New Roman" w:hAnsi="Times New Roman" w:cs="Times New Roman"/>
          <w:color w:val="auto"/>
          <w:sz w:val="24"/>
          <w:szCs w:val="24"/>
          <w:highlight w:val="none"/>
        </w:rPr>
        <w:t>4.8 保障承包人人员的合法权益</w:t>
      </w:r>
      <w:bookmarkEnd w:id="928"/>
      <w:bookmarkEnd w:id="929"/>
      <w:bookmarkEnd w:id="930"/>
      <w:bookmarkEnd w:id="931"/>
      <w:bookmarkEnd w:id="932"/>
      <w:bookmarkEnd w:id="933"/>
      <w:bookmarkEnd w:id="934"/>
      <w:bookmarkEnd w:id="935"/>
      <w:bookmarkEnd w:id="93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4.8.1 承包人应与其雇佣的人员签订劳动合同，并按时发放工资。</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4.8.2 承包人应按劳动法的规定安排工作时间，保证其雇佣人员享有休息和休假的权利。因设计、施工的特殊需要占用休假日或延长工作时间的，应不超过法律规定的限度，并按法律规定给予补休或付酬。</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4.8.3 承包人应为其雇佣人员提供必要的食宿条件，以及符合环境保护和卫生要求的生活环境，在远离城镇的施工场地，还应配备必要的伤病防治和急救的医务人员与医疗设施。</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4.8.4 承包人应按国家有关劳动保护的规定，采取有效的防止粉尘、降低噪声、控制有害气体和保障高温、高寒、高空作业安全等劳动保护措施。其雇佣人员在施工中受到伤害的，承包人应立即采取有效措施进行抢救和治疗。</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4.8.5 承包人应按有关法律规定和合同约定，为其雇佣人员办理保险。</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4.8.6 承包人应负责处理其雇佣人员因工伤亡事故的善后事宜。</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937" w:name="_Toc23747676"/>
      <w:bookmarkStart w:id="938" w:name="_Toc247527674"/>
      <w:bookmarkStart w:id="939" w:name="_Toc234833004"/>
      <w:bookmarkStart w:id="940" w:name="_Toc385256986"/>
      <w:bookmarkStart w:id="941" w:name="_Toc247514073"/>
      <w:bookmarkStart w:id="942" w:name="_Toc387158355"/>
      <w:bookmarkStart w:id="943" w:name="_Toc382809711"/>
      <w:bookmarkStart w:id="944" w:name="_Toc501257227"/>
      <w:bookmarkStart w:id="945" w:name="_Toc8922"/>
      <w:r>
        <w:rPr>
          <w:rFonts w:hint="default" w:ascii="Times New Roman" w:hAnsi="Times New Roman" w:cs="Times New Roman"/>
          <w:color w:val="auto"/>
          <w:sz w:val="24"/>
          <w:szCs w:val="24"/>
          <w:highlight w:val="none"/>
        </w:rPr>
        <w:t>4.9 工程价款应专款专用</w:t>
      </w:r>
      <w:bookmarkEnd w:id="937"/>
      <w:bookmarkEnd w:id="938"/>
      <w:bookmarkEnd w:id="939"/>
      <w:bookmarkEnd w:id="940"/>
      <w:bookmarkEnd w:id="941"/>
      <w:bookmarkEnd w:id="942"/>
      <w:bookmarkEnd w:id="943"/>
      <w:bookmarkEnd w:id="944"/>
      <w:bookmarkEnd w:id="945"/>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发包人按合同约定支付给承包人的各项价款应专用于合同工作。</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946" w:name="_Toc29261"/>
      <w:bookmarkStart w:id="947" w:name="_Toc501257228"/>
      <w:bookmarkStart w:id="948" w:name="_Toc247514074"/>
      <w:bookmarkStart w:id="949" w:name="_Toc387158356"/>
      <w:bookmarkStart w:id="950" w:name="_Toc23747677"/>
      <w:bookmarkStart w:id="951" w:name="_Toc385256987"/>
      <w:bookmarkStart w:id="952" w:name="_Toc247527675"/>
      <w:bookmarkStart w:id="953" w:name="_Toc382809712"/>
      <w:bookmarkStart w:id="954" w:name="_Toc234833005"/>
      <w:r>
        <w:rPr>
          <w:rFonts w:hint="default" w:ascii="Times New Roman" w:hAnsi="Times New Roman" w:cs="Times New Roman"/>
          <w:color w:val="auto"/>
          <w:sz w:val="24"/>
          <w:szCs w:val="24"/>
          <w:highlight w:val="none"/>
        </w:rPr>
        <w:t>4.10 承包人现场查勘</w:t>
      </w:r>
      <w:bookmarkEnd w:id="946"/>
      <w:bookmarkEnd w:id="947"/>
      <w:bookmarkEnd w:id="948"/>
      <w:bookmarkEnd w:id="949"/>
      <w:bookmarkEnd w:id="950"/>
      <w:bookmarkEnd w:id="951"/>
      <w:bookmarkEnd w:id="952"/>
      <w:bookmarkEnd w:id="953"/>
      <w:bookmarkEnd w:id="954"/>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4.10.1 发包人应向承包人提供施工场地及毗邻区域内的供水、排水、供电、供气、供热、通信、广播电视等地下管线资料、气象和水文观测资料，相邻建筑物和构筑物、地下工程的有关资料，以及其他与建设工程有关的原始资料，并承担原始资料错误造成的全部责任，但承包人应对其阅读上述有关资料后所作出的解释和推断负责。</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4.10.2 承包人应对施工场地和周围环境进行查勘，并收集除发包人提供外为完成合同工作有关的当地资料。在全部合同工作中，视为承包人已充分估计了应承担的责任和风险。</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955" w:name="_Toc234833006"/>
      <w:bookmarkStart w:id="956" w:name="_Toc247527676"/>
      <w:bookmarkStart w:id="957" w:name="_Toc247514075"/>
      <w:bookmarkStart w:id="958" w:name="_Toc501257229"/>
      <w:bookmarkStart w:id="959" w:name="_Toc16717"/>
      <w:bookmarkStart w:id="960" w:name="_Toc385256988"/>
      <w:bookmarkStart w:id="961" w:name="_Toc23747678"/>
      <w:bookmarkStart w:id="962" w:name="_Toc382809713"/>
      <w:bookmarkStart w:id="963" w:name="_Toc387158357"/>
      <w:r>
        <w:rPr>
          <w:rFonts w:hint="default" w:ascii="Times New Roman" w:hAnsi="Times New Roman" w:cs="Times New Roman"/>
          <w:color w:val="auto"/>
          <w:sz w:val="24"/>
          <w:szCs w:val="24"/>
          <w:highlight w:val="none"/>
        </w:rPr>
        <w:t xml:space="preserve">4.11 </w:t>
      </w:r>
      <w:bookmarkEnd w:id="955"/>
      <w:bookmarkEnd w:id="956"/>
      <w:bookmarkEnd w:id="957"/>
      <w:bookmarkEnd w:id="958"/>
      <w:r>
        <w:rPr>
          <w:rFonts w:hint="default" w:ascii="Times New Roman" w:hAnsi="Times New Roman" w:cs="Times New Roman"/>
          <w:color w:val="auto"/>
          <w:sz w:val="24"/>
          <w:szCs w:val="24"/>
          <w:highlight w:val="none"/>
        </w:rPr>
        <w:t>不可预见物质条件(A)</w:t>
      </w:r>
      <w:bookmarkEnd w:id="959"/>
      <w:bookmarkEnd w:id="960"/>
      <w:bookmarkEnd w:id="961"/>
      <w:bookmarkEnd w:id="962"/>
      <w:bookmarkEnd w:id="96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4.11.1 不可预见物质条件，除专用合同条款另有约定外，是指承包人在施工场地遇到的不可预见的自然物质条件、非自然的物质障碍和污染物，包括地下和水文条件，但不包括气候条件。</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4.11.2 承包人遇到不可预见物质条件时，应采取适应不利物质条件的合理措施继续设计和(或)施工，并及时通知监理人，通知应载明不利物质条件的内容以及承包人认为不可预见的理由。监理人应当及时发出指示，指示构成变更的，按第15条约定执行。监理人没有发出指示的，承包人因采取合理措施而增加的费用和(或)工期延误，由发包人承担。</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964" w:name="_Toc265955416"/>
      <w:bookmarkStart w:id="965" w:name="_Toc247705004"/>
      <w:bookmarkStart w:id="966" w:name="_Toc387158358"/>
      <w:bookmarkStart w:id="967" w:name="_Toc23747679"/>
      <w:bookmarkStart w:id="968" w:name="_Toc24440"/>
      <w:bookmarkStart w:id="969" w:name="_Toc385256989"/>
      <w:bookmarkStart w:id="970" w:name="_Toc382809714"/>
      <w:r>
        <w:rPr>
          <w:rFonts w:hint="default" w:ascii="Times New Roman" w:hAnsi="Times New Roman" w:cs="Times New Roman"/>
          <w:color w:val="auto"/>
          <w:sz w:val="24"/>
          <w:szCs w:val="24"/>
          <w:highlight w:val="none"/>
        </w:rPr>
        <w:t>4.11 不可预见的困难和费用</w:t>
      </w:r>
      <w:bookmarkEnd w:id="964"/>
      <w:bookmarkEnd w:id="965"/>
      <w:r>
        <w:rPr>
          <w:rFonts w:hint="default" w:ascii="Times New Roman" w:hAnsi="Times New Roman" w:cs="Times New Roman"/>
          <w:color w:val="auto"/>
          <w:sz w:val="24"/>
          <w:szCs w:val="24"/>
          <w:highlight w:val="none"/>
        </w:rPr>
        <w:t>(B)</w:t>
      </w:r>
      <w:bookmarkEnd w:id="966"/>
      <w:bookmarkEnd w:id="967"/>
      <w:bookmarkEnd w:id="968"/>
      <w:bookmarkEnd w:id="969"/>
      <w:bookmarkEnd w:id="970"/>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除合同另有约定外，承包人应视为已取得工程有关风险、意外事件和其他情况的全部必要资料，并预见工程所有困难和费用。承包人遇到不可预见的困难和费用时，合同价格不予调整。</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971" w:name="_Toc382809715"/>
      <w:bookmarkStart w:id="972" w:name="_Toc23013"/>
      <w:bookmarkStart w:id="973" w:name="_Toc247514076"/>
      <w:bookmarkStart w:id="974" w:name="_Toc385256990"/>
      <w:bookmarkStart w:id="975" w:name="_Toc387158359"/>
      <w:bookmarkStart w:id="976" w:name="_Toc23747680"/>
      <w:bookmarkStart w:id="977" w:name="_Toc247527677"/>
      <w:r>
        <w:rPr>
          <w:rFonts w:hint="default" w:ascii="Times New Roman" w:hAnsi="Times New Roman" w:cs="Times New Roman"/>
          <w:color w:val="auto"/>
          <w:sz w:val="24"/>
          <w:szCs w:val="24"/>
          <w:highlight w:val="none"/>
        </w:rPr>
        <w:t>4.12 进度计划</w:t>
      </w:r>
      <w:bookmarkEnd w:id="971"/>
      <w:bookmarkEnd w:id="972"/>
      <w:bookmarkEnd w:id="973"/>
      <w:bookmarkEnd w:id="974"/>
      <w:bookmarkEnd w:id="975"/>
      <w:bookmarkEnd w:id="976"/>
      <w:bookmarkEnd w:id="977"/>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4.12.1 合同进度计划</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的内容和期限，编制详细的进度计划，包括设计、承包人文件提交、采购、制造、检验、运达现场、施工、安装、试验的各个阶段的预期时间以及设计和施工组织方案说明等报送监理人。监理人应在专用合同条款约定的期限内批复或提出修改意见，否则该进度计划视为已得到批准。经监理人批准的进度计划称合同进度计划，是控制合同工程进度的依据。承包人还应根据合同进度计划，编制更为详细的分阶段或分项进度计划，报监理人批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4.12.2 合同进度计划的修订</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论何种原因造成工程的实际进度与第4.12.1项的合同进度计划不符时，承包人可以在专用合同条款约定的期限内向监理人提交修订合同进度计划的申请报告，并附有关措施和相关资料，报监理人批准；监理人也可以直接向承包人作出修订合同进度计划的指示，承包人应按该指示修订合同进度计划，报监理人批准。监理人应在专用合同条款约定的期限内批复。监理人在批复前应获得发包人同意。</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978" w:name="_Toc385256991"/>
      <w:bookmarkStart w:id="979" w:name="_Toc23747681"/>
      <w:bookmarkStart w:id="980" w:name="_Toc18562"/>
      <w:bookmarkStart w:id="981" w:name="_Toc382809716"/>
      <w:bookmarkStart w:id="982" w:name="_Toc387158360"/>
      <w:r>
        <w:rPr>
          <w:rFonts w:hint="default" w:ascii="Times New Roman" w:hAnsi="Times New Roman" w:cs="Times New Roman"/>
          <w:color w:val="auto"/>
          <w:sz w:val="24"/>
          <w:szCs w:val="24"/>
          <w:highlight w:val="none"/>
        </w:rPr>
        <w:t>4.13 质量保证</w:t>
      </w:r>
      <w:bookmarkEnd w:id="978"/>
      <w:bookmarkEnd w:id="979"/>
      <w:bookmarkEnd w:id="980"/>
      <w:bookmarkEnd w:id="981"/>
      <w:bookmarkEnd w:id="98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4.13.1 为保证工程质量，承包人应按照合同要求建立质量保证体系。监理人有权对承包人的质量保证体系进行审查。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4.13.2 承包人应在各设计和实施阶段开始前，向监理人提交其具体的质量保证细则和工作程序。</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4.13.3 遵守质量保证体系，不应免除合同约定的承包人的义务和责任。</w:t>
      </w:r>
    </w:p>
    <w:p>
      <w:pPr>
        <w:keepNext/>
        <w:keepLines/>
        <w:pageBreakBefore w:val="0"/>
        <w:widowControl w:val="0"/>
        <w:tabs>
          <w:tab w:val="left" w:pos="7116"/>
        </w:tabs>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983" w:name="_Toc247514077"/>
      <w:bookmarkStart w:id="984" w:name="_Toc247527678"/>
      <w:bookmarkStart w:id="985" w:name="_Toc23747682"/>
      <w:bookmarkStart w:id="986" w:name="_Toc3317"/>
      <w:bookmarkStart w:id="987" w:name="_Toc387158361"/>
      <w:bookmarkStart w:id="988" w:name="_Toc385256992"/>
      <w:bookmarkStart w:id="989" w:name="_Toc382809717"/>
      <w:bookmarkStart w:id="990" w:name="_Toc501257230"/>
      <w:bookmarkStart w:id="991" w:name="_Toc234833007"/>
      <w:r>
        <w:rPr>
          <w:rFonts w:hint="default" w:ascii="Times New Roman" w:hAnsi="Times New Roman" w:cs="Times New Roman"/>
          <w:i w:val="0"/>
          <w:iCs w:val="0"/>
          <w:color w:val="auto"/>
          <w:szCs w:val="24"/>
          <w:highlight w:val="none"/>
        </w:rPr>
        <w:t>5. 设计</w:t>
      </w:r>
      <w:bookmarkEnd w:id="983"/>
      <w:bookmarkEnd w:id="984"/>
      <w:bookmarkEnd w:id="985"/>
      <w:bookmarkEnd w:id="986"/>
      <w:bookmarkEnd w:id="987"/>
      <w:bookmarkEnd w:id="988"/>
      <w:bookmarkEnd w:id="989"/>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992" w:name="_Toc23747683"/>
      <w:bookmarkStart w:id="993" w:name="_Toc387158362"/>
      <w:bookmarkStart w:id="994" w:name="_Toc20714"/>
      <w:bookmarkStart w:id="995" w:name="_Toc264373498"/>
      <w:bookmarkStart w:id="996" w:name="_Toc385256993"/>
      <w:bookmarkStart w:id="997" w:name="_Toc259350427"/>
      <w:bookmarkStart w:id="998" w:name="_Toc382809718"/>
      <w:bookmarkStart w:id="999" w:name="_Toc259552511"/>
      <w:bookmarkStart w:id="1000" w:name="_Toc258440543"/>
      <w:bookmarkStart w:id="1001" w:name="_Toc257880849"/>
      <w:bookmarkStart w:id="1002" w:name="_Toc247527679"/>
      <w:bookmarkStart w:id="1003" w:name="_Toc487072795"/>
      <w:bookmarkStart w:id="1004" w:name="_Toc297347661"/>
      <w:bookmarkStart w:id="1005" w:name="_Toc247514078"/>
      <w:bookmarkStart w:id="1006" w:name="_Toc468936969"/>
      <w:r>
        <w:rPr>
          <w:rFonts w:hint="default" w:ascii="Times New Roman" w:hAnsi="Times New Roman" w:cs="Times New Roman"/>
          <w:color w:val="auto"/>
          <w:sz w:val="24"/>
          <w:szCs w:val="24"/>
          <w:highlight w:val="none"/>
        </w:rPr>
        <w:t>5.1 承包人的设计义务</w:t>
      </w:r>
      <w:bookmarkEnd w:id="992"/>
      <w:bookmarkEnd w:id="993"/>
      <w:bookmarkEnd w:id="994"/>
      <w:bookmarkEnd w:id="995"/>
      <w:bookmarkEnd w:id="996"/>
      <w:bookmarkEnd w:id="997"/>
      <w:bookmarkEnd w:id="998"/>
      <w:bookmarkEnd w:id="999"/>
      <w:bookmarkEnd w:id="1000"/>
      <w:bookmarkEnd w:id="100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bookmarkStart w:id="1007" w:name="_Toc259552512"/>
      <w:bookmarkStart w:id="1008" w:name="_Toc258440544"/>
      <w:bookmarkStart w:id="1009" w:name="_Toc264373499"/>
      <w:bookmarkStart w:id="1010" w:name="_Toc259350428"/>
      <w:r>
        <w:rPr>
          <w:rFonts w:hint="default" w:ascii="Times New Roman" w:hAnsi="Times New Roman" w:cs="Times New Roman"/>
          <w:color w:val="auto"/>
          <w:sz w:val="24"/>
          <w:highlight w:val="none"/>
        </w:rPr>
        <w:t>5.1.1 设计义务</w:t>
      </w:r>
      <w:bookmarkEnd w:id="1007"/>
      <w:bookmarkEnd w:id="1008"/>
      <w:bookmarkEnd w:id="1009"/>
      <w:bookmarkEnd w:id="1010"/>
      <w:r>
        <w:rPr>
          <w:rFonts w:hint="default" w:ascii="Times New Roman" w:hAnsi="Times New Roman" w:cs="Times New Roman"/>
          <w:color w:val="auto"/>
          <w:sz w:val="24"/>
          <w:highlight w:val="none"/>
        </w:rPr>
        <w:t>的一般要求</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承包人应按照法律规定，以及国家、行业和地方的规范和标准完成设计工作，并符合发包人要求。</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5.1.2 法律和标准的变化</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合同另有约定外，承包人完成设计工作所应遵守的法律规定，以及国家、行业和地方的规范和标准，均应视为在基准日适用的版本。基准日之后，前述版本发生重大变化，或者有新的法律，以及国家、行业和地方的规范和标准实施的，承包人应向发包人或发包人委托的监理人提出遵守新规定的建议。发包人或其委托的监理人应在收到建议后7天内发出是否遵守新规定的指示。发包人或其委托的监理人指示遵守新规定的，按照第15条或第16.2款约定执行。</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011" w:name="_Toc257880851"/>
      <w:bookmarkStart w:id="1012" w:name="_Toc23747684"/>
      <w:bookmarkStart w:id="1013" w:name="_Toc382809719"/>
      <w:bookmarkStart w:id="1014" w:name="_Toc258440550"/>
      <w:bookmarkStart w:id="1015" w:name="_Toc19084"/>
      <w:bookmarkStart w:id="1016" w:name="_Toc259552518"/>
      <w:bookmarkStart w:id="1017" w:name="_Toc264373505"/>
      <w:bookmarkStart w:id="1018" w:name="_Toc385256994"/>
      <w:bookmarkStart w:id="1019" w:name="_Toc387158363"/>
      <w:bookmarkStart w:id="1020" w:name="_Toc259350434"/>
      <w:r>
        <w:rPr>
          <w:rFonts w:hint="default" w:ascii="Times New Roman" w:hAnsi="Times New Roman" w:cs="Times New Roman"/>
          <w:color w:val="auto"/>
          <w:sz w:val="24"/>
          <w:szCs w:val="24"/>
          <w:highlight w:val="none"/>
        </w:rPr>
        <w:t xml:space="preserve">5.2 </w:t>
      </w:r>
      <w:bookmarkEnd w:id="1011"/>
      <w:r>
        <w:rPr>
          <w:rFonts w:hint="default" w:ascii="Times New Roman" w:hAnsi="Times New Roman" w:cs="Times New Roman"/>
          <w:color w:val="auto"/>
          <w:sz w:val="24"/>
          <w:szCs w:val="24"/>
          <w:highlight w:val="none"/>
        </w:rPr>
        <w:t>承包人设计进度计划</w:t>
      </w:r>
      <w:bookmarkEnd w:id="1012"/>
      <w:bookmarkEnd w:id="1013"/>
      <w:bookmarkEnd w:id="1014"/>
      <w:bookmarkEnd w:id="1015"/>
      <w:bookmarkEnd w:id="1016"/>
      <w:bookmarkEnd w:id="1017"/>
      <w:bookmarkEnd w:id="1018"/>
      <w:bookmarkEnd w:id="1019"/>
      <w:bookmarkEnd w:id="1020"/>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承包人应按照发包人要求，在合同进度计划中专门列出设计进度计划，报发包人批准后执行。承包人需按照经批准后的计划开展设计工作。</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bookmarkStart w:id="1021" w:name="_Toc247593033"/>
      <w:r>
        <w:rPr>
          <w:rFonts w:hint="default" w:ascii="Times New Roman" w:hAnsi="Times New Roman" w:cs="Times New Roman"/>
          <w:color w:val="auto"/>
          <w:sz w:val="24"/>
          <w:highlight w:val="none"/>
        </w:rPr>
        <w:t>因承包人原因影响设计进度的，按第11.5款</w:t>
      </w:r>
      <w:bookmarkEnd w:id="1021"/>
      <w:r>
        <w:rPr>
          <w:rFonts w:hint="default" w:ascii="Times New Roman" w:hAnsi="Times New Roman" w:cs="Times New Roman"/>
          <w:color w:val="auto"/>
          <w:sz w:val="24"/>
          <w:highlight w:val="none"/>
        </w:rPr>
        <w:t>的约定执行。因发包人原因影响设计进度的，按第15条变更处理。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发包人或其委托的监理人有权要求承包人根据第11.5款提交修正的进度计划、增加投入资源并加快设计进度。</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022" w:name="_Toc258440555"/>
      <w:bookmarkStart w:id="1023" w:name="_Toc259552523"/>
      <w:bookmarkStart w:id="1024" w:name="_Toc382809720"/>
      <w:bookmarkStart w:id="1025" w:name="_Toc385256995"/>
      <w:bookmarkStart w:id="1026" w:name="_Toc24788"/>
      <w:bookmarkStart w:id="1027" w:name="_Toc23747685"/>
      <w:bookmarkStart w:id="1028" w:name="_Toc257880852"/>
      <w:bookmarkStart w:id="1029" w:name="_Toc387158364"/>
      <w:bookmarkStart w:id="1030" w:name="_Toc264373507"/>
      <w:bookmarkStart w:id="1031" w:name="_Toc259350439"/>
      <w:r>
        <w:rPr>
          <w:rFonts w:hint="default" w:ascii="Times New Roman" w:hAnsi="Times New Roman" w:cs="Times New Roman"/>
          <w:color w:val="auto"/>
          <w:sz w:val="24"/>
          <w:szCs w:val="24"/>
          <w:highlight w:val="none"/>
        </w:rPr>
        <w:t>5.3 设计审查</w:t>
      </w:r>
      <w:bookmarkEnd w:id="1022"/>
      <w:bookmarkEnd w:id="1023"/>
      <w:bookmarkEnd w:id="1024"/>
      <w:bookmarkEnd w:id="1025"/>
      <w:bookmarkEnd w:id="1026"/>
      <w:bookmarkEnd w:id="1027"/>
      <w:bookmarkEnd w:id="1028"/>
      <w:bookmarkEnd w:id="1029"/>
      <w:bookmarkEnd w:id="1030"/>
      <w:bookmarkEnd w:id="103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5.3.1 承包人的设计文件应报发包人审查同意。审查的范围和内容在发包人要求中约定。</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合同另有约定外，自监理人收到承包人的设计文件以及承包人的通知之日起，发包人对承包人的设计文件审查期不超过21天。承包人的设计文件对于合同约定有偏离的，应在通知中说明。承包人需要修改已提交的承包人文件的，应立即通知监理人，并向监理人提交修改后的承包人的设计文件，审查期重新起算。</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发包人不同意设计文件的，应通过监理人以书面形式通知承包人，并说明不符合合同要求的具体内容。承包人应根据监理人的书面说明，对承包人文件进行修改后重新报送发包人审查，审查期重新起算。</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合同约定的审查期满，发包人没有做出审查结论也没有提出异议的，视为承包人的设计文件已获发包人同意。</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5.3.2 承包人的设计文件不需要政府有关部门审查或批准的，承包人应当严格按照经发包人审查同意的设计文件设计和实施工程。</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5.3.3 设计文件需政府有关部门审查或批准的，发包人应在审查同意承包人的设计文件后7天内，向政府有关部门报送设计文件，承包人应予以协助。</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对于政府有关部门的审查意见，不需要修改发包人要求的，承包人需按该审查意见修改承包人的设计文件；需要修改发包人要求的，发包人应重新提出发包人要求，承包人应根据新提出的发包人要求修改承包人文件。上述情形还应适用第15条、第1.13款的有关约定。</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政府有关部门审查批准的，承包人应当严格按照批准后的承包人的设计文件设计和实施工程。</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032" w:name="_Toc23747686"/>
      <w:bookmarkStart w:id="1033" w:name="_Toc382809721"/>
      <w:bookmarkStart w:id="1034" w:name="_Toc22887"/>
      <w:bookmarkStart w:id="1035" w:name="_Toc387158365"/>
      <w:bookmarkStart w:id="1036" w:name="_Toc385256996"/>
      <w:r>
        <w:rPr>
          <w:rFonts w:hint="default" w:ascii="Times New Roman" w:hAnsi="Times New Roman" w:cs="Times New Roman"/>
          <w:color w:val="auto"/>
          <w:sz w:val="24"/>
          <w:szCs w:val="24"/>
          <w:highlight w:val="none"/>
        </w:rPr>
        <w:t>5.4 培训</w:t>
      </w:r>
      <w:bookmarkEnd w:id="1032"/>
      <w:bookmarkEnd w:id="1033"/>
      <w:bookmarkEnd w:id="1034"/>
      <w:bookmarkEnd w:id="1035"/>
      <w:bookmarkEnd w:id="103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承包人应按照发包人要求，对发包人的人员进行工程操作和维修方面的培训。合同约定接收之前进行培训的，应在第18.3款约定的竣工验收前完成培训。</w:t>
      </w:r>
    </w:p>
    <w:bookmarkEnd w:id="1002"/>
    <w:bookmarkEnd w:id="1003"/>
    <w:bookmarkEnd w:id="1004"/>
    <w:bookmarkEnd w:id="1005"/>
    <w:bookmarkEnd w:id="1006"/>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037" w:name="_Toc382809722"/>
      <w:bookmarkStart w:id="1038" w:name="_Toc23747687"/>
      <w:bookmarkStart w:id="1039" w:name="_Toc385256997"/>
      <w:bookmarkStart w:id="1040" w:name="_Toc387158366"/>
      <w:bookmarkStart w:id="1041" w:name="_Toc11934"/>
      <w:bookmarkStart w:id="1042" w:name="_Toc247527681"/>
      <w:bookmarkStart w:id="1043" w:name="_Toc247514080"/>
      <w:bookmarkStart w:id="1044" w:name="_Toc487072797"/>
      <w:bookmarkStart w:id="1045" w:name="_Toc297347663"/>
      <w:bookmarkStart w:id="1046" w:name="_Toc468936971"/>
      <w:r>
        <w:rPr>
          <w:rFonts w:hint="default" w:ascii="Times New Roman" w:hAnsi="Times New Roman" w:cs="Times New Roman"/>
          <w:color w:val="auto"/>
          <w:sz w:val="24"/>
          <w:szCs w:val="24"/>
          <w:highlight w:val="none"/>
        </w:rPr>
        <w:t>5.5 竣工文件</w:t>
      </w:r>
      <w:bookmarkEnd w:id="1037"/>
      <w:bookmarkEnd w:id="1038"/>
      <w:bookmarkEnd w:id="1039"/>
      <w:bookmarkEnd w:id="1040"/>
      <w:bookmarkEnd w:id="104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5.5.1 承包人应编制并及时更新反映工程实施结果的竣工记录，如实记载竣工工程的确切位置、尺寸和已实施工作的详细说明。竣工记录应保存在施工场地，并在竣工试验开始前，按照专用合同条款约定的份数提交给监理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5.5.2 在颁发工程接收证书之前，承包人应按照发包人要求的份数和形式向监理人提交相应竣工图纸，并取得监理人对尺寸、参照系统及其他有关细节的认可。监理人应按照第5.3款的约定进行审查。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5.5.3 在监理人收到上述文件前，不应认为工程已根据第18.3款和第18.5款约定完成验收。</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047" w:name="_Toc385256998"/>
      <w:bookmarkStart w:id="1048" w:name="_Toc24214"/>
      <w:bookmarkStart w:id="1049" w:name="_Toc382809723"/>
      <w:bookmarkStart w:id="1050" w:name="_Toc387158367"/>
      <w:bookmarkStart w:id="1051" w:name="_Toc23747688"/>
      <w:r>
        <w:rPr>
          <w:rFonts w:hint="default" w:ascii="Times New Roman" w:hAnsi="Times New Roman" w:cs="Times New Roman"/>
          <w:color w:val="auto"/>
          <w:sz w:val="24"/>
          <w:szCs w:val="24"/>
          <w:highlight w:val="none"/>
        </w:rPr>
        <w:t>5.6 操作和维修手册</w:t>
      </w:r>
      <w:bookmarkEnd w:id="1047"/>
      <w:bookmarkEnd w:id="1048"/>
      <w:bookmarkEnd w:id="1049"/>
      <w:bookmarkEnd w:id="1050"/>
      <w:bookmarkEnd w:id="105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5.6.1 在竣工试验开始前，承包人应向监理人提交暂行的操作和维修手册，该手册应足够详细，以便发包人能够对生产设备进行操作、维修、拆卸、重新安装、调整及修理。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5.6.2 承包人应提交足够详细的最终操作和维修手册，以及在发包人要求中明确的相关操作和维修手册。在监理人收到上述文件前，不应认为工程已根据第18.3款和第18.5款约定完成验收。</w:t>
      </w:r>
    </w:p>
    <w:bookmarkEnd w:id="1042"/>
    <w:bookmarkEnd w:id="1043"/>
    <w:bookmarkEnd w:id="1044"/>
    <w:bookmarkEnd w:id="1045"/>
    <w:bookmarkEnd w:id="1046"/>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052" w:name="_Toc387158368"/>
      <w:bookmarkStart w:id="1053" w:name="_Toc247527686"/>
      <w:bookmarkStart w:id="1054" w:name="_Toc23747689"/>
      <w:bookmarkStart w:id="1055" w:name="_Toc385256999"/>
      <w:bookmarkStart w:id="1056" w:name="_Toc247514085"/>
      <w:bookmarkStart w:id="1057" w:name="_Toc14977"/>
      <w:bookmarkStart w:id="1058" w:name="_Toc382809724"/>
      <w:r>
        <w:rPr>
          <w:rFonts w:hint="default" w:ascii="Times New Roman" w:hAnsi="Times New Roman" w:cs="Times New Roman"/>
          <w:color w:val="auto"/>
          <w:sz w:val="24"/>
          <w:szCs w:val="24"/>
          <w:highlight w:val="none"/>
        </w:rPr>
        <w:t>5.7 承包人文件错误</w:t>
      </w:r>
      <w:bookmarkEnd w:id="1052"/>
      <w:bookmarkEnd w:id="1053"/>
      <w:bookmarkEnd w:id="1054"/>
      <w:bookmarkEnd w:id="1055"/>
      <w:bookmarkEnd w:id="1056"/>
      <w:bookmarkEnd w:id="1057"/>
      <w:bookmarkEnd w:id="1058"/>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文件存在错误、遗漏、含混、矛盾、不充分之处或其他缺陷，无论承包人是否根据本款获得了批准，承包人均应自费对前述问题带来的缺陷和工程问题进行改正。第1.13款发包人要求的错误导致承包人文件错误、遗漏、含混、矛盾、不充分或其他缺陷的除外。</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059" w:name="_Toc13110"/>
      <w:bookmarkStart w:id="1060" w:name="_Toc184635102"/>
      <w:bookmarkStart w:id="1061" w:name="_Toc247514086"/>
      <w:bookmarkStart w:id="1062" w:name="_Toc247527687"/>
      <w:bookmarkStart w:id="1063" w:name="_Toc23747690"/>
      <w:bookmarkStart w:id="1064" w:name="_Toc385257000"/>
      <w:bookmarkStart w:id="1065" w:name="_Toc382809725"/>
      <w:bookmarkStart w:id="1066" w:name="_Toc387158369"/>
      <w:r>
        <w:rPr>
          <w:rFonts w:hint="default" w:ascii="Times New Roman" w:hAnsi="Times New Roman" w:cs="Times New Roman"/>
          <w:i w:val="0"/>
          <w:iCs w:val="0"/>
          <w:color w:val="auto"/>
          <w:szCs w:val="24"/>
          <w:highlight w:val="none"/>
        </w:rPr>
        <w:t>6. 材料和工程设备</w:t>
      </w:r>
      <w:bookmarkEnd w:id="990"/>
      <w:bookmarkEnd w:id="991"/>
      <w:bookmarkEnd w:id="1059"/>
      <w:bookmarkEnd w:id="1060"/>
      <w:bookmarkEnd w:id="1061"/>
      <w:bookmarkEnd w:id="1062"/>
      <w:bookmarkEnd w:id="1063"/>
      <w:bookmarkEnd w:id="1064"/>
      <w:bookmarkEnd w:id="1065"/>
      <w:bookmarkEnd w:id="1066"/>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067" w:name="_Toc385257001"/>
      <w:bookmarkStart w:id="1068" w:name="_Toc247527688"/>
      <w:bookmarkStart w:id="1069" w:name="_Toc234833008"/>
      <w:bookmarkStart w:id="1070" w:name="_Toc247514087"/>
      <w:bookmarkStart w:id="1071" w:name="_Toc23747691"/>
      <w:bookmarkStart w:id="1072" w:name="_Toc382809726"/>
      <w:bookmarkStart w:id="1073" w:name="_Toc387158370"/>
      <w:bookmarkStart w:id="1074" w:name="_Toc29669"/>
      <w:bookmarkStart w:id="1075" w:name="_Toc501257231"/>
      <w:r>
        <w:rPr>
          <w:rFonts w:hint="default" w:ascii="Times New Roman" w:hAnsi="Times New Roman" w:cs="Times New Roman"/>
          <w:color w:val="auto"/>
          <w:sz w:val="24"/>
          <w:szCs w:val="24"/>
          <w:highlight w:val="none"/>
        </w:rPr>
        <w:t>6.1 承包人提供的材料和工程设备</w:t>
      </w:r>
      <w:bookmarkEnd w:id="1067"/>
      <w:bookmarkEnd w:id="1068"/>
      <w:bookmarkEnd w:id="1069"/>
      <w:bookmarkEnd w:id="1070"/>
      <w:bookmarkEnd w:id="1071"/>
      <w:bookmarkEnd w:id="1072"/>
      <w:bookmarkEnd w:id="1073"/>
      <w:bookmarkEnd w:id="1074"/>
      <w:bookmarkEnd w:id="1075"/>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6.1.1 除专用合同条款另有约定外，承包人提供的材料和工程设备均由承包人负责采购、运输和保管。承包人应对其采购的材料和工程设备负责。</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6.1.2 承包人应按专用合同条款的约定，将各项材料和工程设备的供货人及品种、技术要求、规格、数量和供货时间等报送监理人批准。承包人应向监理人提交其负责提供的材料和工程设备的质量证明文件，并满足合同约定的质量标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6.1.3 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076" w:name="_Toc247527689"/>
      <w:bookmarkStart w:id="1077" w:name="_Toc247514088"/>
      <w:bookmarkStart w:id="1078" w:name="_Toc234833009"/>
      <w:bookmarkStart w:id="1079" w:name="_Toc501257232"/>
      <w:bookmarkStart w:id="1080" w:name="_Toc382809727"/>
      <w:bookmarkStart w:id="1081" w:name="_Toc225"/>
      <w:bookmarkStart w:id="1082" w:name="_Toc385257002"/>
      <w:bookmarkStart w:id="1083" w:name="_Toc387158371"/>
      <w:bookmarkStart w:id="1084" w:name="_Toc23747692"/>
      <w:r>
        <w:rPr>
          <w:rFonts w:hint="default" w:ascii="Times New Roman" w:hAnsi="Times New Roman" w:cs="Times New Roman"/>
          <w:color w:val="auto"/>
          <w:sz w:val="24"/>
          <w:szCs w:val="24"/>
          <w:highlight w:val="none"/>
        </w:rPr>
        <w:t>6.2 发包人提供的材料和工程设备</w:t>
      </w:r>
      <w:bookmarkEnd w:id="1076"/>
      <w:bookmarkEnd w:id="1077"/>
      <w:bookmarkEnd w:id="1078"/>
      <w:bookmarkEnd w:id="1079"/>
      <w:r>
        <w:rPr>
          <w:rFonts w:hint="default" w:ascii="Times New Roman" w:hAnsi="Times New Roman" w:cs="Times New Roman"/>
          <w:color w:val="auto"/>
          <w:sz w:val="24"/>
          <w:szCs w:val="24"/>
          <w:highlight w:val="none"/>
        </w:rPr>
        <w:t>(A)</w:t>
      </w:r>
      <w:bookmarkEnd w:id="1080"/>
      <w:bookmarkEnd w:id="1081"/>
      <w:bookmarkEnd w:id="1082"/>
      <w:bookmarkEnd w:id="1083"/>
      <w:bookmarkEnd w:id="1084"/>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6.2.1 专用合同条款约定发包人提供部分材料和工程设备的，应写明材料和工程设备的名称、规格、数量、价格、交货方式、交货地点等。</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6.2.2 承包人应根据合同进度计划的安排，向监理人报送要求发包人交货的日期计划。发包人应按照监理人与合同双方当事人商定的交货日期，向承包人提交材料和工程设备。</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6.2.3 发包人应在材料和工程设备到货7 天前通知承包人，承包人应会同监理人在约定的时间内，赴交货地点共同进行验收。除专用合同条款另有约定外，发包人提供的材料和工程设备验收后，由承包人负责接收、运输和保管。</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6.2.4 发包人要求向承包人提前交货的，承包人不得拒绝，但发包人应承担承包人由此增加的费用。</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6.2.5 承包人要求更改交货日期或地点的，应事先报请监理人批准。由于承包人要求更改交货时间或地点所增加的费用和(或)工期延误由承包人承担。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6.2.6 发包人提供的材料和工程设备的规格、数量或质量不符合合同要求，或由于发包人原因发生交货日期延误及交货地点变更等情况的，发包人应承担由此增加的费用和(或)工期延误，并向承包人支付合理利润。</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085" w:name="_Toc16003"/>
      <w:bookmarkStart w:id="1086" w:name="_Toc387158372"/>
      <w:bookmarkStart w:id="1087" w:name="_Toc385257003"/>
      <w:bookmarkStart w:id="1088" w:name="_Toc23747693"/>
      <w:bookmarkStart w:id="1089" w:name="_Toc382809728"/>
      <w:bookmarkStart w:id="1090" w:name="_Toc234833010"/>
      <w:bookmarkStart w:id="1091" w:name="_Toc501257233"/>
      <w:r>
        <w:rPr>
          <w:rFonts w:hint="default" w:ascii="Times New Roman" w:hAnsi="Times New Roman" w:cs="Times New Roman"/>
          <w:color w:val="auto"/>
          <w:sz w:val="24"/>
          <w:szCs w:val="24"/>
          <w:highlight w:val="none"/>
        </w:rPr>
        <w:t>6.2 发包人提供的材料和工程设备(B)</w:t>
      </w:r>
      <w:bookmarkEnd w:id="1085"/>
      <w:bookmarkEnd w:id="1086"/>
      <w:bookmarkEnd w:id="1087"/>
      <w:bookmarkEnd w:id="1088"/>
      <w:bookmarkEnd w:id="1089"/>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发包人不提供材料和工程设备。</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092" w:name="_Toc247514089"/>
      <w:bookmarkStart w:id="1093" w:name="_Toc247527690"/>
      <w:bookmarkStart w:id="1094" w:name="_Toc387158373"/>
      <w:bookmarkStart w:id="1095" w:name="_Toc385257004"/>
      <w:bookmarkStart w:id="1096" w:name="_Toc8906"/>
      <w:bookmarkStart w:id="1097" w:name="_Toc23747694"/>
      <w:bookmarkStart w:id="1098" w:name="_Toc382809729"/>
      <w:r>
        <w:rPr>
          <w:rFonts w:hint="default" w:ascii="Times New Roman" w:hAnsi="Times New Roman" w:cs="Times New Roman"/>
          <w:color w:val="auto"/>
          <w:sz w:val="24"/>
          <w:szCs w:val="24"/>
          <w:highlight w:val="none"/>
        </w:rPr>
        <w:t xml:space="preserve">6.3 </w:t>
      </w:r>
      <w:bookmarkEnd w:id="1090"/>
      <w:bookmarkEnd w:id="1091"/>
      <w:r>
        <w:rPr>
          <w:rFonts w:hint="default" w:ascii="Times New Roman" w:hAnsi="Times New Roman" w:cs="Times New Roman"/>
          <w:color w:val="auto"/>
          <w:sz w:val="24"/>
          <w:szCs w:val="24"/>
          <w:highlight w:val="none"/>
        </w:rPr>
        <w:t>专用于工程的</w:t>
      </w:r>
      <w:bookmarkEnd w:id="1092"/>
      <w:bookmarkEnd w:id="1093"/>
      <w:r>
        <w:rPr>
          <w:rFonts w:hint="default" w:ascii="Times New Roman" w:hAnsi="Times New Roman" w:cs="Times New Roman"/>
          <w:color w:val="auto"/>
          <w:sz w:val="24"/>
          <w:szCs w:val="24"/>
          <w:highlight w:val="none"/>
        </w:rPr>
        <w:t>材料和工程设备</w:t>
      </w:r>
      <w:bookmarkEnd w:id="1094"/>
      <w:bookmarkEnd w:id="1095"/>
      <w:bookmarkEnd w:id="1096"/>
      <w:bookmarkEnd w:id="1097"/>
      <w:bookmarkEnd w:id="1098"/>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6.3.1 运入施工场地的材料、工程设备，包括备品备件、安装专用工器具与随机资料，必须专用于合同约定范围内的工程，未经监理人同意，承包人不得运出施工场地或挪作他用。</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6.3.2 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099" w:name="_Toc385257005"/>
      <w:bookmarkStart w:id="1100" w:name="_Toc382809730"/>
      <w:bookmarkStart w:id="1101" w:name="_Toc387158374"/>
      <w:bookmarkStart w:id="1102" w:name="_Toc32156"/>
      <w:bookmarkStart w:id="1103" w:name="_Toc23747695"/>
      <w:bookmarkStart w:id="1104" w:name="_Toc247527691"/>
      <w:bookmarkStart w:id="1105" w:name="_Toc234833011"/>
      <w:bookmarkStart w:id="1106" w:name="_Toc247514090"/>
      <w:bookmarkStart w:id="1107" w:name="_Toc501257234"/>
      <w:r>
        <w:rPr>
          <w:rFonts w:hint="default" w:ascii="Times New Roman" w:hAnsi="Times New Roman" w:cs="Times New Roman"/>
          <w:color w:val="auto"/>
          <w:sz w:val="24"/>
          <w:szCs w:val="24"/>
          <w:highlight w:val="none"/>
        </w:rPr>
        <w:t>6.4 实施方法</w:t>
      </w:r>
      <w:bookmarkEnd w:id="1099"/>
      <w:bookmarkEnd w:id="1100"/>
      <w:bookmarkEnd w:id="1101"/>
      <w:bookmarkEnd w:id="1102"/>
      <w:bookmarkEnd w:id="110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承包人对材料的加工、工程设备的采购、制造、安装应当按照法律规定、合同约定以及行业习惯来实施。</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108" w:name="_Toc382809731"/>
      <w:bookmarkStart w:id="1109" w:name="_Toc30884"/>
      <w:bookmarkStart w:id="1110" w:name="_Toc387158375"/>
      <w:bookmarkStart w:id="1111" w:name="_Toc385257006"/>
      <w:bookmarkStart w:id="1112" w:name="_Toc23747696"/>
      <w:r>
        <w:rPr>
          <w:rFonts w:hint="default" w:ascii="Times New Roman" w:hAnsi="Times New Roman" w:cs="Times New Roman"/>
          <w:color w:val="auto"/>
          <w:sz w:val="24"/>
          <w:szCs w:val="24"/>
          <w:highlight w:val="none"/>
        </w:rPr>
        <w:t>6.5 禁止使用不合格的材料和工程设备</w:t>
      </w:r>
      <w:bookmarkEnd w:id="1104"/>
      <w:bookmarkEnd w:id="1105"/>
      <w:bookmarkEnd w:id="1106"/>
      <w:bookmarkEnd w:id="1107"/>
      <w:bookmarkEnd w:id="1108"/>
      <w:bookmarkEnd w:id="1109"/>
      <w:bookmarkEnd w:id="1110"/>
      <w:bookmarkEnd w:id="1111"/>
      <w:bookmarkEnd w:id="111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6.5.1 监理人有权拒绝承包人提供的不合格材料或工程设备，并要求承包人立即进行更换。监理人应在更换后再次进行检查和检验，由此增加的费用和(或)工期延误由承包人承担。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6.5.2 监理人发现承包人使用了不合格的材料和工程设备，应即时发出指示要求承包人立即改正，并禁止在工程中继续使用不合格的材料和工程设备。</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6.5.3 发包人提供的材料或工程设备不符合合同要求的，承包人有权拒绝，并可要求发包人更换，由此增加的费用和(或)工期延误由发包人承担。</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113" w:name="_Toc247514091"/>
      <w:bookmarkStart w:id="1114" w:name="_Toc387158376"/>
      <w:bookmarkStart w:id="1115" w:name="_Toc247527692"/>
      <w:bookmarkStart w:id="1116" w:name="_Toc234833012"/>
      <w:bookmarkStart w:id="1117" w:name="_Toc184635103"/>
      <w:bookmarkStart w:id="1118" w:name="_Toc382809732"/>
      <w:bookmarkStart w:id="1119" w:name="_Toc23747697"/>
      <w:bookmarkStart w:id="1120" w:name="_Toc501257235"/>
      <w:bookmarkStart w:id="1121" w:name="_Toc385257007"/>
      <w:bookmarkStart w:id="1122" w:name="_Toc15808"/>
      <w:r>
        <w:rPr>
          <w:rFonts w:hint="default" w:ascii="Times New Roman" w:hAnsi="Times New Roman" w:cs="Times New Roman"/>
          <w:i w:val="0"/>
          <w:iCs w:val="0"/>
          <w:color w:val="auto"/>
          <w:szCs w:val="24"/>
          <w:highlight w:val="none"/>
        </w:rPr>
        <w:t>7. 施工设备和临时设施</w:t>
      </w:r>
      <w:bookmarkEnd w:id="1113"/>
      <w:bookmarkEnd w:id="1114"/>
      <w:bookmarkEnd w:id="1115"/>
      <w:bookmarkEnd w:id="1116"/>
      <w:bookmarkEnd w:id="1117"/>
      <w:bookmarkEnd w:id="1118"/>
      <w:bookmarkEnd w:id="1119"/>
      <w:bookmarkEnd w:id="1120"/>
      <w:bookmarkEnd w:id="1121"/>
      <w:bookmarkEnd w:id="1122"/>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123" w:name="_Toc385257008"/>
      <w:bookmarkStart w:id="1124" w:name="_Toc382809733"/>
      <w:bookmarkStart w:id="1125" w:name="_Toc501257236"/>
      <w:bookmarkStart w:id="1126" w:name="_Toc247514092"/>
      <w:bookmarkStart w:id="1127" w:name="_Toc446"/>
      <w:bookmarkStart w:id="1128" w:name="_Toc23747698"/>
      <w:bookmarkStart w:id="1129" w:name="_Toc387158377"/>
      <w:bookmarkStart w:id="1130" w:name="_Toc247527693"/>
      <w:bookmarkStart w:id="1131" w:name="_Toc234833013"/>
      <w:r>
        <w:rPr>
          <w:rFonts w:hint="default" w:ascii="Times New Roman" w:hAnsi="Times New Roman" w:cs="Times New Roman"/>
          <w:color w:val="auto"/>
          <w:sz w:val="24"/>
          <w:szCs w:val="24"/>
          <w:highlight w:val="none"/>
        </w:rPr>
        <w:t>7.1 承包人提供的施工设备和临时设施</w:t>
      </w:r>
      <w:bookmarkEnd w:id="1123"/>
      <w:bookmarkEnd w:id="1124"/>
      <w:bookmarkEnd w:id="1125"/>
      <w:bookmarkEnd w:id="1126"/>
      <w:bookmarkEnd w:id="1127"/>
      <w:bookmarkEnd w:id="1128"/>
      <w:bookmarkEnd w:id="1129"/>
      <w:bookmarkEnd w:id="1130"/>
      <w:bookmarkEnd w:id="113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7.1.1 承包人应按合同进度计划的要求，及时配置施工设备和修建临时设施。进入施工场地的承包人设备需经监理人核查后才能投入使用。承包人更换合同约定的承包人设备的，应报监理人批准。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7.1.2 除专用合同条款另有约定外，承包人应自行承担修建临时设施的费用。需要临时占地的，应由发包人办理申请手续并承担相应费用。</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132" w:name="_Toc501257237"/>
      <w:bookmarkStart w:id="1133" w:name="_Toc234833014"/>
      <w:bookmarkStart w:id="1134" w:name="_Toc247527694"/>
      <w:bookmarkStart w:id="1135" w:name="_Toc247514093"/>
      <w:bookmarkStart w:id="1136" w:name="_Toc385257009"/>
      <w:bookmarkStart w:id="1137" w:name="_Toc382809734"/>
      <w:bookmarkStart w:id="1138" w:name="_Toc387158378"/>
      <w:bookmarkStart w:id="1139" w:name="_Toc23747699"/>
      <w:bookmarkStart w:id="1140" w:name="_Toc6657"/>
      <w:r>
        <w:rPr>
          <w:rFonts w:hint="default" w:ascii="Times New Roman" w:hAnsi="Times New Roman" w:cs="Times New Roman"/>
          <w:color w:val="auto"/>
          <w:sz w:val="24"/>
          <w:szCs w:val="24"/>
          <w:highlight w:val="none"/>
        </w:rPr>
        <w:t>7.2 发包人提供的施工设备和临时设施</w:t>
      </w:r>
      <w:bookmarkEnd w:id="1132"/>
      <w:bookmarkEnd w:id="1133"/>
      <w:bookmarkEnd w:id="1134"/>
      <w:bookmarkEnd w:id="1135"/>
      <w:r>
        <w:rPr>
          <w:rFonts w:hint="default" w:ascii="Times New Roman" w:hAnsi="Times New Roman" w:cs="Times New Roman"/>
          <w:color w:val="auto"/>
          <w:sz w:val="24"/>
          <w:szCs w:val="24"/>
          <w:highlight w:val="none"/>
        </w:rPr>
        <w:t>(A)</w:t>
      </w:r>
      <w:bookmarkEnd w:id="1136"/>
      <w:bookmarkEnd w:id="1137"/>
      <w:bookmarkEnd w:id="1138"/>
      <w:bookmarkEnd w:id="1139"/>
      <w:bookmarkEnd w:id="1140"/>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发包人提供的施工设备或临时设施在专用合同条款中约定。</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141" w:name="_Toc385257010"/>
      <w:bookmarkStart w:id="1142" w:name="_Toc2552"/>
      <w:bookmarkStart w:id="1143" w:name="_Toc387158379"/>
      <w:bookmarkStart w:id="1144" w:name="_Toc23747700"/>
      <w:bookmarkStart w:id="1145" w:name="_Toc382809735"/>
      <w:bookmarkStart w:id="1146" w:name="_Toc234833015"/>
      <w:bookmarkStart w:id="1147" w:name="_Toc501257238"/>
      <w:r>
        <w:rPr>
          <w:rFonts w:hint="default" w:ascii="Times New Roman" w:hAnsi="Times New Roman" w:cs="Times New Roman"/>
          <w:color w:val="auto"/>
          <w:sz w:val="24"/>
          <w:szCs w:val="24"/>
          <w:highlight w:val="none"/>
        </w:rPr>
        <w:t>7.2 发包人提供的施工设备和临时设施(B)</w:t>
      </w:r>
      <w:bookmarkEnd w:id="1141"/>
      <w:bookmarkEnd w:id="1142"/>
      <w:bookmarkEnd w:id="1143"/>
      <w:bookmarkEnd w:id="1144"/>
      <w:bookmarkEnd w:id="1145"/>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发包人不提供施工设备或临时设施。</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148" w:name="_Toc387158380"/>
      <w:bookmarkStart w:id="1149" w:name="_Toc385257011"/>
      <w:bookmarkStart w:id="1150" w:name="_Toc23747701"/>
      <w:bookmarkStart w:id="1151" w:name="_Toc8066"/>
      <w:bookmarkStart w:id="1152" w:name="_Toc382809736"/>
      <w:bookmarkStart w:id="1153" w:name="_Toc247514094"/>
      <w:bookmarkStart w:id="1154" w:name="_Toc247527695"/>
      <w:r>
        <w:rPr>
          <w:rFonts w:hint="default" w:ascii="Times New Roman" w:hAnsi="Times New Roman" w:cs="Times New Roman"/>
          <w:color w:val="auto"/>
          <w:sz w:val="24"/>
          <w:szCs w:val="24"/>
          <w:highlight w:val="none"/>
        </w:rPr>
        <w:t>7.3 要求承包人增加或更换施工设备</w:t>
      </w:r>
      <w:bookmarkEnd w:id="1146"/>
      <w:bookmarkEnd w:id="1147"/>
      <w:bookmarkEnd w:id="1148"/>
      <w:bookmarkEnd w:id="1149"/>
      <w:bookmarkEnd w:id="1150"/>
      <w:bookmarkEnd w:id="1151"/>
      <w:bookmarkEnd w:id="1152"/>
      <w:bookmarkEnd w:id="1153"/>
      <w:bookmarkEnd w:id="1154"/>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承包人使用的施工设备不能满足合同进度计划和(或)质量标准时，监理人有权要求承包人增加或更换施工设备，承包人应及时增加或更换，由此增加的费用和(或)工期延误由承包人承担。</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155" w:name="_Toc23747702"/>
      <w:bookmarkStart w:id="1156" w:name="_Toc385257012"/>
      <w:bookmarkStart w:id="1157" w:name="_Toc387158381"/>
      <w:bookmarkStart w:id="1158" w:name="_Toc247527696"/>
      <w:bookmarkStart w:id="1159" w:name="_Toc382809737"/>
      <w:bookmarkStart w:id="1160" w:name="_Toc501257239"/>
      <w:bookmarkStart w:id="1161" w:name="_Toc16262"/>
      <w:bookmarkStart w:id="1162" w:name="_Toc247514095"/>
      <w:bookmarkStart w:id="1163" w:name="_Toc234833016"/>
      <w:r>
        <w:rPr>
          <w:rFonts w:hint="default" w:ascii="Times New Roman" w:hAnsi="Times New Roman" w:cs="Times New Roman"/>
          <w:color w:val="auto"/>
          <w:sz w:val="24"/>
          <w:szCs w:val="24"/>
          <w:highlight w:val="none"/>
        </w:rPr>
        <w:t>7.4 施工设备和临时设施专用于合同工程</w:t>
      </w:r>
      <w:bookmarkEnd w:id="1155"/>
      <w:bookmarkEnd w:id="1156"/>
      <w:bookmarkEnd w:id="1157"/>
      <w:bookmarkEnd w:id="1158"/>
      <w:bookmarkEnd w:id="1159"/>
      <w:bookmarkEnd w:id="1160"/>
      <w:bookmarkEnd w:id="1161"/>
      <w:bookmarkEnd w:id="1162"/>
      <w:bookmarkEnd w:id="116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7.4.1 除合同另有约定外，运入施工场地的所有施工设备以及在施工场地建设的临时设施应专用于合同工程。未经监理人同意，不得将上述施工设备和临时设施中的任何部分运出施工场地或挪作他用。</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7.4.2 经监理人同意，承包人可根据合同进度计划撤走闲置的施工设备。</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164" w:name="_Toc385257013"/>
      <w:bookmarkStart w:id="1165" w:name="_Toc247527697"/>
      <w:bookmarkStart w:id="1166" w:name="_Toc501257240"/>
      <w:bookmarkStart w:id="1167" w:name="_Toc247514096"/>
      <w:bookmarkStart w:id="1168" w:name="_Toc234833017"/>
      <w:bookmarkStart w:id="1169" w:name="_Toc19141"/>
      <w:bookmarkStart w:id="1170" w:name="_Toc387158382"/>
      <w:bookmarkStart w:id="1171" w:name="_Toc184635104"/>
      <w:bookmarkStart w:id="1172" w:name="_Toc382809738"/>
      <w:bookmarkStart w:id="1173" w:name="_Toc23747703"/>
      <w:r>
        <w:rPr>
          <w:rFonts w:hint="default" w:ascii="Times New Roman" w:hAnsi="Times New Roman" w:cs="Times New Roman"/>
          <w:i w:val="0"/>
          <w:iCs w:val="0"/>
          <w:color w:val="auto"/>
          <w:szCs w:val="24"/>
          <w:highlight w:val="none"/>
        </w:rPr>
        <w:t>8. 交通运输</w:t>
      </w:r>
      <w:bookmarkEnd w:id="1164"/>
      <w:bookmarkEnd w:id="1165"/>
      <w:bookmarkEnd w:id="1166"/>
      <w:bookmarkEnd w:id="1167"/>
      <w:bookmarkEnd w:id="1168"/>
      <w:bookmarkEnd w:id="1169"/>
      <w:bookmarkEnd w:id="1170"/>
      <w:bookmarkEnd w:id="1171"/>
      <w:bookmarkEnd w:id="1172"/>
      <w:bookmarkEnd w:id="1173"/>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174" w:name="_Toc501257241"/>
      <w:bookmarkStart w:id="1175" w:name="_Toc234833018"/>
      <w:bookmarkStart w:id="1176" w:name="_Toc247527698"/>
      <w:bookmarkStart w:id="1177" w:name="_Toc247514097"/>
      <w:bookmarkStart w:id="1178" w:name="_Toc32663"/>
      <w:bookmarkStart w:id="1179" w:name="_Toc382809739"/>
      <w:bookmarkStart w:id="1180" w:name="_Toc387158383"/>
      <w:bookmarkStart w:id="1181" w:name="_Toc385257014"/>
      <w:bookmarkStart w:id="1182" w:name="_Toc23747704"/>
      <w:r>
        <w:rPr>
          <w:rFonts w:hint="default" w:ascii="Times New Roman" w:hAnsi="Times New Roman" w:cs="Times New Roman"/>
          <w:color w:val="auto"/>
          <w:sz w:val="24"/>
          <w:szCs w:val="24"/>
          <w:highlight w:val="none"/>
        </w:rPr>
        <w:t>8.1 道路通行权和场外设施</w:t>
      </w:r>
      <w:bookmarkEnd w:id="1174"/>
      <w:bookmarkEnd w:id="1175"/>
      <w:bookmarkEnd w:id="1176"/>
      <w:bookmarkEnd w:id="1177"/>
      <w:r>
        <w:rPr>
          <w:rFonts w:hint="default" w:ascii="Times New Roman" w:hAnsi="Times New Roman" w:cs="Times New Roman"/>
          <w:color w:val="auto"/>
          <w:sz w:val="24"/>
          <w:szCs w:val="24"/>
          <w:highlight w:val="none"/>
        </w:rPr>
        <w:t>(A)</w:t>
      </w:r>
      <w:bookmarkEnd w:id="1178"/>
      <w:bookmarkEnd w:id="1179"/>
      <w:bookmarkEnd w:id="1180"/>
      <w:bookmarkEnd w:id="1181"/>
      <w:bookmarkEnd w:id="118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发包人应根据工程的施工需要，负责办理取得出入施工场地的专用和临时道路的通行权，以及取得为工程建设所需修建场外设施的权利，并承担有关费用。承包人应协助发包人办理上述手续。</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183" w:name="_Toc23747705"/>
      <w:bookmarkStart w:id="1184" w:name="_Toc387158384"/>
      <w:bookmarkStart w:id="1185" w:name="_Toc382809740"/>
      <w:bookmarkStart w:id="1186" w:name="_Toc385257015"/>
      <w:bookmarkStart w:id="1187" w:name="_Toc21542"/>
      <w:bookmarkStart w:id="1188" w:name="_Toc234833019"/>
      <w:bookmarkStart w:id="1189" w:name="_Toc501257242"/>
      <w:r>
        <w:rPr>
          <w:rFonts w:hint="default" w:ascii="Times New Roman" w:hAnsi="Times New Roman" w:cs="Times New Roman"/>
          <w:color w:val="auto"/>
          <w:sz w:val="24"/>
          <w:szCs w:val="24"/>
          <w:highlight w:val="none"/>
        </w:rPr>
        <w:t>8.1 道路通行权和场外设施(B)</w:t>
      </w:r>
      <w:bookmarkEnd w:id="1183"/>
      <w:bookmarkEnd w:id="1184"/>
      <w:bookmarkEnd w:id="1185"/>
      <w:bookmarkEnd w:id="1186"/>
      <w:bookmarkEnd w:id="1187"/>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承包人应根据工程的施工需要，负责办理取得出入施工场地的专用和临时道路的通行权，以及取得为工程建设所需修建场外设施的权利，并承担有关费用。发包人应协助承包人办理上述手续。</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190" w:name="_Toc382809741"/>
      <w:bookmarkStart w:id="1191" w:name="_Toc247527699"/>
      <w:bookmarkStart w:id="1192" w:name="_Toc385257016"/>
      <w:bookmarkStart w:id="1193" w:name="_Toc22869"/>
      <w:bookmarkStart w:id="1194" w:name="_Toc387158385"/>
      <w:bookmarkStart w:id="1195" w:name="_Toc247514098"/>
      <w:bookmarkStart w:id="1196" w:name="_Toc23747706"/>
      <w:r>
        <w:rPr>
          <w:rFonts w:hint="default" w:ascii="Times New Roman" w:hAnsi="Times New Roman" w:cs="Times New Roman"/>
          <w:color w:val="auto"/>
          <w:sz w:val="24"/>
          <w:szCs w:val="24"/>
          <w:highlight w:val="none"/>
        </w:rPr>
        <w:t>8.2 场内施工道路</w:t>
      </w:r>
      <w:bookmarkEnd w:id="1188"/>
      <w:bookmarkEnd w:id="1189"/>
      <w:bookmarkEnd w:id="1190"/>
      <w:bookmarkEnd w:id="1191"/>
      <w:bookmarkEnd w:id="1192"/>
      <w:bookmarkEnd w:id="1193"/>
      <w:bookmarkEnd w:id="1194"/>
      <w:bookmarkEnd w:id="1195"/>
      <w:bookmarkEnd w:id="119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8.2.1 除专用合同条款另有约定外，承包人应负责修建、维修、养护和管理施工所需的临时道路和交通设施，包括维修、养护和管理发包人提供的道路和交通设施，并承担相应费用。</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8.2.2 除专用合同条款另有约定外，承包人修建的临时道路和交通设施应免费提供发包人和监理人为实现合同目的使用。</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197" w:name="_Toc23747707"/>
      <w:bookmarkStart w:id="1198" w:name="_Toc28002"/>
      <w:bookmarkStart w:id="1199" w:name="_Toc501257243"/>
      <w:bookmarkStart w:id="1200" w:name="_Toc247514099"/>
      <w:bookmarkStart w:id="1201" w:name="_Toc387158386"/>
      <w:bookmarkStart w:id="1202" w:name="_Toc247527700"/>
      <w:bookmarkStart w:id="1203" w:name="_Toc385257017"/>
      <w:bookmarkStart w:id="1204" w:name="_Toc234833020"/>
      <w:bookmarkStart w:id="1205" w:name="_Toc382809742"/>
      <w:r>
        <w:rPr>
          <w:rFonts w:hint="default" w:ascii="Times New Roman" w:hAnsi="Times New Roman" w:cs="Times New Roman"/>
          <w:color w:val="auto"/>
          <w:sz w:val="24"/>
          <w:szCs w:val="24"/>
          <w:highlight w:val="none"/>
        </w:rPr>
        <w:t>8.3 场外交通</w:t>
      </w:r>
      <w:bookmarkEnd w:id="1197"/>
      <w:bookmarkEnd w:id="1198"/>
      <w:bookmarkEnd w:id="1199"/>
      <w:bookmarkEnd w:id="1200"/>
      <w:bookmarkEnd w:id="1201"/>
      <w:bookmarkEnd w:id="1202"/>
      <w:bookmarkEnd w:id="1203"/>
      <w:bookmarkEnd w:id="1204"/>
      <w:bookmarkEnd w:id="1205"/>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8.3.1 承包人车辆外出行驶所需的场外公共道路的通行费、养路费和税款等由承包人承担。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8.3.2 承包人应遵守有关交通法规，严格按照道路和桥梁的限制荷重安全行驶，并服从交通管理部门的检查和监督。</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206" w:name="_Toc247514100"/>
      <w:bookmarkStart w:id="1207" w:name="_Toc483"/>
      <w:bookmarkStart w:id="1208" w:name="_Toc385257018"/>
      <w:bookmarkStart w:id="1209" w:name="_Toc234833021"/>
      <w:bookmarkStart w:id="1210" w:name="_Toc247527701"/>
      <w:bookmarkStart w:id="1211" w:name="_Toc382809743"/>
      <w:bookmarkStart w:id="1212" w:name="_Toc23747708"/>
      <w:bookmarkStart w:id="1213" w:name="_Toc387158387"/>
      <w:bookmarkStart w:id="1214" w:name="_Toc501257244"/>
      <w:r>
        <w:rPr>
          <w:rFonts w:hint="default" w:ascii="Times New Roman" w:hAnsi="Times New Roman" w:cs="Times New Roman"/>
          <w:color w:val="auto"/>
          <w:sz w:val="24"/>
          <w:szCs w:val="24"/>
          <w:highlight w:val="none"/>
        </w:rPr>
        <w:t>8.4 超大件和超重件的运输</w:t>
      </w:r>
      <w:bookmarkEnd w:id="1206"/>
      <w:bookmarkEnd w:id="1207"/>
      <w:bookmarkEnd w:id="1208"/>
      <w:bookmarkEnd w:id="1209"/>
      <w:bookmarkEnd w:id="1210"/>
      <w:bookmarkEnd w:id="1211"/>
      <w:bookmarkEnd w:id="1212"/>
      <w:bookmarkEnd w:id="1213"/>
      <w:bookmarkEnd w:id="1214"/>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215" w:name="_Toc387158388"/>
      <w:bookmarkStart w:id="1216" w:name="_Toc247527702"/>
      <w:bookmarkStart w:id="1217" w:name="_Toc247514101"/>
      <w:bookmarkStart w:id="1218" w:name="_Toc385257019"/>
      <w:bookmarkStart w:id="1219" w:name="_Toc23747709"/>
      <w:bookmarkStart w:id="1220" w:name="_Toc24600"/>
      <w:bookmarkStart w:id="1221" w:name="_Toc234833022"/>
      <w:bookmarkStart w:id="1222" w:name="_Toc382809744"/>
      <w:bookmarkStart w:id="1223" w:name="_Toc501257245"/>
      <w:r>
        <w:rPr>
          <w:rFonts w:hint="default" w:ascii="Times New Roman" w:hAnsi="Times New Roman" w:cs="Times New Roman"/>
          <w:color w:val="auto"/>
          <w:sz w:val="24"/>
          <w:szCs w:val="24"/>
          <w:highlight w:val="none"/>
        </w:rPr>
        <w:t>8.5 道路和桥梁的损坏责任</w:t>
      </w:r>
      <w:bookmarkEnd w:id="1215"/>
      <w:bookmarkEnd w:id="1216"/>
      <w:bookmarkEnd w:id="1217"/>
      <w:bookmarkEnd w:id="1218"/>
      <w:bookmarkEnd w:id="1219"/>
      <w:bookmarkEnd w:id="1220"/>
      <w:bookmarkEnd w:id="1221"/>
      <w:bookmarkEnd w:id="1222"/>
      <w:bookmarkEnd w:id="122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因承包人运输造成施工场地内外公共道路和桥梁损坏的，由承包人承担修复损坏的全部费用和可能引起的赔偿。</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224" w:name="_Toc385257020"/>
      <w:bookmarkStart w:id="1225" w:name="_Toc2365"/>
      <w:bookmarkStart w:id="1226" w:name="_Toc382809745"/>
      <w:bookmarkStart w:id="1227" w:name="_Toc387158389"/>
      <w:bookmarkStart w:id="1228" w:name="_Toc501257246"/>
      <w:bookmarkStart w:id="1229" w:name="_Toc23747710"/>
      <w:bookmarkStart w:id="1230" w:name="_Toc247527703"/>
      <w:bookmarkStart w:id="1231" w:name="_Toc234833023"/>
      <w:bookmarkStart w:id="1232" w:name="_Toc247514102"/>
      <w:r>
        <w:rPr>
          <w:rFonts w:hint="default" w:ascii="Times New Roman" w:hAnsi="Times New Roman" w:cs="Times New Roman"/>
          <w:color w:val="auto"/>
          <w:sz w:val="24"/>
          <w:szCs w:val="24"/>
          <w:highlight w:val="none"/>
        </w:rPr>
        <w:t>8.6 水路和航空运输</w:t>
      </w:r>
      <w:bookmarkEnd w:id="1224"/>
      <w:bookmarkEnd w:id="1225"/>
      <w:bookmarkEnd w:id="1226"/>
      <w:bookmarkEnd w:id="1227"/>
      <w:bookmarkEnd w:id="1228"/>
      <w:bookmarkEnd w:id="1229"/>
      <w:bookmarkEnd w:id="1230"/>
      <w:bookmarkEnd w:id="1231"/>
      <w:bookmarkEnd w:id="123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本条上述各款的内容适用于水路运输和航空运输，其中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道路</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一词的涵义包括河道、航线、船闸、机场、码头、堤防以及水路或航空运输中其他相似结构物；</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车辆</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一词的涵义包括船舶和飞机等。</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233" w:name="_Toc234833024"/>
      <w:bookmarkStart w:id="1234" w:name="_Toc184635105"/>
      <w:bookmarkStart w:id="1235" w:name="_Toc247527704"/>
      <w:bookmarkStart w:id="1236" w:name="_Toc247514103"/>
      <w:bookmarkStart w:id="1237" w:name="_Toc501257247"/>
      <w:bookmarkStart w:id="1238" w:name="_Toc382809746"/>
      <w:bookmarkStart w:id="1239" w:name="_Toc385257021"/>
      <w:bookmarkStart w:id="1240" w:name="_Toc387158390"/>
      <w:bookmarkStart w:id="1241" w:name="_Toc23747711"/>
      <w:bookmarkStart w:id="1242" w:name="_Toc15790"/>
      <w:r>
        <w:rPr>
          <w:rFonts w:hint="default" w:ascii="Times New Roman" w:hAnsi="Times New Roman" w:cs="Times New Roman"/>
          <w:i w:val="0"/>
          <w:iCs w:val="0"/>
          <w:color w:val="auto"/>
          <w:szCs w:val="24"/>
          <w:highlight w:val="none"/>
        </w:rPr>
        <w:t>9. 测量放线</w:t>
      </w:r>
      <w:bookmarkEnd w:id="1233"/>
      <w:bookmarkEnd w:id="1234"/>
      <w:bookmarkEnd w:id="1235"/>
      <w:bookmarkEnd w:id="1236"/>
      <w:bookmarkEnd w:id="1237"/>
      <w:bookmarkEnd w:id="1238"/>
      <w:bookmarkEnd w:id="1239"/>
      <w:bookmarkEnd w:id="1240"/>
      <w:bookmarkEnd w:id="1241"/>
      <w:bookmarkEnd w:id="1242"/>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243" w:name="_Toc387158391"/>
      <w:bookmarkStart w:id="1244" w:name="_Toc24362"/>
      <w:bookmarkStart w:id="1245" w:name="_Toc247527705"/>
      <w:bookmarkStart w:id="1246" w:name="_Toc385257022"/>
      <w:bookmarkStart w:id="1247" w:name="_Toc501257248"/>
      <w:bookmarkStart w:id="1248" w:name="_Toc23747712"/>
      <w:bookmarkStart w:id="1249" w:name="_Toc234833025"/>
      <w:bookmarkStart w:id="1250" w:name="_Toc382809747"/>
      <w:bookmarkStart w:id="1251" w:name="_Toc247514104"/>
      <w:r>
        <w:rPr>
          <w:rFonts w:hint="default" w:ascii="Times New Roman" w:hAnsi="Times New Roman" w:cs="Times New Roman"/>
          <w:color w:val="auto"/>
          <w:sz w:val="24"/>
          <w:szCs w:val="24"/>
          <w:highlight w:val="none"/>
        </w:rPr>
        <w:t>9.1 施工控制网</w:t>
      </w:r>
      <w:bookmarkEnd w:id="1243"/>
      <w:bookmarkEnd w:id="1244"/>
      <w:bookmarkEnd w:id="1245"/>
      <w:bookmarkEnd w:id="1246"/>
      <w:bookmarkEnd w:id="1247"/>
      <w:bookmarkEnd w:id="1248"/>
      <w:bookmarkEnd w:id="1249"/>
      <w:bookmarkEnd w:id="1250"/>
      <w:bookmarkEnd w:id="125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9.1.1 发包人应在专用合同条款约定的期限内，通过监理人向承包人提供测量基准点、基准线和水准点及其书面资料。除专用合同条款另有约定外，承包人应根据国家测绘基准、测绘系统和工程测量技术规范，按上述基准点(线)以及合同工程精度要求，测设施工控制网，并在专用合同条款约定的期限内，将施工控制网资料报送监理人批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9.1.2 承包人应负责管理施工控制网点。施工控制网点丢失或损坏的，承包人应及时修复。承包人应承担施工控制网点的管理与修复费用，并在工程竣工后将施工控制网点移交发包人。</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252" w:name="_Toc247527706"/>
      <w:bookmarkStart w:id="1253" w:name="_Toc4863"/>
      <w:bookmarkStart w:id="1254" w:name="_Toc501257249"/>
      <w:bookmarkStart w:id="1255" w:name="_Toc23747713"/>
      <w:bookmarkStart w:id="1256" w:name="_Toc382809748"/>
      <w:bookmarkStart w:id="1257" w:name="_Toc247514105"/>
      <w:bookmarkStart w:id="1258" w:name="_Toc385257023"/>
      <w:bookmarkStart w:id="1259" w:name="_Toc234833026"/>
      <w:bookmarkStart w:id="1260" w:name="_Toc387158392"/>
      <w:r>
        <w:rPr>
          <w:rFonts w:hint="default" w:ascii="Times New Roman" w:hAnsi="Times New Roman" w:cs="Times New Roman"/>
          <w:color w:val="auto"/>
          <w:sz w:val="24"/>
          <w:szCs w:val="24"/>
          <w:highlight w:val="none"/>
        </w:rPr>
        <w:t>9.2 施工测量</w:t>
      </w:r>
      <w:bookmarkEnd w:id="1252"/>
      <w:bookmarkEnd w:id="1253"/>
      <w:bookmarkEnd w:id="1254"/>
      <w:bookmarkEnd w:id="1255"/>
      <w:bookmarkEnd w:id="1256"/>
      <w:bookmarkEnd w:id="1257"/>
      <w:bookmarkEnd w:id="1258"/>
      <w:bookmarkEnd w:id="1259"/>
      <w:bookmarkEnd w:id="1260"/>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9.2.1 承包人应负责施工过程中的全部施工测量放线工作，并配置合格的人员、仪器、设备和其他物品。</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9.2.2 监理人可以指示承包人进行抽样复测，当复测中发现错误或出现超过合同约定的误差时，承包人应按监理人指示进行修正或补测，并承担相应的复测费用。</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261" w:name="_Toc382809749"/>
      <w:bookmarkStart w:id="1262" w:name="_Toc247514106"/>
      <w:bookmarkStart w:id="1263" w:name="_Toc387158393"/>
      <w:bookmarkStart w:id="1264" w:name="_Toc234833027"/>
      <w:bookmarkStart w:id="1265" w:name="_Toc28825"/>
      <w:bookmarkStart w:id="1266" w:name="_Toc23747714"/>
      <w:bookmarkStart w:id="1267" w:name="_Toc501257250"/>
      <w:bookmarkStart w:id="1268" w:name="_Toc247527707"/>
      <w:bookmarkStart w:id="1269" w:name="_Toc385257024"/>
      <w:r>
        <w:rPr>
          <w:rFonts w:hint="default" w:ascii="Times New Roman" w:hAnsi="Times New Roman" w:cs="Times New Roman"/>
          <w:color w:val="auto"/>
          <w:sz w:val="24"/>
          <w:szCs w:val="24"/>
          <w:highlight w:val="none"/>
        </w:rPr>
        <w:t>9.3 基准资料错误的责任</w:t>
      </w:r>
      <w:bookmarkEnd w:id="1261"/>
      <w:bookmarkEnd w:id="1262"/>
      <w:bookmarkEnd w:id="1263"/>
      <w:bookmarkEnd w:id="1264"/>
      <w:bookmarkEnd w:id="1265"/>
      <w:bookmarkEnd w:id="1266"/>
      <w:bookmarkEnd w:id="1267"/>
      <w:bookmarkEnd w:id="1268"/>
      <w:bookmarkEnd w:id="1269"/>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对其提供的测量基准点、基准线和水准点及其书面资料的真实性、准确性和完整性负责，对其提供上述基准资料错误导致承包人损失的，发包人应当承担由此增加的费用和(或)工期延误，并向承包人支付合理利润。承包人应在设计或施工中对上述资料的准确性进行核实，发现存在明显错误或疏忽的，应及时通知监理人。</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270" w:name="_Toc26288"/>
      <w:bookmarkStart w:id="1271" w:name="_Toc501257251"/>
      <w:bookmarkStart w:id="1272" w:name="_Toc234833028"/>
      <w:bookmarkStart w:id="1273" w:name="_Toc247527708"/>
      <w:bookmarkStart w:id="1274" w:name="_Toc23747715"/>
      <w:bookmarkStart w:id="1275" w:name="_Toc387158394"/>
      <w:bookmarkStart w:id="1276" w:name="_Toc247514107"/>
      <w:bookmarkStart w:id="1277" w:name="_Toc385257025"/>
      <w:bookmarkStart w:id="1278" w:name="_Toc382809750"/>
      <w:r>
        <w:rPr>
          <w:rFonts w:hint="default" w:ascii="Times New Roman" w:hAnsi="Times New Roman" w:cs="Times New Roman"/>
          <w:color w:val="auto"/>
          <w:sz w:val="24"/>
          <w:szCs w:val="24"/>
          <w:highlight w:val="none"/>
        </w:rPr>
        <w:t>9.4 监理人使用施工控制网</w:t>
      </w:r>
      <w:bookmarkEnd w:id="1270"/>
      <w:bookmarkEnd w:id="1271"/>
      <w:bookmarkEnd w:id="1272"/>
      <w:bookmarkEnd w:id="1273"/>
      <w:bookmarkEnd w:id="1274"/>
      <w:bookmarkEnd w:id="1275"/>
      <w:bookmarkEnd w:id="1276"/>
      <w:bookmarkEnd w:id="1277"/>
      <w:bookmarkEnd w:id="1278"/>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监理人需要使用施工控制网的，承包人应提供必要的协助，发包人不再为此支付费用。</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279" w:name="_Toc247527709"/>
      <w:bookmarkStart w:id="1280" w:name="_Toc10536"/>
      <w:bookmarkStart w:id="1281" w:name="_Toc501257252"/>
      <w:bookmarkStart w:id="1282" w:name="_Toc234833029"/>
      <w:bookmarkStart w:id="1283" w:name="_Toc387158395"/>
      <w:bookmarkStart w:id="1284" w:name="_Toc23747716"/>
      <w:bookmarkStart w:id="1285" w:name="_Toc247514108"/>
      <w:bookmarkStart w:id="1286" w:name="_Toc385257026"/>
      <w:bookmarkStart w:id="1287" w:name="_Toc382809751"/>
      <w:bookmarkStart w:id="1288" w:name="_Toc184635106"/>
      <w:r>
        <w:rPr>
          <w:rFonts w:hint="default" w:ascii="Times New Roman" w:hAnsi="Times New Roman" w:cs="Times New Roman"/>
          <w:i w:val="0"/>
          <w:iCs w:val="0"/>
          <w:color w:val="auto"/>
          <w:szCs w:val="24"/>
          <w:highlight w:val="none"/>
        </w:rPr>
        <w:t>10. 安全、治安保卫和环境保护</w:t>
      </w:r>
      <w:bookmarkEnd w:id="1279"/>
      <w:bookmarkEnd w:id="1280"/>
      <w:bookmarkEnd w:id="1281"/>
      <w:bookmarkEnd w:id="1282"/>
      <w:bookmarkEnd w:id="1283"/>
      <w:bookmarkEnd w:id="1284"/>
      <w:bookmarkEnd w:id="1285"/>
      <w:bookmarkEnd w:id="1286"/>
      <w:bookmarkEnd w:id="1287"/>
      <w:bookmarkEnd w:id="1288"/>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289" w:name="_Toc501257253"/>
      <w:bookmarkStart w:id="1290" w:name="_Toc234833030"/>
      <w:bookmarkStart w:id="1291" w:name="_Toc382809752"/>
      <w:bookmarkStart w:id="1292" w:name="_Toc247527710"/>
      <w:bookmarkStart w:id="1293" w:name="_Toc385257027"/>
      <w:bookmarkStart w:id="1294" w:name="_Toc23747717"/>
      <w:bookmarkStart w:id="1295" w:name="_Toc247514109"/>
      <w:bookmarkStart w:id="1296" w:name="_Toc16180"/>
      <w:bookmarkStart w:id="1297" w:name="_Toc387158396"/>
      <w:r>
        <w:rPr>
          <w:rFonts w:hint="default" w:ascii="Times New Roman" w:hAnsi="Times New Roman" w:cs="Times New Roman"/>
          <w:color w:val="auto"/>
          <w:sz w:val="24"/>
          <w:szCs w:val="24"/>
          <w:highlight w:val="none"/>
        </w:rPr>
        <w:t xml:space="preserve">10.1 </w:t>
      </w:r>
      <w:bookmarkEnd w:id="1289"/>
      <w:bookmarkEnd w:id="1290"/>
      <w:r>
        <w:rPr>
          <w:rFonts w:hint="default" w:ascii="Times New Roman" w:hAnsi="Times New Roman" w:cs="Times New Roman"/>
          <w:color w:val="auto"/>
          <w:sz w:val="24"/>
          <w:szCs w:val="24"/>
          <w:highlight w:val="none"/>
        </w:rPr>
        <w:t>发包人的安全责任</w:t>
      </w:r>
      <w:bookmarkEnd w:id="1291"/>
      <w:bookmarkEnd w:id="1292"/>
      <w:bookmarkEnd w:id="1293"/>
      <w:bookmarkEnd w:id="1294"/>
      <w:bookmarkEnd w:id="1295"/>
      <w:bookmarkEnd w:id="1296"/>
      <w:bookmarkEnd w:id="1297"/>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10.1.1 发包人应按合同约定履行安全职责，授权监理人按合同约定的安全工作内容监督、检查承包人安全工作的实施，组织承包人和有关单位进行安全检查。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10.1.2 发包人应对其现场机构雇佣的全部人员的工伤事故承担责任，但由于承包人原因造成发包人人员工伤的，应由承包人承担责任。</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10.1.3 发包人应负责赔偿以下各种情况造成的第三者人身伤亡和财产损失：</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(1)工程或工程的任何部分对土地的占用所造成的第三者财产损失；</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(2)由于发包人原因在施工场地及其毗邻地带、履行合同工作中造成的第三者人身伤亡和财产损失。</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298" w:name="_Toc501257254"/>
      <w:bookmarkStart w:id="1299" w:name="_Toc234833031"/>
      <w:bookmarkStart w:id="1300" w:name="_Toc382809753"/>
      <w:bookmarkStart w:id="1301" w:name="_Toc385257028"/>
      <w:bookmarkStart w:id="1302" w:name="_Toc16808"/>
      <w:bookmarkStart w:id="1303" w:name="_Toc23747718"/>
      <w:bookmarkStart w:id="1304" w:name="_Toc247514110"/>
      <w:bookmarkStart w:id="1305" w:name="_Toc247527711"/>
      <w:bookmarkStart w:id="1306" w:name="_Toc387158397"/>
      <w:r>
        <w:rPr>
          <w:rFonts w:hint="default" w:ascii="Times New Roman" w:hAnsi="Times New Roman" w:cs="Times New Roman"/>
          <w:color w:val="auto"/>
          <w:sz w:val="24"/>
          <w:szCs w:val="24"/>
          <w:highlight w:val="none"/>
        </w:rPr>
        <w:t xml:space="preserve">10.2 </w:t>
      </w:r>
      <w:bookmarkEnd w:id="1298"/>
      <w:bookmarkEnd w:id="1299"/>
      <w:r>
        <w:rPr>
          <w:rFonts w:hint="default" w:ascii="Times New Roman" w:hAnsi="Times New Roman" w:cs="Times New Roman"/>
          <w:color w:val="auto"/>
          <w:sz w:val="24"/>
          <w:szCs w:val="24"/>
          <w:highlight w:val="none"/>
        </w:rPr>
        <w:t>承包人的安全责任</w:t>
      </w:r>
      <w:bookmarkEnd w:id="1300"/>
      <w:bookmarkEnd w:id="1301"/>
      <w:bookmarkEnd w:id="1302"/>
      <w:bookmarkEnd w:id="1303"/>
      <w:bookmarkEnd w:id="1304"/>
      <w:bookmarkEnd w:id="1305"/>
      <w:bookmarkEnd w:id="130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10.2.1 承包人应按合同约定履行安全职责，执行监理人有关安全工作的指示，并在专用合同条款约定的期限内，按合同约定的安全工作内容，编制安全措施计划报送监理人批准。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10.2.2 承包人按照合同约定需要进行勘察的，应严格执行操作规程，采取措施保证各类管线、设施和周边建筑物、构筑物的安全。</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10.2.3 承包人应当按照法律、法规和工程建设强制性标准进行设计，在设计文件中注明涉及施工安全的重点部位和环节，提出保障施工作业人员和预防安全事故的措施建议，防止因设计不合理导致生产安全事故的发生。</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10.2.4 承包人应加强施工作业安全管理，特别应加强易燃、易爆材料、火工器材、有毒与腐蚀性材料和其他危险品的管理，以及对爆破作业和地下工程施工等危险作业的管理。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10.2.5 承包人应严格按照国家安全标准制定施工安全操作规程，配备必要的安全生产和劳动保护设施，加强对承包人人员的安全教育，并发放安全工作手册和劳动保护用具。</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10.2.6 承包人应按监理人的指示制定应对灾害的紧急预案，报送监理人批准。承包人还应按预案做好安全检查，配置必要的救助物资和器材，切实保护好有关人员的人身和财产安全。</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10.2.7 合同约定的安全作业环境及安全施工措施所需费用应遵守有关规定，并包括在相关工作的合同价格中。因采取合同未约定的安全作业环境及安全施工措施增加的费用，由监理人按第3.5 款商定或确定。</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10.2.8 承包人应对其履行合同所雇佣的全部人员，包括分包人人员的工伤事故承担责任，但由于发包人原因造成承包人人员工伤事故的，应由发包人承担责任。</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10.2.9 由于承包人原因在施工场地内及其毗邻地带造成的第三者人员伤亡和财产损失，由承包人负责赔偿。</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307" w:name="_Toc5555"/>
      <w:bookmarkStart w:id="1308" w:name="_Toc387158398"/>
      <w:bookmarkStart w:id="1309" w:name="_Toc247514111"/>
      <w:bookmarkStart w:id="1310" w:name="_Toc385257029"/>
      <w:bookmarkStart w:id="1311" w:name="_Toc247527712"/>
      <w:bookmarkStart w:id="1312" w:name="_Toc382809754"/>
      <w:bookmarkStart w:id="1313" w:name="_Toc23747719"/>
      <w:bookmarkStart w:id="1314" w:name="_Toc234833032"/>
      <w:bookmarkStart w:id="1315" w:name="_Toc501257255"/>
      <w:r>
        <w:rPr>
          <w:rFonts w:hint="default" w:ascii="Times New Roman" w:hAnsi="Times New Roman" w:cs="Times New Roman"/>
          <w:color w:val="auto"/>
          <w:sz w:val="24"/>
          <w:szCs w:val="24"/>
          <w:highlight w:val="none"/>
        </w:rPr>
        <w:t>10.3 治安保卫</w:t>
      </w:r>
      <w:bookmarkEnd w:id="1307"/>
      <w:bookmarkEnd w:id="1308"/>
      <w:bookmarkEnd w:id="1309"/>
      <w:bookmarkEnd w:id="1310"/>
      <w:bookmarkEnd w:id="1311"/>
      <w:bookmarkEnd w:id="1312"/>
      <w:bookmarkEnd w:id="1313"/>
      <w:bookmarkEnd w:id="1314"/>
      <w:bookmarkEnd w:id="1315"/>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10.3.1 除合同另有约定外，承包人应与当地公安部门协商，在现场建立治安管理机构或联防组织，统一管理施工场地的治安保卫事项，履行合同工程的治安保卫职责。</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10.3.2 发包人和承包人除应协助现场治安管理机构或联防组织维护施工场地的社会治安外，还应做好包括生活区在内的各自管辖区的治安保卫工作。</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10.3.3 除合同另有约定外，承包人应编制施工场地治安管理计划，并制定应对突发治安事件的紧急预案，报监理人批准。自承包人进入施工现场，至发包人接收工程的期间，施工现场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316" w:name="_Toc247514112"/>
      <w:bookmarkStart w:id="1317" w:name="_Toc23747720"/>
      <w:bookmarkStart w:id="1318" w:name="_Toc247527713"/>
      <w:bookmarkStart w:id="1319" w:name="_Toc382809755"/>
      <w:bookmarkStart w:id="1320" w:name="_Toc501257256"/>
      <w:bookmarkStart w:id="1321" w:name="_Toc387158399"/>
      <w:bookmarkStart w:id="1322" w:name="_Toc19405"/>
      <w:bookmarkStart w:id="1323" w:name="_Toc234833033"/>
      <w:bookmarkStart w:id="1324" w:name="_Toc385257030"/>
      <w:r>
        <w:rPr>
          <w:rFonts w:hint="default" w:ascii="Times New Roman" w:hAnsi="Times New Roman" w:cs="Times New Roman"/>
          <w:color w:val="auto"/>
          <w:sz w:val="24"/>
          <w:szCs w:val="24"/>
          <w:highlight w:val="none"/>
        </w:rPr>
        <w:t>10.4 环境保护</w:t>
      </w:r>
      <w:bookmarkEnd w:id="1316"/>
      <w:bookmarkEnd w:id="1317"/>
      <w:bookmarkEnd w:id="1318"/>
      <w:bookmarkEnd w:id="1319"/>
      <w:bookmarkEnd w:id="1320"/>
      <w:bookmarkEnd w:id="1321"/>
      <w:bookmarkEnd w:id="1322"/>
      <w:bookmarkEnd w:id="1323"/>
      <w:bookmarkEnd w:id="1324"/>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10.4.1 承包人在履行合同过程中，应遵守有关环境保护的法律，履行合同约定的环境保护义务，并对违反法律和合同约定义务所造成的环境破坏、人身伤害和财产损失负责。</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10.4.2 承包人应按合同约定的环保工作内容，编制环保措施计划，报送监理人批准。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bookmarkStart w:id="1325" w:name="_Toc501257257"/>
      <w:bookmarkStart w:id="1326" w:name="_Toc234833034"/>
      <w:r>
        <w:rPr>
          <w:rFonts w:hint="default" w:ascii="Times New Roman" w:hAnsi="Times New Roman" w:cs="Times New Roman"/>
          <w:color w:val="auto"/>
          <w:sz w:val="24"/>
          <w:highlight w:val="none"/>
        </w:rPr>
        <w:t>10.4.3 承包人应确保施工过程中产生的气体排放物、粉尘、噪声、地面排水及排污等，符合法律规定和发包人要求。</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327" w:name="_Toc1401"/>
      <w:bookmarkStart w:id="1328" w:name="_Toc23747721"/>
      <w:bookmarkStart w:id="1329" w:name="_Toc382809756"/>
      <w:bookmarkStart w:id="1330" w:name="_Toc247514113"/>
      <w:bookmarkStart w:id="1331" w:name="_Toc385257031"/>
      <w:bookmarkStart w:id="1332" w:name="_Toc247527714"/>
      <w:bookmarkStart w:id="1333" w:name="_Toc387158400"/>
      <w:r>
        <w:rPr>
          <w:rFonts w:hint="default" w:ascii="Times New Roman" w:hAnsi="Times New Roman" w:cs="Times New Roman"/>
          <w:color w:val="auto"/>
          <w:sz w:val="24"/>
          <w:szCs w:val="24"/>
          <w:highlight w:val="none"/>
        </w:rPr>
        <w:t>10.5 事故处理</w:t>
      </w:r>
      <w:bookmarkEnd w:id="1325"/>
      <w:bookmarkEnd w:id="1326"/>
      <w:bookmarkEnd w:id="1327"/>
      <w:bookmarkEnd w:id="1328"/>
      <w:bookmarkEnd w:id="1329"/>
      <w:bookmarkEnd w:id="1330"/>
      <w:bookmarkEnd w:id="1331"/>
      <w:bookmarkEnd w:id="1332"/>
      <w:bookmarkEnd w:id="133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履行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334" w:name="_Toc234833038"/>
      <w:bookmarkStart w:id="1335" w:name="_Toc501257261"/>
      <w:bookmarkStart w:id="1336" w:name="_Toc23747722"/>
      <w:bookmarkStart w:id="1337" w:name="_Toc247527715"/>
      <w:bookmarkStart w:id="1338" w:name="_Toc382809757"/>
      <w:bookmarkStart w:id="1339" w:name="_Toc11386"/>
      <w:bookmarkStart w:id="1340" w:name="_Toc385257032"/>
      <w:bookmarkStart w:id="1341" w:name="_Toc184635108"/>
      <w:bookmarkStart w:id="1342" w:name="_Toc387158401"/>
      <w:bookmarkStart w:id="1343" w:name="_Toc247514114"/>
      <w:r>
        <w:rPr>
          <w:rFonts w:hint="default" w:ascii="Times New Roman" w:hAnsi="Times New Roman" w:cs="Times New Roman"/>
          <w:i w:val="0"/>
          <w:iCs w:val="0"/>
          <w:color w:val="auto"/>
          <w:szCs w:val="24"/>
          <w:highlight w:val="none"/>
        </w:rPr>
        <w:t xml:space="preserve">11. </w:t>
      </w:r>
      <w:bookmarkEnd w:id="1334"/>
      <w:bookmarkEnd w:id="1335"/>
      <w:r>
        <w:rPr>
          <w:rFonts w:hint="default" w:ascii="Times New Roman" w:hAnsi="Times New Roman" w:cs="Times New Roman"/>
          <w:i w:val="0"/>
          <w:iCs w:val="0"/>
          <w:color w:val="auto"/>
          <w:szCs w:val="24"/>
          <w:highlight w:val="none"/>
        </w:rPr>
        <w:t>开始工作和竣工</w:t>
      </w:r>
      <w:bookmarkEnd w:id="1336"/>
      <w:bookmarkEnd w:id="1337"/>
      <w:bookmarkEnd w:id="1338"/>
      <w:bookmarkEnd w:id="1339"/>
      <w:bookmarkEnd w:id="1340"/>
      <w:bookmarkEnd w:id="1341"/>
      <w:bookmarkEnd w:id="1342"/>
      <w:bookmarkEnd w:id="1343"/>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344" w:name="_Toc234833039"/>
      <w:bookmarkStart w:id="1345" w:name="_Toc501257262"/>
      <w:bookmarkStart w:id="1346" w:name="_Toc387158402"/>
      <w:bookmarkStart w:id="1347" w:name="_Toc247527716"/>
      <w:bookmarkStart w:id="1348" w:name="_Toc382809758"/>
      <w:bookmarkStart w:id="1349" w:name="_Toc385257033"/>
      <w:bookmarkStart w:id="1350" w:name="_Toc23747723"/>
      <w:bookmarkStart w:id="1351" w:name="_Toc17306"/>
      <w:bookmarkStart w:id="1352" w:name="_Toc247514115"/>
      <w:r>
        <w:rPr>
          <w:rFonts w:hint="default" w:ascii="Times New Roman" w:hAnsi="Times New Roman" w:cs="Times New Roman"/>
          <w:color w:val="auto"/>
          <w:sz w:val="24"/>
          <w:szCs w:val="24"/>
          <w:highlight w:val="none"/>
        </w:rPr>
        <w:t xml:space="preserve">11.1 </w:t>
      </w:r>
      <w:bookmarkEnd w:id="1344"/>
      <w:bookmarkEnd w:id="1345"/>
      <w:r>
        <w:rPr>
          <w:rFonts w:hint="default" w:ascii="Times New Roman" w:hAnsi="Times New Roman" w:cs="Times New Roman"/>
          <w:color w:val="auto"/>
          <w:sz w:val="24"/>
          <w:szCs w:val="24"/>
          <w:highlight w:val="none"/>
        </w:rPr>
        <w:t>开始工作</w:t>
      </w:r>
      <w:bookmarkEnd w:id="1346"/>
      <w:bookmarkEnd w:id="1347"/>
      <w:bookmarkEnd w:id="1348"/>
      <w:bookmarkEnd w:id="1349"/>
      <w:bookmarkEnd w:id="1350"/>
      <w:bookmarkEnd w:id="1351"/>
      <w:bookmarkEnd w:id="135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符合专用合同条款约定的开始工作的条件的，监理人应提前7天向承包人发出开始工作通知。监理人在发出开始工作通知前应获得发包人同意。工期自开始工作通知中载明的开始工作日期起计算。除专用合同条款另有约定外，因发包人原因造成监理人未能在合同签订之日起90天内发出开始工作通知的，承包人有权提出价格调整要求，或者解除合同。发包人应当承担由此增加的费用和(或)工期延误，并向承包人支付合理利润。</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353" w:name="_Toc247527717"/>
      <w:bookmarkStart w:id="1354" w:name="_Toc501257263"/>
      <w:bookmarkStart w:id="1355" w:name="_Toc385257034"/>
      <w:bookmarkStart w:id="1356" w:name="_Toc23747724"/>
      <w:bookmarkStart w:id="1357" w:name="_Toc234833040"/>
      <w:bookmarkStart w:id="1358" w:name="_Toc382809759"/>
      <w:bookmarkStart w:id="1359" w:name="_Toc321"/>
      <w:bookmarkStart w:id="1360" w:name="_Toc247514116"/>
      <w:bookmarkStart w:id="1361" w:name="_Toc387158403"/>
      <w:r>
        <w:rPr>
          <w:rFonts w:hint="default" w:ascii="Times New Roman" w:hAnsi="Times New Roman" w:cs="Times New Roman"/>
          <w:color w:val="auto"/>
          <w:sz w:val="24"/>
          <w:szCs w:val="24"/>
          <w:highlight w:val="none"/>
        </w:rPr>
        <w:t>11.2 竣工</w:t>
      </w:r>
      <w:bookmarkEnd w:id="1353"/>
      <w:bookmarkEnd w:id="1354"/>
      <w:bookmarkEnd w:id="1355"/>
      <w:bookmarkEnd w:id="1356"/>
      <w:bookmarkEnd w:id="1357"/>
      <w:bookmarkEnd w:id="1358"/>
      <w:bookmarkEnd w:id="1359"/>
      <w:bookmarkEnd w:id="1360"/>
      <w:bookmarkEnd w:id="136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承包人应在第1.1.4.3</w:t>
      </w:r>
      <w:bookmarkStart w:id="1362" w:name="_Toc501257264"/>
      <w:bookmarkStart w:id="1363" w:name="_Toc234833041"/>
      <w:r>
        <w:rPr>
          <w:rFonts w:hint="default" w:ascii="Times New Roman" w:hAnsi="Times New Roman" w:cs="Times New Roman"/>
          <w:color w:val="auto"/>
          <w:sz w:val="24"/>
          <w:highlight w:val="none"/>
        </w:rPr>
        <w:t xml:space="preserve"> </w:t>
      </w:r>
      <w:bookmarkEnd w:id="1362"/>
      <w:bookmarkEnd w:id="1363"/>
      <w:r>
        <w:rPr>
          <w:rFonts w:hint="default" w:ascii="Times New Roman" w:hAnsi="Times New Roman" w:cs="Times New Roman"/>
          <w:color w:val="auto"/>
          <w:sz w:val="24"/>
          <w:highlight w:val="none"/>
        </w:rPr>
        <w:t>目约定的期限内完成合同工作。实际竣工日期按第18.3款约定确定，并在工程接收证书中载明。</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364" w:name="_Toc23747725"/>
      <w:bookmarkStart w:id="1365" w:name="_Toc385257035"/>
      <w:bookmarkStart w:id="1366" w:name="_Toc2280"/>
      <w:bookmarkStart w:id="1367" w:name="_Toc387158404"/>
      <w:bookmarkStart w:id="1368" w:name="_Toc247527718"/>
      <w:bookmarkStart w:id="1369" w:name="_Toc247514117"/>
      <w:bookmarkStart w:id="1370" w:name="_Toc382809760"/>
      <w:r>
        <w:rPr>
          <w:rFonts w:hint="default" w:ascii="Times New Roman" w:hAnsi="Times New Roman" w:cs="Times New Roman"/>
          <w:color w:val="auto"/>
          <w:sz w:val="24"/>
          <w:szCs w:val="24"/>
          <w:highlight w:val="none"/>
        </w:rPr>
        <w:t>11.3 发包人引起的工期延误</w:t>
      </w:r>
      <w:bookmarkEnd w:id="1364"/>
      <w:bookmarkEnd w:id="1365"/>
      <w:bookmarkEnd w:id="1366"/>
      <w:bookmarkEnd w:id="1367"/>
      <w:bookmarkEnd w:id="1368"/>
      <w:bookmarkEnd w:id="1369"/>
      <w:bookmarkEnd w:id="1370"/>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在履行合同过程中，由于发包人的下列原因造成工期延误的，承包人有权要求发包人延长工期和(或)增加费用，并支付合理利润。需要修订合同进度计划的，按照第4.12.2项的约定执行。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(l)变更；</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(2)未能按照合同要求的期限对承包人文件进行审查；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(3)因发包人原因导致的暂停施工；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未按合同约定及时支付预付款、进度款；</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发包人按第9.3款提供的基准资料错误；</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(6)发包人按第6.2款迟延提供材料、工程设备或变更交货地点的；</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(7)发包人未及时按照</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发包人要求</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履行相关义务；</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(8)发包人造成工期延误的其他原因。</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371" w:name="_Toc234833042"/>
      <w:bookmarkStart w:id="1372" w:name="_Toc4880"/>
      <w:bookmarkStart w:id="1373" w:name="_Toc385257036"/>
      <w:bookmarkStart w:id="1374" w:name="_Toc247514118"/>
      <w:bookmarkStart w:id="1375" w:name="_Toc501257265"/>
      <w:bookmarkStart w:id="1376" w:name="_Toc23747726"/>
      <w:bookmarkStart w:id="1377" w:name="_Toc387158405"/>
      <w:bookmarkStart w:id="1378" w:name="_Toc247527719"/>
      <w:bookmarkStart w:id="1379" w:name="_Toc382809761"/>
      <w:r>
        <w:rPr>
          <w:rFonts w:hint="default" w:ascii="Times New Roman" w:hAnsi="Times New Roman" w:cs="Times New Roman"/>
          <w:color w:val="auto"/>
          <w:sz w:val="24"/>
          <w:szCs w:val="24"/>
          <w:highlight w:val="none"/>
        </w:rPr>
        <w:t>11.4 异常恶劣的气候条件</w:t>
      </w:r>
      <w:bookmarkEnd w:id="1371"/>
      <w:bookmarkEnd w:id="1372"/>
      <w:bookmarkEnd w:id="1373"/>
      <w:bookmarkEnd w:id="1374"/>
      <w:bookmarkEnd w:id="1375"/>
      <w:bookmarkEnd w:id="1376"/>
      <w:bookmarkEnd w:id="1377"/>
      <w:bookmarkEnd w:id="1378"/>
      <w:bookmarkEnd w:id="1379"/>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由于出现专用合同条款规定的异常恶劣气候的条件导致工期延误的，承包人有权要求发包人延长工期和(或)增加费用。</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380" w:name="_Toc234833043"/>
      <w:bookmarkStart w:id="1381" w:name="_Toc501257266"/>
      <w:bookmarkStart w:id="1382" w:name="_Toc385257037"/>
      <w:bookmarkStart w:id="1383" w:name="_Toc247527720"/>
      <w:bookmarkStart w:id="1384" w:name="_Toc23747727"/>
      <w:bookmarkStart w:id="1385" w:name="_Toc387158406"/>
      <w:bookmarkStart w:id="1386" w:name="_Toc382809762"/>
      <w:bookmarkStart w:id="1387" w:name="_Toc10355"/>
      <w:bookmarkStart w:id="1388" w:name="_Toc247514119"/>
      <w:r>
        <w:rPr>
          <w:rFonts w:hint="default" w:ascii="Times New Roman" w:hAnsi="Times New Roman" w:cs="Times New Roman"/>
          <w:color w:val="auto"/>
          <w:sz w:val="24"/>
          <w:szCs w:val="24"/>
          <w:highlight w:val="none"/>
        </w:rPr>
        <w:t xml:space="preserve">11.5 </w:t>
      </w:r>
      <w:bookmarkEnd w:id="1380"/>
      <w:bookmarkEnd w:id="1381"/>
      <w:r>
        <w:rPr>
          <w:rFonts w:hint="default" w:ascii="Times New Roman" w:hAnsi="Times New Roman" w:cs="Times New Roman"/>
          <w:color w:val="auto"/>
          <w:sz w:val="24"/>
          <w:szCs w:val="24"/>
          <w:highlight w:val="none"/>
        </w:rPr>
        <w:t>承包人引起的工期延误</w:t>
      </w:r>
      <w:bookmarkEnd w:id="1382"/>
      <w:bookmarkEnd w:id="1383"/>
      <w:bookmarkEnd w:id="1384"/>
      <w:bookmarkEnd w:id="1385"/>
      <w:bookmarkEnd w:id="1386"/>
      <w:bookmarkEnd w:id="1387"/>
      <w:bookmarkEnd w:id="1388"/>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承包人原因，未能按合同进度计划完成工作，或监理人认为承包人工作进度不能满足合同工期要求的，承包人应采取措施加快进度，并承担加快进度所增加的费用。由于承包人原因造成工期延误，承包人应支付逾期竣工违约金。逾期竣工违约金的计算方法和最高限额在专用合同条款中约定。承包人支付逾期竣工违约金，不免除承包人完成工作及修补缺陷的义务。</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389" w:name="_Toc234833044"/>
      <w:bookmarkStart w:id="1390" w:name="_Toc23747728"/>
      <w:bookmarkStart w:id="1391" w:name="_Toc18214"/>
      <w:bookmarkStart w:id="1392" w:name="_Toc501257267"/>
      <w:bookmarkStart w:id="1393" w:name="_Toc247514120"/>
      <w:bookmarkStart w:id="1394" w:name="_Toc382809763"/>
      <w:bookmarkStart w:id="1395" w:name="_Toc385257038"/>
      <w:bookmarkStart w:id="1396" w:name="_Toc387158407"/>
      <w:bookmarkStart w:id="1397" w:name="_Toc247527721"/>
      <w:r>
        <w:rPr>
          <w:rFonts w:hint="default" w:ascii="Times New Roman" w:hAnsi="Times New Roman" w:cs="Times New Roman"/>
          <w:color w:val="auto"/>
          <w:sz w:val="24"/>
          <w:szCs w:val="24"/>
          <w:highlight w:val="none"/>
        </w:rPr>
        <w:t>11.6 工期提前</w:t>
      </w:r>
      <w:bookmarkEnd w:id="1389"/>
      <w:bookmarkEnd w:id="1390"/>
      <w:bookmarkEnd w:id="1391"/>
      <w:bookmarkEnd w:id="1392"/>
      <w:bookmarkEnd w:id="1393"/>
      <w:bookmarkEnd w:id="1394"/>
      <w:bookmarkEnd w:id="1395"/>
      <w:bookmarkEnd w:id="1396"/>
      <w:bookmarkEnd w:id="1397"/>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专用合同条款约定的相应奖金。</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398" w:name="_Toc387158408"/>
      <w:bookmarkStart w:id="1399" w:name="_Toc7977"/>
      <w:bookmarkStart w:id="1400" w:name="_Toc382809764"/>
      <w:bookmarkStart w:id="1401" w:name="_Toc385257039"/>
      <w:bookmarkStart w:id="1402" w:name="_Toc23747729"/>
      <w:r>
        <w:rPr>
          <w:rFonts w:hint="default" w:ascii="Times New Roman" w:hAnsi="Times New Roman" w:cs="Times New Roman"/>
          <w:color w:val="auto"/>
          <w:sz w:val="24"/>
          <w:szCs w:val="24"/>
          <w:highlight w:val="none"/>
        </w:rPr>
        <w:t>11.7 行政审批迟延</w:t>
      </w:r>
      <w:bookmarkEnd w:id="1398"/>
      <w:bookmarkEnd w:id="1399"/>
      <w:bookmarkEnd w:id="1400"/>
      <w:bookmarkEnd w:id="1401"/>
      <w:bookmarkEnd w:id="140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合同约定范围内的工作需国家有关部门审批的，发包人和(或)承包人应按照合同约定的职责分工完成行政审批报送。因国家有关部门审批迟延造成费用增加和(或)工期延误的，由发包人承担。</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403" w:name="_Toc234833045"/>
      <w:bookmarkStart w:id="1404" w:name="_Toc501257268"/>
      <w:bookmarkStart w:id="1405" w:name="_Toc247514121"/>
      <w:bookmarkStart w:id="1406" w:name="_Toc18623"/>
      <w:bookmarkStart w:id="1407" w:name="_Toc385257040"/>
      <w:bookmarkStart w:id="1408" w:name="_Toc23747730"/>
      <w:bookmarkStart w:id="1409" w:name="_Toc387158409"/>
      <w:bookmarkStart w:id="1410" w:name="_Toc247527722"/>
      <w:bookmarkStart w:id="1411" w:name="_Toc184635109"/>
      <w:bookmarkStart w:id="1412" w:name="_Toc382809765"/>
      <w:r>
        <w:rPr>
          <w:rFonts w:hint="default" w:ascii="Times New Roman" w:hAnsi="Times New Roman" w:cs="Times New Roman"/>
          <w:i w:val="0"/>
          <w:iCs w:val="0"/>
          <w:color w:val="auto"/>
          <w:szCs w:val="24"/>
          <w:highlight w:val="none"/>
        </w:rPr>
        <w:t xml:space="preserve">12. </w:t>
      </w:r>
      <w:bookmarkEnd w:id="1403"/>
      <w:bookmarkEnd w:id="1404"/>
      <w:r>
        <w:rPr>
          <w:rFonts w:hint="default" w:ascii="Times New Roman" w:hAnsi="Times New Roman" w:cs="Times New Roman"/>
          <w:i w:val="0"/>
          <w:iCs w:val="0"/>
          <w:color w:val="auto"/>
          <w:szCs w:val="24"/>
          <w:highlight w:val="none"/>
        </w:rPr>
        <w:t>暂停工作</w:t>
      </w:r>
      <w:bookmarkEnd w:id="1405"/>
      <w:bookmarkEnd w:id="1406"/>
      <w:bookmarkEnd w:id="1407"/>
      <w:bookmarkEnd w:id="1408"/>
      <w:bookmarkEnd w:id="1409"/>
      <w:bookmarkEnd w:id="1410"/>
      <w:bookmarkEnd w:id="1411"/>
      <w:bookmarkEnd w:id="1412"/>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413" w:name="_Toc234833046"/>
      <w:bookmarkStart w:id="1414" w:name="_Toc501257269"/>
      <w:bookmarkStart w:id="1415" w:name="_Toc23747731"/>
      <w:bookmarkStart w:id="1416" w:name="_Toc3407"/>
      <w:bookmarkStart w:id="1417" w:name="_Toc387158410"/>
      <w:bookmarkStart w:id="1418" w:name="_Toc385257041"/>
      <w:bookmarkStart w:id="1419" w:name="_Toc382809766"/>
      <w:bookmarkStart w:id="1420" w:name="_Toc247514127"/>
      <w:bookmarkStart w:id="1421" w:name="_Toc247527728"/>
      <w:bookmarkStart w:id="1422" w:name="_Toc184635110"/>
      <w:r>
        <w:rPr>
          <w:rFonts w:hint="default" w:ascii="Times New Roman" w:hAnsi="Times New Roman" w:cs="Times New Roman"/>
          <w:color w:val="auto"/>
          <w:sz w:val="24"/>
          <w:szCs w:val="24"/>
          <w:highlight w:val="none"/>
        </w:rPr>
        <w:t xml:space="preserve">12.1 </w:t>
      </w:r>
      <w:bookmarkEnd w:id="1413"/>
      <w:bookmarkEnd w:id="1414"/>
      <w:r>
        <w:rPr>
          <w:rFonts w:hint="default" w:ascii="Times New Roman" w:hAnsi="Times New Roman" w:cs="Times New Roman"/>
          <w:color w:val="auto"/>
          <w:sz w:val="24"/>
          <w:szCs w:val="24"/>
          <w:highlight w:val="none"/>
        </w:rPr>
        <w:t>由发包人暂停工作</w:t>
      </w:r>
      <w:bookmarkEnd w:id="1415"/>
      <w:bookmarkEnd w:id="1416"/>
      <w:bookmarkEnd w:id="1417"/>
      <w:bookmarkEnd w:id="1418"/>
      <w:bookmarkEnd w:id="1419"/>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bookmarkStart w:id="1423" w:name="_Toc501257270"/>
      <w:bookmarkStart w:id="1424" w:name="_Toc234833047"/>
      <w:r>
        <w:rPr>
          <w:rFonts w:hint="default" w:ascii="Times New Roman" w:hAnsi="Times New Roman" w:cs="Times New Roman"/>
          <w:color w:val="auto"/>
          <w:sz w:val="24"/>
          <w:highlight w:val="none"/>
        </w:rPr>
        <w:t>12.</w:t>
      </w:r>
      <w:bookmarkEnd w:id="1423"/>
      <w:bookmarkEnd w:id="1424"/>
      <w:r>
        <w:rPr>
          <w:rFonts w:hint="default" w:ascii="Times New Roman" w:hAnsi="Times New Roman" w:cs="Times New Roman"/>
          <w:color w:val="auto"/>
          <w:sz w:val="24"/>
          <w:highlight w:val="none"/>
        </w:rPr>
        <w:t>1.1 发包人认为必要时，可通过监理人向承包人发出暂停工作的指示，承包人应按监理人指示暂停工作。由于发包人原因引起的暂停工作造成工期延误的，承包人有权要求发包人延长工期和(或)增加费用，并支付合理利润。</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bookmarkStart w:id="1425" w:name="_Toc501257271"/>
      <w:bookmarkStart w:id="1426" w:name="_Toc234833048"/>
      <w:r>
        <w:rPr>
          <w:rFonts w:hint="default" w:ascii="Times New Roman" w:hAnsi="Times New Roman" w:cs="Times New Roman"/>
          <w:color w:val="auto"/>
          <w:sz w:val="24"/>
          <w:highlight w:val="none"/>
        </w:rPr>
        <w:t>12.</w:t>
      </w:r>
      <w:bookmarkEnd w:id="1425"/>
      <w:bookmarkEnd w:id="1426"/>
      <w:r>
        <w:rPr>
          <w:rFonts w:hint="default" w:ascii="Times New Roman" w:hAnsi="Times New Roman" w:cs="Times New Roman"/>
          <w:color w:val="auto"/>
          <w:sz w:val="24"/>
          <w:highlight w:val="none"/>
        </w:rPr>
        <w:t>1.2 由于承包人下列原因造成发包人暂停工作的，由此造成费用的增加和(或)工期延误由承包人承担：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(1)承包人违约；</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(2)承包人擅自暂停工作；</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(3)合同约定由承包人承担责任的其他暂停工作。</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427" w:name="_Toc387158411"/>
      <w:bookmarkStart w:id="1428" w:name="_Toc382809767"/>
      <w:bookmarkStart w:id="1429" w:name="_Toc14621"/>
      <w:bookmarkStart w:id="1430" w:name="_Toc23747732"/>
      <w:bookmarkStart w:id="1431" w:name="_Toc385257042"/>
      <w:r>
        <w:rPr>
          <w:rFonts w:hint="default" w:ascii="Times New Roman" w:hAnsi="Times New Roman" w:cs="Times New Roman"/>
          <w:color w:val="auto"/>
          <w:sz w:val="24"/>
          <w:szCs w:val="24"/>
          <w:highlight w:val="none"/>
        </w:rPr>
        <w:t>12.2 由承包人暂停工作</w:t>
      </w:r>
      <w:bookmarkEnd w:id="1427"/>
      <w:bookmarkEnd w:id="1428"/>
      <w:bookmarkEnd w:id="1429"/>
      <w:bookmarkEnd w:id="1430"/>
      <w:bookmarkEnd w:id="143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12.2.1 合同履行过程中发生下列情形之一的，承包人可向发包人发出通知，要求发包人采取有效措施予以纠正。发包人收到承包人通知后的28天内仍不履行合同义务，承包人有权暂停施工，并通知监理人，发包人应承担由此增加的费用和(或)工期延误责任，并支付承包人合理利润。</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(1)发包人未能按合同约定支付价款，或拖延、拒绝批准付款申请和支付证书，导致付款延误的；</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(2)监理人无正当理由没有在约定期限内发出复工指示，导致承包人无法复工的；</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(3)发包人无法继续履行或明确表示不履行或实质上已停止履行合同的；</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(4)发包人不履行合同约定其他义务的。</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12.2.2 由于发包人的原因发生暂停施工的紧急情况，且监理人未及时下达暂停工作指示的，承包人可先暂停施工，并及时向监理人提出暂停工作的书面请求。监理人应在收到书面请求后的24小时内予以答复，逾期未答复的，视为同意承包人的暂停工作请求。</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432" w:name="_Toc385257043"/>
      <w:bookmarkStart w:id="1433" w:name="_Toc20712"/>
      <w:bookmarkStart w:id="1434" w:name="_Toc387158412"/>
      <w:bookmarkStart w:id="1435" w:name="_Toc382809768"/>
      <w:bookmarkStart w:id="1436" w:name="_Toc23747733"/>
      <w:r>
        <w:rPr>
          <w:rFonts w:hint="default" w:ascii="Times New Roman" w:hAnsi="Times New Roman" w:cs="Times New Roman"/>
          <w:color w:val="auto"/>
          <w:sz w:val="24"/>
          <w:szCs w:val="24"/>
          <w:highlight w:val="none"/>
        </w:rPr>
        <w:t>12.3 暂停工作后的照管</w:t>
      </w:r>
      <w:bookmarkEnd w:id="1432"/>
      <w:bookmarkEnd w:id="1433"/>
      <w:bookmarkEnd w:id="1434"/>
      <w:bookmarkEnd w:id="1435"/>
      <w:bookmarkEnd w:id="143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不论由于何种原因引起暂停工作的，暂停工作期间，承包人应负责妥善保护工程并提供安全保障，由此增加的费用由责任方承担。</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437" w:name="_Toc501257272"/>
      <w:bookmarkStart w:id="1438" w:name="_Toc234833049"/>
      <w:bookmarkStart w:id="1439" w:name="_Toc382809769"/>
      <w:bookmarkStart w:id="1440" w:name="_Toc385257044"/>
      <w:bookmarkStart w:id="1441" w:name="_Toc24789"/>
      <w:bookmarkStart w:id="1442" w:name="_Toc387158413"/>
      <w:bookmarkStart w:id="1443" w:name="_Toc23747734"/>
      <w:r>
        <w:rPr>
          <w:rFonts w:hint="default" w:ascii="Times New Roman" w:hAnsi="Times New Roman" w:cs="Times New Roman"/>
          <w:color w:val="auto"/>
          <w:sz w:val="24"/>
          <w:szCs w:val="24"/>
          <w:highlight w:val="none"/>
        </w:rPr>
        <w:t xml:space="preserve">12.4 </w:t>
      </w:r>
      <w:bookmarkEnd w:id="1437"/>
      <w:bookmarkEnd w:id="1438"/>
      <w:r>
        <w:rPr>
          <w:rFonts w:hint="default" w:ascii="Times New Roman" w:hAnsi="Times New Roman" w:cs="Times New Roman"/>
          <w:color w:val="auto"/>
          <w:sz w:val="24"/>
          <w:szCs w:val="24"/>
          <w:highlight w:val="none"/>
        </w:rPr>
        <w:t>暂停工作后的复工</w:t>
      </w:r>
      <w:bookmarkEnd w:id="1439"/>
      <w:bookmarkEnd w:id="1440"/>
      <w:bookmarkEnd w:id="1441"/>
      <w:bookmarkEnd w:id="1442"/>
      <w:bookmarkEnd w:id="144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12.4.1暂停工作后，监理人应与发包人和承包人协商，采取有效措施积极消除暂停工作的影响。当工程具备复工条件时，监理人应立即向承包人发出复工通知。承包人收到复工通知后，应在监理人指定的期限内复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12.4.2承包人无故拖延和拒绝复工的，由此增加的费用和工期延误由承包人承担；因发包人原因无法按时复工的，承包人有权要求发包人延长工期和(或)增加费用，并支付合理利润。</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444" w:name="_Toc385257045"/>
      <w:bookmarkStart w:id="1445" w:name="_Toc501257273"/>
      <w:bookmarkStart w:id="1446" w:name="_Toc23747735"/>
      <w:bookmarkStart w:id="1447" w:name="_Toc387158414"/>
      <w:bookmarkStart w:id="1448" w:name="_Toc234833050"/>
      <w:bookmarkStart w:id="1449" w:name="_Toc382809770"/>
      <w:bookmarkStart w:id="1450" w:name="_Toc28752"/>
      <w:r>
        <w:rPr>
          <w:rFonts w:hint="default" w:ascii="Times New Roman" w:hAnsi="Times New Roman" w:cs="Times New Roman"/>
          <w:color w:val="auto"/>
          <w:sz w:val="24"/>
          <w:szCs w:val="24"/>
          <w:highlight w:val="none"/>
        </w:rPr>
        <w:t>12.5 暂停工作56天以上</w:t>
      </w:r>
      <w:bookmarkEnd w:id="1444"/>
      <w:bookmarkEnd w:id="1445"/>
      <w:bookmarkEnd w:id="1446"/>
      <w:bookmarkEnd w:id="1447"/>
      <w:bookmarkEnd w:id="1448"/>
      <w:bookmarkEnd w:id="1449"/>
      <w:bookmarkEnd w:id="1450"/>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12.5.1监理人发出暂停工作指示后56 天内未向承包人发出复工通知的，除该项暂停由于承包人违约造成之外，承包人可向监理人提交书面通知，要求监理人在收到书面通知后28天内准许已暂停工作的全部或部分继续工作。如监理人逾期不予批准，则承包人可以通知监理人，将工程受影响的部分按第15条的约定作为可取消工作的变更处理。暂停工作影响到整个工程的，视为发包人违约，应按第12.2.1项的约定执行，同时承包人有权解除合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12.5.2由于承包人原因引起暂停工作的，如承包人在收到监理人暂停工作指示后56 天内不采取有效的复工措施，造成工期延误的，视为承包人违约，应按第12.1.2 项的约定执行。</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451" w:name="_Toc23747736"/>
      <w:bookmarkStart w:id="1452" w:name="_Toc501257274"/>
      <w:bookmarkStart w:id="1453" w:name="_Toc385257046"/>
      <w:bookmarkStart w:id="1454" w:name="_Toc387158415"/>
      <w:bookmarkStart w:id="1455" w:name="_Toc234833051"/>
      <w:bookmarkStart w:id="1456" w:name="_Toc382809771"/>
      <w:bookmarkStart w:id="1457" w:name="_Toc29835"/>
      <w:r>
        <w:rPr>
          <w:rFonts w:hint="default" w:ascii="Times New Roman" w:hAnsi="Times New Roman" w:cs="Times New Roman"/>
          <w:i w:val="0"/>
          <w:iCs w:val="0"/>
          <w:color w:val="auto"/>
          <w:szCs w:val="24"/>
          <w:highlight w:val="none"/>
        </w:rPr>
        <w:t>13. 工程质量</w:t>
      </w:r>
      <w:bookmarkEnd w:id="1420"/>
      <w:bookmarkEnd w:id="1421"/>
      <w:bookmarkEnd w:id="1422"/>
      <w:bookmarkEnd w:id="1451"/>
      <w:bookmarkEnd w:id="1452"/>
      <w:bookmarkEnd w:id="1453"/>
      <w:bookmarkEnd w:id="1454"/>
      <w:bookmarkEnd w:id="1455"/>
      <w:bookmarkEnd w:id="1456"/>
      <w:bookmarkEnd w:id="1457"/>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458" w:name="_Toc385257047"/>
      <w:bookmarkStart w:id="1459" w:name="_Toc387158416"/>
      <w:bookmarkStart w:id="1460" w:name="_Toc382809772"/>
      <w:bookmarkStart w:id="1461" w:name="_Toc16006"/>
      <w:bookmarkStart w:id="1462" w:name="_Toc247514128"/>
      <w:bookmarkStart w:id="1463" w:name="_Toc247527729"/>
      <w:bookmarkStart w:id="1464" w:name="_Toc234833052"/>
      <w:bookmarkStart w:id="1465" w:name="_Toc23747737"/>
      <w:bookmarkStart w:id="1466" w:name="_Toc501257275"/>
      <w:r>
        <w:rPr>
          <w:rFonts w:hint="default" w:ascii="Times New Roman" w:hAnsi="Times New Roman" w:cs="Times New Roman"/>
          <w:color w:val="auto"/>
          <w:sz w:val="24"/>
          <w:szCs w:val="24"/>
          <w:highlight w:val="none"/>
        </w:rPr>
        <w:t>13.1 工程质量要求</w:t>
      </w:r>
      <w:bookmarkEnd w:id="1458"/>
      <w:bookmarkEnd w:id="1459"/>
      <w:bookmarkEnd w:id="1460"/>
      <w:bookmarkEnd w:id="1461"/>
      <w:bookmarkEnd w:id="1462"/>
      <w:bookmarkEnd w:id="1463"/>
      <w:bookmarkEnd w:id="1464"/>
      <w:bookmarkEnd w:id="1465"/>
      <w:bookmarkEnd w:id="146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13.1.1 工程质量验收按法律规定和合同约定的验收标准执行。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13.1.2 因承包人原因造成工程质量不符合法律的规定和合同约定的，监理人有权要求承包人返工直至符合合同要求为止，由此造成的费用增加和(或)工期延误由承包人承担。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13.1.3 因发包人原因造成工程质量达不到合同约定验收标准的，发包人应承担由于承包人返工造成的费用增加和(或)工期延误，并支付承包人合理利润。</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467" w:name="_Toc501257276"/>
      <w:bookmarkStart w:id="1468" w:name="_Toc234833053"/>
      <w:bookmarkStart w:id="1469" w:name="_Toc382809773"/>
      <w:bookmarkStart w:id="1470" w:name="_Toc247514130"/>
      <w:bookmarkStart w:id="1471" w:name="_Toc23747738"/>
      <w:bookmarkStart w:id="1472" w:name="_Toc247527731"/>
      <w:bookmarkStart w:id="1473" w:name="_Toc20607"/>
      <w:bookmarkStart w:id="1474" w:name="_Toc387158417"/>
      <w:bookmarkStart w:id="1475" w:name="_Toc385257048"/>
      <w:r>
        <w:rPr>
          <w:rFonts w:hint="default" w:ascii="Times New Roman" w:hAnsi="Times New Roman" w:cs="Times New Roman"/>
          <w:color w:val="auto"/>
          <w:sz w:val="24"/>
          <w:szCs w:val="24"/>
          <w:highlight w:val="none"/>
        </w:rPr>
        <w:t xml:space="preserve">13.2 </w:t>
      </w:r>
      <w:bookmarkEnd w:id="1467"/>
      <w:bookmarkEnd w:id="1468"/>
      <w:bookmarkStart w:id="1476" w:name="_Toc234833054"/>
      <w:bookmarkStart w:id="1477" w:name="_Toc501257277"/>
      <w:r>
        <w:rPr>
          <w:rFonts w:hint="default" w:ascii="Times New Roman" w:hAnsi="Times New Roman" w:cs="Times New Roman"/>
          <w:color w:val="auto"/>
          <w:sz w:val="24"/>
          <w:szCs w:val="24"/>
          <w:highlight w:val="none"/>
        </w:rPr>
        <w:t>承包人的质量检查</w:t>
      </w:r>
      <w:bookmarkEnd w:id="1469"/>
      <w:bookmarkEnd w:id="1470"/>
      <w:bookmarkEnd w:id="1471"/>
      <w:bookmarkEnd w:id="1472"/>
      <w:bookmarkEnd w:id="1473"/>
      <w:bookmarkEnd w:id="1474"/>
      <w:bookmarkEnd w:id="1475"/>
      <w:bookmarkEnd w:id="1476"/>
      <w:bookmarkEnd w:id="1477"/>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承包人应按合同约定对设计、材料、工程设备以及全部工程内容及其施工工艺进行全过程的质量检查和检验，并作详细记录，编制工程质量报表，报送监理人审查。</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478" w:name="_Toc382809774"/>
      <w:bookmarkStart w:id="1479" w:name="_Toc12035"/>
      <w:bookmarkStart w:id="1480" w:name="_Toc387158418"/>
      <w:bookmarkStart w:id="1481" w:name="_Toc23747739"/>
      <w:bookmarkStart w:id="1482" w:name="_Toc501257278"/>
      <w:bookmarkStart w:id="1483" w:name="_Toc247527732"/>
      <w:bookmarkStart w:id="1484" w:name="_Toc234833055"/>
      <w:bookmarkStart w:id="1485" w:name="_Toc385257049"/>
      <w:bookmarkStart w:id="1486" w:name="_Toc247514131"/>
      <w:r>
        <w:rPr>
          <w:rFonts w:hint="default" w:ascii="Times New Roman" w:hAnsi="Times New Roman" w:cs="Times New Roman"/>
          <w:color w:val="auto"/>
          <w:sz w:val="24"/>
          <w:szCs w:val="24"/>
          <w:highlight w:val="none"/>
        </w:rPr>
        <w:t>13.3 监理人的质量检查</w:t>
      </w:r>
      <w:bookmarkEnd w:id="1478"/>
      <w:bookmarkEnd w:id="1479"/>
      <w:bookmarkEnd w:id="1480"/>
      <w:bookmarkEnd w:id="1481"/>
      <w:bookmarkEnd w:id="1482"/>
      <w:bookmarkEnd w:id="1483"/>
      <w:bookmarkEnd w:id="1484"/>
      <w:bookmarkEnd w:id="1485"/>
      <w:bookmarkEnd w:id="148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有权对全部工程内容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487" w:name="_Toc23747740"/>
      <w:bookmarkStart w:id="1488" w:name="_Toc234833056"/>
      <w:bookmarkStart w:id="1489" w:name="_Toc27037"/>
      <w:bookmarkStart w:id="1490" w:name="_Toc382809775"/>
      <w:bookmarkStart w:id="1491" w:name="_Toc385257050"/>
      <w:bookmarkStart w:id="1492" w:name="_Toc247514132"/>
      <w:bookmarkStart w:id="1493" w:name="_Toc501257279"/>
      <w:bookmarkStart w:id="1494" w:name="_Toc387158419"/>
      <w:bookmarkStart w:id="1495" w:name="_Toc247527733"/>
      <w:r>
        <w:rPr>
          <w:rFonts w:hint="default" w:ascii="Times New Roman" w:hAnsi="Times New Roman" w:cs="Times New Roman"/>
          <w:color w:val="auto"/>
          <w:sz w:val="24"/>
          <w:szCs w:val="24"/>
          <w:highlight w:val="none"/>
        </w:rPr>
        <w:t>13.4 工程隐蔽部位覆盖前的检查</w:t>
      </w:r>
      <w:bookmarkEnd w:id="1487"/>
      <w:bookmarkEnd w:id="1488"/>
      <w:bookmarkEnd w:id="1489"/>
      <w:bookmarkEnd w:id="1490"/>
      <w:bookmarkEnd w:id="1491"/>
      <w:bookmarkEnd w:id="1492"/>
      <w:bookmarkEnd w:id="1493"/>
      <w:bookmarkEnd w:id="1494"/>
      <w:bookmarkEnd w:id="1495"/>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13.4.1 通知监理人检查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13.4.2 监理人未到场检查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监理人未按第13.4.l 项约定的时间进行检查的，除监理人另有指示外，承包人可自行完成覆盖工作，并作相应记录报送监理人，监理人应签字确认。监理人事后对检查记录有疑问的，可按第13.4.3 项的约定重新检查。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13.4.3 监理人重新检查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承包人按第13.4.1 项或第13.4.2 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13.4.4 承包人私自覆盖</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承包人未通知监理人到场检查，私自将工程隐蔽部位覆盖的，监理人有权指示承包人钻孔探测或揭开检查，由此增加的费用和(或)工期延误由承包人承担。</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496" w:name="_Toc387158420"/>
      <w:bookmarkStart w:id="1497" w:name="_Toc234833057"/>
      <w:bookmarkStart w:id="1498" w:name="_Toc247527734"/>
      <w:bookmarkStart w:id="1499" w:name="_Toc385257051"/>
      <w:bookmarkStart w:id="1500" w:name="_Toc247514133"/>
      <w:bookmarkStart w:id="1501" w:name="_Toc382809776"/>
      <w:bookmarkStart w:id="1502" w:name="_Toc23747741"/>
      <w:bookmarkStart w:id="1503" w:name="_Toc501257280"/>
      <w:bookmarkStart w:id="1504" w:name="_Toc15631"/>
      <w:r>
        <w:rPr>
          <w:rFonts w:hint="default" w:ascii="Times New Roman" w:hAnsi="Times New Roman" w:cs="Times New Roman"/>
          <w:color w:val="auto"/>
          <w:sz w:val="24"/>
          <w:szCs w:val="24"/>
          <w:highlight w:val="none"/>
        </w:rPr>
        <w:t>13.5 清除不合格工程</w:t>
      </w:r>
      <w:bookmarkEnd w:id="1496"/>
      <w:bookmarkEnd w:id="1497"/>
      <w:bookmarkEnd w:id="1498"/>
      <w:bookmarkEnd w:id="1499"/>
      <w:bookmarkEnd w:id="1500"/>
      <w:bookmarkEnd w:id="1501"/>
      <w:bookmarkEnd w:id="1502"/>
      <w:bookmarkEnd w:id="1503"/>
      <w:bookmarkEnd w:id="1504"/>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13.5.1 因承包人设计失误，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13.5.2 由于发包人提供的材料或工程设备不合格造成的工程不合格，需要承包人采取措施补救的，发包人应承担由此增加的费用和(或)工期延误，并支付承包人合理利润。</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505" w:name="_Toc184635111"/>
      <w:bookmarkStart w:id="1506" w:name="_Toc247527735"/>
      <w:bookmarkStart w:id="1507" w:name="_Toc26602"/>
      <w:bookmarkStart w:id="1508" w:name="_Toc385257052"/>
      <w:bookmarkStart w:id="1509" w:name="_Toc387158421"/>
      <w:bookmarkStart w:id="1510" w:name="_Toc23747742"/>
      <w:bookmarkStart w:id="1511" w:name="_Toc234833058"/>
      <w:bookmarkStart w:id="1512" w:name="_Toc382809777"/>
      <w:bookmarkStart w:id="1513" w:name="_Toc247514134"/>
      <w:bookmarkStart w:id="1514" w:name="_Toc501257281"/>
      <w:r>
        <w:rPr>
          <w:rFonts w:hint="default" w:ascii="Times New Roman" w:hAnsi="Times New Roman" w:cs="Times New Roman"/>
          <w:i w:val="0"/>
          <w:iCs w:val="0"/>
          <w:color w:val="auto"/>
          <w:szCs w:val="24"/>
          <w:highlight w:val="none"/>
        </w:rPr>
        <w:t>14. 试验和检验</w:t>
      </w:r>
      <w:bookmarkEnd w:id="1505"/>
      <w:bookmarkEnd w:id="1506"/>
      <w:bookmarkEnd w:id="1507"/>
      <w:bookmarkEnd w:id="1508"/>
      <w:bookmarkEnd w:id="1509"/>
      <w:bookmarkEnd w:id="1510"/>
      <w:bookmarkEnd w:id="1511"/>
      <w:bookmarkEnd w:id="1512"/>
      <w:bookmarkEnd w:id="1513"/>
      <w:bookmarkEnd w:id="1514"/>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515" w:name="_Toc382809778"/>
      <w:bookmarkStart w:id="1516" w:name="_Toc10992"/>
      <w:bookmarkStart w:id="1517" w:name="_Toc23747743"/>
      <w:bookmarkStart w:id="1518" w:name="_Toc247527736"/>
      <w:bookmarkStart w:id="1519" w:name="_Toc234833059"/>
      <w:bookmarkStart w:id="1520" w:name="_Toc387158422"/>
      <w:bookmarkStart w:id="1521" w:name="_Toc385257053"/>
      <w:bookmarkStart w:id="1522" w:name="_Toc247514135"/>
      <w:bookmarkStart w:id="1523" w:name="_Toc501257282"/>
      <w:r>
        <w:rPr>
          <w:rFonts w:hint="default" w:ascii="Times New Roman" w:hAnsi="Times New Roman" w:cs="Times New Roman"/>
          <w:color w:val="auto"/>
          <w:sz w:val="24"/>
          <w:szCs w:val="24"/>
          <w:highlight w:val="none"/>
        </w:rPr>
        <w:t>14.1 材料、工程设备和工程的试验和检验</w:t>
      </w:r>
      <w:bookmarkEnd w:id="1515"/>
      <w:bookmarkEnd w:id="1516"/>
      <w:bookmarkEnd w:id="1517"/>
      <w:bookmarkEnd w:id="1518"/>
      <w:bookmarkEnd w:id="1519"/>
      <w:bookmarkEnd w:id="1520"/>
      <w:bookmarkEnd w:id="1521"/>
      <w:bookmarkEnd w:id="1522"/>
      <w:bookmarkEnd w:id="152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14.1.1 本款适用于竣工试验之前的试验和检验。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14.1.2 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14.1.3 监理人未按合同约定派员参加试验和检验的，除监理人另有指示外，承包人可自行试验和检验，并应立即将试验和检验结果报送监理人，监理人应签字确认。</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14.1.4 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524" w:name="_Toc501257283"/>
      <w:bookmarkStart w:id="1525" w:name="_Toc15753"/>
      <w:bookmarkStart w:id="1526" w:name="_Toc387158423"/>
      <w:bookmarkStart w:id="1527" w:name="_Toc385257054"/>
      <w:bookmarkStart w:id="1528" w:name="_Toc247514136"/>
      <w:bookmarkStart w:id="1529" w:name="_Toc382809779"/>
      <w:bookmarkStart w:id="1530" w:name="_Toc23747744"/>
      <w:bookmarkStart w:id="1531" w:name="_Toc234833060"/>
      <w:bookmarkStart w:id="1532" w:name="_Toc247527737"/>
      <w:r>
        <w:rPr>
          <w:rFonts w:hint="default" w:ascii="Times New Roman" w:hAnsi="Times New Roman" w:cs="Times New Roman"/>
          <w:color w:val="auto"/>
          <w:sz w:val="24"/>
          <w:szCs w:val="24"/>
          <w:highlight w:val="none"/>
        </w:rPr>
        <w:t>14.2 现场材料试验</w:t>
      </w:r>
      <w:bookmarkEnd w:id="1524"/>
      <w:bookmarkEnd w:id="1525"/>
      <w:bookmarkEnd w:id="1526"/>
      <w:bookmarkEnd w:id="1527"/>
      <w:bookmarkEnd w:id="1528"/>
      <w:bookmarkEnd w:id="1529"/>
      <w:bookmarkEnd w:id="1530"/>
      <w:bookmarkEnd w:id="1531"/>
      <w:bookmarkEnd w:id="153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14.2.1 承包人根据合同约定或监理人指示进行的现场材料试验，应由承包人提供试验场所、试验人员、试验设备器材以及其他必要的试验条件。</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14.2.2 监理人在必要时可以使用承包人的试验场所、试验设备器材以及其他试验条件，进行以工程质量检查为目的的复核性材料试验，承包人应予以协助。</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533" w:name="_Toc23747745"/>
      <w:bookmarkStart w:id="1534" w:name="_Toc247527738"/>
      <w:bookmarkStart w:id="1535" w:name="_Toc247514137"/>
      <w:bookmarkStart w:id="1536" w:name="_Toc382809780"/>
      <w:bookmarkStart w:id="1537" w:name="_Toc501257284"/>
      <w:bookmarkStart w:id="1538" w:name="_Toc387158424"/>
      <w:bookmarkStart w:id="1539" w:name="_Toc385257055"/>
      <w:bookmarkStart w:id="1540" w:name="_Toc16237"/>
      <w:bookmarkStart w:id="1541" w:name="_Toc234833061"/>
      <w:r>
        <w:rPr>
          <w:rFonts w:hint="default" w:ascii="Times New Roman" w:hAnsi="Times New Roman" w:cs="Times New Roman"/>
          <w:color w:val="auto"/>
          <w:sz w:val="24"/>
          <w:szCs w:val="24"/>
          <w:highlight w:val="none"/>
        </w:rPr>
        <w:t>14.3 现场工艺试验</w:t>
      </w:r>
      <w:bookmarkEnd w:id="1533"/>
      <w:bookmarkEnd w:id="1534"/>
      <w:bookmarkEnd w:id="1535"/>
      <w:bookmarkEnd w:id="1536"/>
      <w:bookmarkEnd w:id="1537"/>
      <w:bookmarkEnd w:id="1538"/>
      <w:bookmarkEnd w:id="1539"/>
      <w:bookmarkEnd w:id="1540"/>
      <w:bookmarkEnd w:id="154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承包人应按合同约定或监理人指示进行现场工艺试验。对大型的现场工艺试验，监理人认为必要时，应由承包人根据监理人提出的工艺试验要求，编制工艺试验措施计划，报送监理人批准。</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542" w:name="_Toc501257285"/>
      <w:bookmarkStart w:id="1543" w:name="_Toc26281"/>
      <w:bookmarkStart w:id="1544" w:name="_Toc387158425"/>
      <w:bookmarkStart w:id="1545" w:name="_Toc23747746"/>
      <w:bookmarkStart w:id="1546" w:name="_Toc184635112"/>
      <w:bookmarkStart w:id="1547" w:name="_Toc234833062"/>
      <w:bookmarkStart w:id="1548" w:name="_Toc247527739"/>
      <w:bookmarkStart w:id="1549" w:name="_Toc247514138"/>
      <w:bookmarkStart w:id="1550" w:name="_Toc385257056"/>
      <w:bookmarkStart w:id="1551" w:name="_Toc382809781"/>
      <w:r>
        <w:rPr>
          <w:rFonts w:hint="default" w:ascii="Times New Roman" w:hAnsi="Times New Roman" w:cs="Times New Roman"/>
          <w:i w:val="0"/>
          <w:iCs w:val="0"/>
          <w:color w:val="auto"/>
          <w:szCs w:val="24"/>
          <w:highlight w:val="none"/>
        </w:rPr>
        <w:t>15. 变更</w:t>
      </w:r>
      <w:bookmarkEnd w:id="1542"/>
      <w:bookmarkEnd w:id="1543"/>
      <w:bookmarkEnd w:id="1544"/>
      <w:bookmarkEnd w:id="1545"/>
      <w:bookmarkEnd w:id="1546"/>
      <w:bookmarkEnd w:id="1547"/>
      <w:bookmarkEnd w:id="1548"/>
      <w:bookmarkEnd w:id="1549"/>
      <w:bookmarkEnd w:id="1550"/>
      <w:bookmarkEnd w:id="1551"/>
      <w:bookmarkStart w:id="1552" w:name="_Toc247514139"/>
      <w:bookmarkStart w:id="1553" w:name="_Toc247527740"/>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554" w:name="_Toc501257286"/>
      <w:bookmarkStart w:id="1555" w:name="_Toc234833063"/>
      <w:bookmarkStart w:id="1556" w:name="_Toc7280"/>
      <w:bookmarkStart w:id="1557" w:name="_Toc385257057"/>
      <w:bookmarkStart w:id="1558" w:name="_Toc23747747"/>
      <w:bookmarkStart w:id="1559" w:name="_Toc382809782"/>
      <w:bookmarkStart w:id="1560" w:name="_Toc387158426"/>
      <w:r>
        <w:rPr>
          <w:rFonts w:hint="default" w:ascii="Times New Roman" w:hAnsi="Times New Roman" w:cs="Times New Roman"/>
          <w:color w:val="auto"/>
          <w:sz w:val="24"/>
          <w:szCs w:val="24"/>
          <w:highlight w:val="none"/>
        </w:rPr>
        <w:t xml:space="preserve">15.1 </w:t>
      </w:r>
      <w:bookmarkEnd w:id="1554"/>
      <w:bookmarkEnd w:id="1555"/>
      <w:bookmarkStart w:id="1561" w:name="_Toc234833064"/>
      <w:bookmarkStart w:id="1562" w:name="_Toc501257287"/>
      <w:r>
        <w:rPr>
          <w:rFonts w:hint="default" w:ascii="Times New Roman" w:hAnsi="Times New Roman" w:cs="Times New Roman"/>
          <w:color w:val="auto"/>
          <w:sz w:val="24"/>
          <w:szCs w:val="24"/>
          <w:highlight w:val="none"/>
        </w:rPr>
        <w:t>变更权</w:t>
      </w:r>
      <w:bookmarkEnd w:id="1552"/>
      <w:bookmarkEnd w:id="1553"/>
      <w:bookmarkEnd w:id="1556"/>
      <w:bookmarkEnd w:id="1557"/>
      <w:bookmarkEnd w:id="1558"/>
      <w:bookmarkEnd w:id="1559"/>
      <w:bookmarkEnd w:id="1560"/>
      <w:bookmarkEnd w:id="1561"/>
      <w:bookmarkEnd w:id="156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在履行合同过程中，经发包人同意，监理人可按第15.3 款约定的变更程序向承包人作出有关发包人要求改变的变更指示，承包人应遵照执行。变更应在相应内容实施前提出，否则发包人应承担承包人损失。没有监理人的变更指示，承包人不得擅自变更。</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563" w:name="_Toc501257289"/>
      <w:bookmarkStart w:id="1564" w:name="_Toc234833066"/>
      <w:bookmarkStart w:id="1565" w:name="_Toc247514140"/>
      <w:bookmarkStart w:id="1566" w:name="_Toc382809783"/>
      <w:bookmarkStart w:id="1567" w:name="_Toc385257058"/>
      <w:bookmarkStart w:id="1568" w:name="_Toc23747748"/>
      <w:bookmarkStart w:id="1569" w:name="_Toc247527741"/>
      <w:bookmarkStart w:id="1570" w:name="_Toc387158427"/>
      <w:bookmarkStart w:id="1571" w:name="_Toc8727"/>
      <w:r>
        <w:rPr>
          <w:rFonts w:hint="default" w:ascii="Times New Roman" w:hAnsi="Times New Roman" w:cs="Times New Roman"/>
          <w:color w:val="auto"/>
          <w:sz w:val="24"/>
          <w:szCs w:val="24"/>
          <w:highlight w:val="none"/>
        </w:rPr>
        <w:t>15.</w:t>
      </w:r>
      <w:bookmarkEnd w:id="1563"/>
      <w:bookmarkEnd w:id="1564"/>
      <w:bookmarkStart w:id="1572" w:name="_Toc234833067"/>
      <w:bookmarkStart w:id="1573" w:name="_Toc501257290"/>
      <w:r>
        <w:rPr>
          <w:rFonts w:hint="default" w:ascii="Times New Roman" w:hAnsi="Times New Roman" w:cs="Times New Roman"/>
          <w:color w:val="auto"/>
          <w:sz w:val="24"/>
          <w:szCs w:val="24"/>
          <w:highlight w:val="none"/>
        </w:rPr>
        <w:t>2 承包人的合理化建议</w:t>
      </w:r>
      <w:bookmarkEnd w:id="1565"/>
      <w:bookmarkEnd w:id="1566"/>
      <w:bookmarkEnd w:id="1567"/>
      <w:bookmarkEnd w:id="1568"/>
      <w:bookmarkEnd w:id="1569"/>
      <w:bookmarkEnd w:id="1570"/>
      <w:bookmarkEnd w:id="1571"/>
      <w:bookmarkEnd w:id="1572"/>
      <w:bookmarkEnd w:id="157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15.2.1 在履行合同过程中，承包人对发包人要求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15.3款约定向承包人发出变更指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15.2.2 承包人提出的合理化建议降低了合同价格、缩短了工期或者提高了工程经济效益的，发包人可按国家有关规定在专用合同条款中约定给予奖励。</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574" w:name="_Toc23747749"/>
      <w:bookmarkStart w:id="1575" w:name="_Toc24539"/>
      <w:bookmarkStart w:id="1576" w:name="_Toc247514141"/>
      <w:bookmarkStart w:id="1577" w:name="_Toc387158428"/>
      <w:bookmarkStart w:id="1578" w:name="_Toc247527742"/>
      <w:bookmarkStart w:id="1579" w:name="_Toc385257059"/>
      <w:bookmarkStart w:id="1580" w:name="_Toc382809784"/>
      <w:r>
        <w:rPr>
          <w:rFonts w:hint="default" w:ascii="Times New Roman" w:hAnsi="Times New Roman" w:cs="Times New Roman"/>
          <w:color w:val="auto"/>
          <w:sz w:val="24"/>
          <w:szCs w:val="24"/>
          <w:highlight w:val="none"/>
        </w:rPr>
        <w:t>15.3 变更程序</w:t>
      </w:r>
      <w:bookmarkEnd w:id="1574"/>
      <w:bookmarkEnd w:id="1575"/>
      <w:bookmarkEnd w:id="1576"/>
      <w:bookmarkEnd w:id="1577"/>
      <w:bookmarkEnd w:id="1578"/>
      <w:bookmarkEnd w:id="1579"/>
      <w:bookmarkEnd w:id="1580"/>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15.3.1 变更的提出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在合同履行过程中，监理人可向承包人发出变更意向书。变更意向书应说明变更的具体内容和发包人对变更的时间要求，并附必要的相关资料。变更意向书应要求承包人提交包括拟实施变更工作的设计和计划、措施和竣工时间等内容的实施方案。发包人同意承包人根据变更意向书要求提交的变更实施方案的，由监理人按第15.3.3 项约定发出变更指示。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收到监理人按合同约定发出的文件，经检查认为其中存在对发包人要求变更情形的，可向监理人提出书面变更建议。变更建议应阐明要求变更的依据，以及实施该变更工作对合同价款和工期的影响，并附必要的图纸和说明。监理人收到承包人书面建议后，应与发包人共同研究，确认存在变更的，应在收到承包人书面建议后的14 天内作出变更指示。经研究后不同意作为变更的，应由监理人书面答复承包人。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(3)承包人收到监理人的变更意向书后认为难以实施此项变更的，应立即通知监理人，说明原因并附详细依据。监理人与承包人和发包人协商后确定撤销、改变或不改变原变更意向书。</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15.3.2 变更估价</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监理人应按照第3.5 款商定或确定变更价格。变更价格应包括合理的利润，并应考虑承包人根据第15.2款提出的合理化建议。</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15.3.3 变更指示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(1)变更指示只能由监理人发出。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(2)变更指示应说明变更的目的、范围、变更内容以及变更的工程量及其进度和技术要求，并附有关图纸和文件。承包人收到变更指示后，应按变更指示进行变更工作。</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581" w:name="_Toc234833068"/>
      <w:bookmarkStart w:id="1582" w:name="_Toc385257060"/>
      <w:bookmarkStart w:id="1583" w:name="_Toc247527743"/>
      <w:bookmarkStart w:id="1584" w:name="_Toc12119"/>
      <w:bookmarkStart w:id="1585" w:name="_Toc387158429"/>
      <w:bookmarkStart w:id="1586" w:name="_Toc382809785"/>
      <w:bookmarkStart w:id="1587" w:name="_Toc247514142"/>
      <w:bookmarkStart w:id="1588" w:name="_Toc501257291"/>
      <w:bookmarkStart w:id="1589" w:name="_Toc23747750"/>
      <w:r>
        <w:rPr>
          <w:rFonts w:hint="default" w:ascii="Times New Roman" w:hAnsi="Times New Roman" w:cs="Times New Roman"/>
          <w:color w:val="auto"/>
          <w:sz w:val="24"/>
          <w:szCs w:val="24"/>
          <w:highlight w:val="none"/>
        </w:rPr>
        <w:t>15.4 暂列金额</w:t>
      </w:r>
      <w:bookmarkEnd w:id="1581"/>
      <w:bookmarkEnd w:id="1582"/>
      <w:bookmarkEnd w:id="1583"/>
      <w:bookmarkEnd w:id="1584"/>
      <w:bookmarkEnd w:id="1585"/>
      <w:bookmarkEnd w:id="1586"/>
      <w:bookmarkEnd w:id="1587"/>
      <w:bookmarkEnd w:id="1588"/>
      <w:bookmarkEnd w:id="1589"/>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经发包人同意，承包人可使用暂列金额，但应按照第15.6款规定的程序进行，并对合同价格进行相应调整。</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590" w:name="_Toc234833069"/>
      <w:bookmarkStart w:id="1591" w:name="_Toc501257292"/>
      <w:bookmarkStart w:id="1592" w:name="_Toc23747751"/>
      <w:r>
        <w:rPr>
          <w:rFonts w:hint="default" w:ascii="Times New Roman" w:hAnsi="Times New Roman" w:cs="Times New Roman"/>
          <w:color w:val="auto"/>
          <w:sz w:val="24"/>
          <w:szCs w:val="24"/>
          <w:highlight w:val="none"/>
        </w:rPr>
        <w:t>15.5 计日工</w:t>
      </w:r>
      <w:bookmarkEnd w:id="1590"/>
      <w:bookmarkEnd w:id="1591"/>
      <w:r>
        <w:rPr>
          <w:rFonts w:hint="default" w:ascii="Times New Roman" w:hAnsi="Times New Roman" w:cs="Times New Roman"/>
          <w:color w:val="auto"/>
          <w:sz w:val="24"/>
          <w:szCs w:val="24"/>
          <w:highlight w:val="none"/>
        </w:rPr>
        <w:t>(A)</w:t>
      </w:r>
      <w:bookmarkEnd w:id="159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15.5.1 发包人认为有必要时，由监理人通知承包人以计日工方式实施变更的零星工作。其价款按列入合同中的计日工计价子目及其单价进行计算。</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15.5.2 采用计日工计价的任何一项变更工作，应从暂列金额中支付，承包人应在该项变更的实施过程中，每天提交以下报表和有关凭证报送监理人批准：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(1)工作名称、内容和数量；</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(2)投入该工作所有人员的姓名、专业/工种、级别和耗用工时；</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(3)投入该工作的材料类别和数量；</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(4)投入该工作的施工设备型号、台数和耗用台时；</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(5)监理人要求提交的其他资料和凭证。</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15.5.3 计日工由承包人汇总后，按第17.3.3 项的约定列入进度付款申请单，由监理人复核并经发包人同意后列入进度付款。</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593" w:name="_Toc23747752"/>
      <w:bookmarkStart w:id="1594" w:name="_Toc501257293"/>
      <w:bookmarkStart w:id="1595" w:name="_Toc234833070"/>
      <w:r>
        <w:rPr>
          <w:rFonts w:hint="default" w:ascii="Times New Roman" w:hAnsi="Times New Roman" w:cs="Times New Roman"/>
          <w:color w:val="auto"/>
          <w:sz w:val="24"/>
          <w:szCs w:val="24"/>
          <w:highlight w:val="none"/>
        </w:rPr>
        <w:t>15.5 计日工(B)</w:t>
      </w:r>
      <w:bookmarkEnd w:id="159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签约合同价包括计日工的，按合同约定进行支付。</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596" w:name="_Toc23747753"/>
      <w:r>
        <w:rPr>
          <w:rFonts w:hint="default" w:ascii="Times New Roman" w:hAnsi="Times New Roman" w:cs="Times New Roman"/>
          <w:color w:val="auto"/>
          <w:sz w:val="24"/>
          <w:szCs w:val="24"/>
          <w:highlight w:val="none"/>
        </w:rPr>
        <w:t>15.6 暂估价</w:t>
      </w:r>
      <w:bookmarkEnd w:id="1594"/>
      <w:bookmarkEnd w:id="1595"/>
      <w:r>
        <w:rPr>
          <w:rFonts w:hint="default" w:ascii="Times New Roman" w:hAnsi="Times New Roman" w:cs="Times New Roman"/>
          <w:color w:val="auto"/>
          <w:sz w:val="24"/>
          <w:szCs w:val="24"/>
          <w:highlight w:val="none"/>
        </w:rPr>
        <w:t>(A)</w:t>
      </w:r>
      <w:bookmarkEnd w:id="159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15.6.1 发包人在价格清单中给定暂估价的专业服务、材料、工程设备和专业工程属于依法必须招标的范围并达到规定的规模标准的，由发包人和承包人以招标的方式选择供应商或分包人。发包人和承包人的权利义务关系在专用合同条款中约定。中标金额与价格清单中所列的暂估价的金额差以及相应的税金等其他费用列入合同价格。</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15.6.2 发包人在价格清单中给定暂估价的专业服务、材料和工程设备不属于依法必须招标的范围或未达到规定的规模标准的，应由承包人按第6.1 款的约定提供。经监理人确认的专业服务、材料、工程设备的价格与价格清单中所列的暂估价的金额差以及相应的税金等其他费用列入合同价格。</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15.6.3 发包人在价格清单中给定暂估价的专业工程不属于依法必须招标的范围或未达到规定的规模标准的，由监理人按照第15.3.2项进行估价，但专用合同条款另有约定的除外。经估价的专业工程与价格清单中所列的暂估价的金额差以及相应的税金等其他费用列入合同价格。</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597" w:name="_Toc23747754"/>
      <w:r>
        <w:rPr>
          <w:rFonts w:hint="default" w:ascii="Times New Roman" w:hAnsi="Times New Roman" w:cs="Times New Roman"/>
          <w:color w:val="auto"/>
          <w:sz w:val="24"/>
          <w:szCs w:val="24"/>
          <w:highlight w:val="none"/>
        </w:rPr>
        <w:t>15.6 暂估价(B)</w:t>
      </w:r>
      <w:bookmarkEnd w:id="1597"/>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签约合同价包括暂估价的，按合同约定进行支付。</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598" w:name="_Toc247514143"/>
      <w:bookmarkStart w:id="1599" w:name="_Toc23747755"/>
      <w:bookmarkStart w:id="1600" w:name="_Toc385257061"/>
      <w:bookmarkStart w:id="1601" w:name="_Toc247527744"/>
      <w:bookmarkStart w:id="1602" w:name="_Toc501257294"/>
      <w:bookmarkStart w:id="1603" w:name="_Toc1983"/>
      <w:bookmarkStart w:id="1604" w:name="_Toc184635113"/>
      <w:bookmarkStart w:id="1605" w:name="_Toc234833071"/>
      <w:bookmarkStart w:id="1606" w:name="_Toc382809786"/>
      <w:bookmarkStart w:id="1607" w:name="_Toc387158430"/>
      <w:r>
        <w:rPr>
          <w:rFonts w:hint="default" w:ascii="Times New Roman" w:hAnsi="Times New Roman" w:cs="Times New Roman"/>
          <w:i w:val="0"/>
          <w:iCs w:val="0"/>
          <w:color w:val="auto"/>
          <w:szCs w:val="24"/>
          <w:highlight w:val="none"/>
        </w:rPr>
        <w:t>16. 价格调整</w:t>
      </w:r>
      <w:bookmarkEnd w:id="1598"/>
      <w:bookmarkEnd w:id="1599"/>
      <w:bookmarkEnd w:id="1600"/>
      <w:bookmarkEnd w:id="1601"/>
      <w:bookmarkEnd w:id="1602"/>
      <w:bookmarkEnd w:id="1603"/>
      <w:bookmarkEnd w:id="1604"/>
      <w:bookmarkEnd w:id="1605"/>
      <w:bookmarkEnd w:id="1606"/>
      <w:bookmarkEnd w:id="1607"/>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608" w:name="_Toc501257295"/>
      <w:bookmarkStart w:id="1609" w:name="_Toc234833072"/>
      <w:bookmarkStart w:id="1610" w:name="_Toc247514144"/>
      <w:bookmarkStart w:id="1611" w:name="_Toc247527745"/>
      <w:bookmarkStart w:id="1612" w:name="_Toc385257062"/>
      <w:bookmarkStart w:id="1613" w:name="_Toc387158431"/>
      <w:bookmarkStart w:id="1614" w:name="_Toc23747756"/>
      <w:bookmarkStart w:id="1615" w:name="_Toc18017"/>
      <w:bookmarkStart w:id="1616" w:name="_Toc382809787"/>
      <w:r>
        <w:rPr>
          <w:rFonts w:hint="default" w:ascii="Times New Roman" w:hAnsi="Times New Roman" w:cs="Times New Roman"/>
          <w:color w:val="auto"/>
          <w:sz w:val="24"/>
          <w:szCs w:val="24"/>
          <w:highlight w:val="none"/>
        </w:rPr>
        <w:t xml:space="preserve">16.1 </w:t>
      </w:r>
      <w:bookmarkEnd w:id="1608"/>
      <w:bookmarkEnd w:id="1609"/>
      <w:r>
        <w:rPr>
          <w:rFonts w:hint="default" w:ascii="Times New Roman" w:hAnsi="Times New Roman" w:cs="Times New Roman"/>
          <w:color w:val="auto"/>
          <w:sz w:val="24"/>
          <w:szCs w:val="24"/>
          <w:highlight w:val="none"/>
        </w:rPr>
        <w:t>物价波动引起的调整</w:t>
      </w:r>
      <w:bookmarkEnd w:id="1610"/>
      <w:bookmarkEnd w:id="1611"/>
      <w:r>
        <w:rPr>
          <w:rFonts w:hint="default" w:ascii="Times New Roman" w:hAnsi="Times New Roman" w:cs="Times New Roman"/>
          <w:color w:val="auto"/>
          <w:sz w:val="24"/>
          <w:szCs w:val="24"/>
          <w:highlight w:val="none"/>
        </w:rPr>
        <w:t>(Ａ)</w:t>
      </w:r>
      <w:bookmarkEnd w:id="1612"/>
      <w:bookmarkEnd w:id="1613"/>
      <w:bookmarkEnd w:id="1614"/>
      <w:bookmarkEnd w:id="1615"/>
      <w:bookmarkEnd w:id="161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除专用合同条款另有约定外，因物价波动引起的价格调整按照本款约定处理。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16.1.1 采用价格指数调整价格差额(适用于投标函附录约定了价格指数和权重的)</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16.1.1.1 价格调整公式</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因人工、材料和设备等价格波动影响合同价格时，根据投标函附录中的价格指数和权重表约定的数据，按以下公式计算差额并调整合同价格。</w:t>
      </w:r>
    </w:p>
    <w:p>
      <w:pPr>
        <w:pageBreakBefore w:val="0"/>
        <w:kinsoku/>
        <w:wordWrap w:val="0"/>
        <w:overflowPunct/>
        <w:autoSpaceDE/>
        <w:autoSpaceDN/>
        <w:bidi w:val="0"/>
        <w:spacing w:line="220" w:lineRule="exact"/>
        <w:ind w:firstLine="2520" w:firstLineChars="105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 xml:space="preserve">t1        </w:t>
      </w:r>
      <w:r>
        <w:rPr>
          <w:rFonts w:hint="default" w:ascii="Times New Roman" w:hAnsi="Times New Roman" w:cs="Times New Roman"/>
          <w:color w:val="auto"/>
          <w:sz w:val="24"/>
          <w:highlight w:val="none"/>
        </w:rPr>
        <w:t xml:space="preserve"> F</w:t>
      </w:r>
      <w:r>
        <w:rPr>
          <w:rFonts w:hint="default" w:ascii="Times New Roman" w:hAnsi="Times New Roman" w:cs="Times New Roman"/>
          <w:color w:val="auto"/>
          <w:sz w:val="24"/>
          <w:highlight w:val="none"/>
          <w:vertAlign w:val="subscript"/>
        </w:rPr>
        <w:t xml:space="preserve">t2         </w:t>
      </w: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 xml:space="preserve">t3                 </w:t>
      </w: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tn</w:t>
      </w:r>
    </w:p>
    <w:p>
      <w:pPr>
        <w:pageBreakBefore w:val="0"/>
        <w:kinsoku/>
        <w:wordWrap w:val="0"/>
        <w:overflowPunct/>
        <w:autoSpaceDE/>
        <w:autoSpaceDN/>
        <w:bidi w:val="0"/>
        <w:spacing w:line="220" w:lineRule="exact"/>
        <w:ind w:left="420" w:leftChars="200" w:firstLine="120" w:firstLineChars="5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△P=P</w:t>
      </w:r>
      <w:r>
        <w:rPr>
          <w:rFonts w:hint="default" w:ascii="Times New Roman" w:hAnsi="Times New Roman" w:cs="Times New Roman"/>
          <w:color w:val="auto"/>
          <w:sz w:val="24"/>
          <w:highlight w:val="none"/>
          <w:vertAlign w:val="subscript"/>
        </w:rPr>
        <w:t>O</w:t>
      </w:r>
      <w:r>
        <w:rPr>
          <w:rFonts w:hint="default" w:ascii="Times New Roman" w:hAnsi="Times New Roman" w:cs="Times New Roman"/>
          <w:color w:val="auto"/>
          <w:sz w:val="24"/>
          <w:highlight w:val="none"/>
        </w:rPr>
        <w:t>［A+｛B</w:t>
      </w:r>
      <w:r>
        <w:rPr>
          <w:rFonts w:hint="default" w:ascii="Times New Roman" w:hAnsi="Times New Roman" w:cs="Times New Roman"/>
          <w:color w:val="auto"/>
          <w:sz w:val="24"/>
          <w:highlight w:val="none"/>
          <w:vertAlign w:val="subscript"/>
        </w:rPr>
        <w:t>1</w:t>
      </w:r>
      <w:r>
        <w:rPr>
          <w:rFonts w:hint="default" w:ascii="Times New Roman" w:hAnsi="Times New Roman" w:cs="Times New Roman"/>
          <w:color w:val="auto"/>
          <w:sz w:val="24"/>
          <w:highlight w:val="none"/>
        </w:rPr>
        <w:t>×—＋B</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×—＋B</w:t>
      </w:r>
      <w:r>
        <w:rPr>
          <w:rFonts w:hint="default" w:ascii="Times New Roman" w:hAnsi="Times New Roman" w:cs="Times New Roman"/>
          <w:color w:val="auto"/>
          <w:sz w:val="24"/>
          <w:highlight w:val="none"/>
          <w:vertAlign w:val="subscript"/>
        </w:rPr>
        <w:t>3</w:t>
      </w:r>
      <w:r>
        <w:rPr>
          <w:rFonts w:hint="default" w:ascii="Times New Roman" w:hAnsi="Times New Roman" w:cs="Times New Roman"/>
          <w:color w:val="auto"/>
          <w:sz w:val="24"/>
          <w:highlight w:val="none"/>
        </w:rPr>
        <w:t>×—＋…＋B</w:t>
      </w:r>
      <w:r>
        <w:rPr>
          <w:rFonts w:hint="default" w:ascii="Times New Roman" w:hAnsi="Times New Roman" w:cs="Times New Roman"/>
          <w:color w:val="auto"/>
          <w:sz w:val="24"/>
          <w:highlight w:val="none"/>
          <w:vertAlign w:val="subscript"/>
        </w:rPr>
        <w:t>n</w:t>
      </w:r>
      <w:r>
        <w:rPr>
          <w:rFonts w:hint="default" w:ascii="Times New Roman" w:hAnsi="Times New Roman" w:cs="Times New Roman"/>
          <w:color w:val="auto"/>
          <w:sz w:val="24"/>
          <w:highlight w:val="none"/>
        </w:rPr>
        <w:t>×—｝－1］</w:t>
      </w:r>
    </w:p>
    <w:p>
      <w:pPr>
        <w:pageBreakBefore w:val="0"/>
        <w:kinsoku/>
        <w:wordWrap w:val="0"/>
        <w:overflowPunct/>
        <w:autoSpaceDE/>
        <w:autoSpaceDN/>
        <w:bidi w:val="0"/>
        <w:spacing w:line="220" w:lineRule="exact"/>
        <w:ind w:left="420" w:leftChars="200" w:firstLine="2040" w:firstLineChars="85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 xml:space="preserve">01        </w:t>
      </w: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 xml:space="preserve">02       </w:t>
      </w: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 xml:space="preserve">03              </w:t>
      </w: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04</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式中：△P---需调整的价格差额；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P</w:t>
      </w:r>
      <w:r>
        <w:rPr>
          <w:rFonts w:hint="default" w:ascii="Times New Roman" w:hAnsi="Times New Roman" w:cs="Times New Roman"/>
          <w:color w:val="auto"/>
          <w:sz w:val="24"/>
          <w:highlight w:val="none"/>
          <w:vertAlign w:val="subscript"/>
        </w:rPr>
        <w:t>O</w:t>
      </w:r>
      <w:r>
        <w:rPr>
          <w:rFonts w:hint="default" w:ascii="Times New Roman" w:hAnsi="Times New Roman" w:cs="Times New Roman"/>
          <w:color w:val="auto"/>
          <w:sz w:val="24"/>
          <w:highlight w:val="none"/>
        </w:rPr>
        <w:t>---第17.3.4 项、第17.5.2 项和第17.6.2 项约定的付款证书中承包人应得到的已完成工作量的金额。此项金额应不包括价格调整、不计质量保证金的扣留和支付、预付款的支付和扣回。第15条约定的变更及其他金额已按当期价格计价的，也不计在内；</w:t>
      </w:r>
    </w:p>
    <w:p>
      <w:pPr>
        <w:pageBreakBefore w:val="0"/>
        <w:kinsoku/>
        <w:wordWrap w:val="0"/>
        <w:overflowPunct/>
        <w:autoSpaceDE/>
        <w:autoSpaceDN/>
        <w:bidi w:val="0"/>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 ---定值权重(即不调部分的权重)；</w:t>
      </w:r>
    </w:p>
    <w:p>
      <w:pPr>
        <w:pageBreakBefore w:val="0"/>
        <w:kinsoku/>
        <w:wordWrap w:val="0"/>
        <w:overflowPunct/>
        <w:autoSpaceDE/>
        <w:autoSpaceDN/>
        <w:bidi w:val="0"/>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w:t>
      </w:r>
      <w:r>
        <w:rPr>
          <w:rFonts w:hint="default" w:ascii="Times New Roman" w:hAnsi="Times New Roman" w:cs="Times New Roman"/>
          <w:color w:val="auto"/>
          <w:sz w:val="24"/>
          <w:highlight w:val="none"/>
          <w:vertAlign w:val="subscript"/>
        </w:rPr>
        <w:t>1</w:t>
      </w:r>
      <w:r>
        <w:rPr>
          <w:rFonts w:hint="default" w:ascii="Times New Roman" w:hAnsi="Times New Roman" w:cs="Times New Roman"/>
          <w:color w:val="auto"/>
          <w:sz w:val="24"/>
          <w:highlight w:val="none"/>
        </w:rPr>
        <w:t>；B</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；B</w:t>
      </w:r>
      <w:r>
        <w:rPr>
          <w:rFonts w:hint="default" w:ascii="Times New Roman" w:hAnsi="Times New Roman" w:cs="Times New Roman"/>
          <w:color w:val="auto"/>
          <w:sz w:val="24"/>
          <w:highlight w:val="none"/>
          <w:vertAlign w:val="subscript"/>
        </w:rPr>
        <w:t>3</w:t>
      </w:r>
      <w:r>
        <w:rPr>
          <w:rFonts w:hint="default" w:ascii="Times New Roman" w:hAnsi="Times New Roman" w:cs="Times New Roman"/>
          <w:color w:val="auto"/>
          <w:sz w:val="24"/>
          <w:highlight w:val="none"/>
        </w:rPr>
        <w:t>；……B</w:t>
      </w:r>
      <w:r>
        <w:rPr>
          <w:rFonts w:hint="default" w:ascii="Times New Roman" w:hAnsi="Times New Roman" w:cs="Times New Roman"/>
          <w:color w:val="auto"/>
          <w:sz w:val="24"/>
          <w:highlight w:val="none"/>
          <w:vertAlign w:val="subscript"/>
        </w:rPr>
        <w:t>n</w:t>
      </w:r>
      <w:r>
        <w:rPr>
          <w:rFonts w:hint="default" w:ascii="Times New Roman" w:hAnsi="Times New Roman" w:cs="Times New Roman"/>
          <w:color w:val="auto"/>
          <w:sz w:val="24"/>
          <w:highlight w:val="none"/>
        </w:rPr>
        <w:t>---各可调因子的变值权重(即可调部分的权重)为各可调因子在投标函投标总报价中所占的比例；</w:t>
      </w:r>
    </w:p>
    <w:p>
      <w:pPr>
        <w:pageBreakBefore w:val="0"/>
        <w:kinsoku/>
        <w:wordWrap w:val="0"/>
        <w:overflowPunct/>
        <w:autoSpaceDE/>
        <w:autoSpaceDN/>
        <w:bidi w:val="0"/>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t1</w:t>
      </w: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t2</w:t>
      </w: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t3</w:t>
      </w: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tn</w:t>
      </w:r>
      <w:r>
        <w:rPr>
          <w:rFonts w:hint="default" w:ascii="Times New Roman" w:hAnsi="Times New Roman" w:cs="Times New Roman"/>
          <w:color w:val="auto"/>
          <w:sz w:val="24"/>
          <w:highlight w:val="none"/>
        </w:rPr>
        <w:t>---各可调因子的当期价格指数，指第17.3.3 项、第17.5.2 项和第17.6.2 项约定的付款证书相关周期最后一天的前42天的各可调因子的价格指数；</w:t>
      </w:r>
    </w:p>
    <w:p>
      <w:pPr>
        <w:pageBreakBefore w:val="0"/>
        <w:kinsoku/>
        <w:wordWrap w:val="0"/>
        <w:overflowPunct/>
        <w:autoSpaceDE/>
        <w:autoSpaceDN/>
        <w:bidi w:val="0"/>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01</w:t>
      </w: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02</w:t>
      </w: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03</w:t>
      </w:r>
      <w:r>
        <w:rPr>
          <w:rFonts w:hint="default" w:ascii="Times New Roman" w:hAnsi="Times New Roman" w:cs="Times New Roman"/>
          <w:color w:val="auto"/>
          <w:sz w:val="24"/>
          <w:highlight w:val="none"/>
        </w:rPr>
        <w:t>；……F</w:t>
      </w:r>
      <w:r>
        <w:rPr>
          <w:rFonts w:hint="default" w:ascii="Times New Roman" w:hAnsi="Times New Roman" w:cs="Times New Roman"/>
          <w:color w:val="auto"/>
          <w:sz w:val="24"/>
          <w:highlight w:val="none"/>
          <w:vertAlign w:val="subscript"/>
        </w:rPr>
        <w:t>0n</w:t>
      </w:r>
      <w:r>
        <w:rPr>
          <w:rFonts w:hint="default" w:ascii="Times New Roman" w:hAnsi="Times New Roman" w:cs="Times New Roman"/>
          <w:color w:val="auto"/>
          <w:sz w:val="24"/>
          <w:highlight w:val="none"/>
        </w:rPr>
        <w:t>---各可调因子的基本价格指数，指基准日期的各可调因子的价格指数。</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以上价格调整公式中的各可调因子、定值和变值权重，以及基本价格指数及其来源在投标函附录价格指数和权重表中约定。价格指数应首先采用投标函附录中载明的有关部门提供的价格指数，缺乏上述价格指数时，可采用有关部门提供的价格代替。</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16.1.1.2 暂时确定调整差额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在计算调整差额时得不到当期价格指数的，可暂用上一次价格指数计算，并在以后的付款中再按实际价格指数进行调整。</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16.1.1.3 权重的调整</w:t>
      </w:r>
    </w:p>
    <w:p>
      <w:pPr>
        <w:pageBreakBefore w:val="0"/>
        <w:kinsoku/>
        <w:wordWrap w:val="0"/>
        <w:overflowPunct/>
        <w:autoSpaceDE/>
        <w:autoSpaceDN/>
        <w:bidi w:val="0"/>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按第15.1 款约定的变更导致原定合同中的权重不合理的，由监理人与承包人和发包人协商后进行调整。</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16.1.1.4 承包人引起的工期延误后的价格调整</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由于承包人原因未在约定的工期内竣工的，则对原约定竣工日期后继续施工的工程，在使用第16.1.1. 1目价格调整公式时，应采用原约定竣工日期与实际竣工日期的两个价格指数中较低的一个作为当期价格指数。</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16.1.1.5 发包人引起的工期延误后的价格调整</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由于发包人原因未在约定的工期内竣工的，则对原约定竣工日期后继续施工的工程，在使用第16.1.1.1目价格调整公式时，应采用原约定竣工日期与实际竣工日期的两个价格指数中较高的一个作为当期价格指数。</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16.1.1 采用造价信息调整价格差额(适用于投标函附录没有约定价格指数和权重的)</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合同价格差额的依据。</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617" w:name="_Toc265955482"/>
      <w:bookmarkStart w:id="1618" w:name="_Toc387158432"/>
      <w:bookmarkStart w:id="1619" w:name="_Toc7580"/>
      <w:bookmarkStart w:id="1620" w:name="_Toc382809788"/>
      <w:bookmarkStart w:id="1621" w:name="_Toc385257063"/>
      <w:bookmarkStart w:id="1622" w:name="_Toc23747757"/>
      <w:r>
        <w:rPr>
          <w:rFonts w:hint="default" w:ascii="Times New Roman" w:hAnsi="Times New Roman" w:cs="Times New Roman"/>
          <w:color w:val="auto"/>
          <w:sz w:val="24"/>
          <w:szCs w:val="24"/>
          <w:highlight w:val="none"/>
        </w:rPr>
        <w:t>16.1 物价波动引起的调整</w:t>
      </w:r>
      <w:bookmarkEnd w:id="1617"/>
      <w:r>
        <w:rPr>
          <w:rFonts w:hint="default" w:ascii="Times New Roman" w:hAnsi="Times New Roman" w:cs="Times New Roman"/>
          <w:color w:val="auto"/>
          <w:sz w:val="24"/>
          <w:szCs w:val="24"/>
          <w:highlight w:val="none"/>
        </w:rPr>
        <w:t>(B)</w:t>
      </w:r>
      <w:bookmarkEnd w:id="1618"/>
      <w:bookmarkEnd w:id="1619"/>
      <w:bookmarkEnd w:id="1620"/>
      <w:bookmarkEnd w:id="1621"/>
      <w:bookmarkEnd w:id="162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除法律规定或专用合同条款另有约定外，合同价格不因物价波动进行调整。</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623" w:name="_Toc501257296"/>
      <w:bookmarkStart w:id="1624" w:name="_Toc234833073"/>
      <w:bookmarkStart w:id="1625" w:name="_Toc247527746"/>
      <w:bookmarkStart w:id="1626" w:name="_Toc387158433"/>
      <w:bookmarkStart w:id="1627" w:name="_Toc24189"/>
      <w:bookmarkStart w:id="1628" w:name="_Toc382809789"/>
      <w:bookmarkStart w:id="1629" w:name="_Toc247514145"/>
      <w:bookmarkStart w:id="1630" w:name="_Toc385257064"/>
      <w:bookmarkStart w:id="1631" w:name="_Toc23747758"/>
      <w:r>
        <w:rPr>
          <w:rFonts w:hint="default" w:ascii="Times New Roman" w:hAnsi="Times New Roman" w:cs="Times New Roman"/>
          <w:color w:val="auto"/>
          <w:sz w:val="24"/>
          <w:szCs w:val="24"/>
          <w:highlight w:val="none"/>
        </w:rPr>
        <w:t xml:space="preserve">16.2 </w:t>
      </w:r>
      <w:bookmarkEnd w:id="1623"/>
      <w:bookmarkEnd w:id="1624"/>
      <w:r>
        <w:rPr>
          <w:rFonts w:hint="default" w:ascii="Times New Roman" w:hAnsi="Times New Roman" w:cs="Times New Roman"/>
          <w:color w:val="auto"/>
          <w:sz w:val="24"/>
          <w:szCs w:val="24"/>
          <w:highlight w:val="none"/>
        </w:rPr>
        <w:t>法律变化引起的调整</w:t>
      </w:r>
      <w:bookmarkEnd w:id="1625"/>
      <w:bookmarkEnd w:id="1626"/>
      <w:bookmarkEnd w:id="1627"/>
      <w:bookmarkEnd w:id="1628"/>
      <w:bookmarkEnd w:id="1629"/>
      <w:bookmarkEnd w:id="1630"/>
      <w:bookmarkEnd w:id="163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在基准日后，因法律变化导致承包人在合同履行中所需费用发生除第16.1 款约定以外的增减时，监理人应根据法律、国家或省、自治区、直辖市有关部门的规定，按第3.5 款商定或确定需调整的合同价格。</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lang w:val="en-US"/>
        </w:rPr>
      </w:pPr>
      <w:bookmarkStart w:id="1632" w:name="_Toc234833074"/>
      <w:bookmarkStart w:id="1633" w:name="_Toc501257297"/>
      <w:bookmarkStart w:id="1634" w:name="_Toc184635114"/>
      <w:bookmarkStart w:id="1635" w:name="_Toc387158434"/>
      <w:bookmarkStart w:id="1636" w:name="_Toc247514146"/>
      <w:bookmarkStart w:id="1637" w:name="_Toc2130"/>
      <w:bookmarkStart w:id="1638" w:name="_Toc382809790"/>
      <w:bookmarkStart w:id="1639" w:name="_Toc385257065"/>
      <w:bookmarkStart w:id="1640" w:name="_Toc247527747"/>
      <w:bookmarkStart w:id="1641" w:name="_Toc23747759"/>
      <w:r>
        <w:rPr>
          <w:rFonts w:hint="default" w:ascii="Times New Roman" w:hAnsi="Times New Roman" w:cs="Times New Roman"/>
          <w:i w:val="0"/>
          <w:iCs w:val="0"/>
          <w:color w:val="auto"/>
          <w:szCs w:val="24"/>
          <w:highlight w:val="none"/>
          <w:lang w:val="en-US"/>
        </w:rPr>
        <w:t xml:space="preserve">17. </w:t>
      </w:r>
      <w:bookmarkEnd w:id="1632"/>
      <w:bookmarkEnd w:id="1633"/>
      <w:r>
        <w:rPr>
          <w:rFonts w:hint="default" w:ascii="Times New Roman" w:hAnsi="Times New Roman" w:cs="Times New Roman"/>
          <w:i w:val="0"/>
          <w:iCs w:val="0"/>
          <w:color w:val="auto"/>
          <w:szCs w:val="24"/>
          <w:highlight w:val="none"/>
        </w:rPr>
        <w:t>合同价格与支付</w:t>
      </w:r>
      <w:bookmarkEnd w:id="1634"/>
      <w:bookmarkEnd w:id="1635"/>
      <w:bookmarkEnd w:id="1636"/>
      <w:bookmarkEnd w:id="1637"/>
      <w:bookmarkEnd w:id="1638"/>
      <w:bookmarkEnd w:id="1639"/>
      <w:bookmarkEnd w:id="1640"/>
      <w:bookmarkEnd w:id="1641"/>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lang w:val="en-US"/>
        </w:rPr>
      </w:pPr>
      <w:bookmarkStart w:id="1642" w:name="_Toc234833075"/>
      <w:bookmarkStart w:id="1643" w:name="_Toc501257298"/>
      <w:bookmarkStart w:id="1644" w:name="_Toc247514147"/>
      <w:bookmarkStart w:id="1645" w:name="_Toc382809791"/>
      <w:bookmarkStart w:id="1646" w:name="_Toc17622"/>
      <w:bookmarkStart w:id="1647" w:name="_Toc247527748"/>
      <w:bookmarkStart w:id="1648" w:name="_Toc385257066"/>
      <w:bookmarkStart w:id="1649" w:name="_Toc387158435"/>
      <w:bookmarkStart w:id="1650" w:name="_Toc23747760"/>
      <w:r>
        <w:rPr>
          <w:rFonts w:hint="default" w:ascii="Times New Roman" w:hAnsi="Times New Roman" w:cs="Times New Roman"/>
          <w:color w:val="auto"/>
          <w:sz w:val="24"/>
          <w:szCs w:val="24"/>
          <w:highlight w:val="none"/>
          <w:lang w:val="en-US"/>
        </w:rPr>
        <w:t xml:space="preserve">17.1 </w:t>
      </w:r>
      <w:bookmarkEnd w:id="1642"/>
      <w:bookmarkEnd w:id="1643"/>
      <w:r>
        <w:rPr>
          <w:rFonts w:hint="default" w:ascii="Times New Roman" w:hAnsi="Times New Roman" w:cs="Times New Roman"/>
          <w:color w:val="auto"/>
          <w:sz w:val="24"/>
          <w:szCs w:val="24"/>
          <w:highlight w:val="none"/>
        </w:rPr>
        <w:t>合同价格</w:t>
      </w:r>
      <w:bookmarkEnd w:id="1644"/>
      <w:bookmarkEnd w:id="1645"/>
      <w:bookmarkEnd w:id="1646"/>
      <w:bookmarkEnd w:id="1647"/>
      <w:bookmarkEnd w:id="1648"/>
      <w:bookmarkEnd w:id="1649"/>
      <w:bookmarkEnd w:id="1650"/>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(1)合同价格包括签约合同价以及按照合同约定进行的调整；</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(2)合同价格包括承包人依据法律规定或合同约定应支付的规费和税金；</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(3)价格清单列出的任何数量仅为估算的工作量，不得将其视为要求承包人实施的工程的实际或准确的工作量。在价格清单中列出的任何工作量和价格数据应仅限用于变更和支付的参考资料，而不能用于其他目的。</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合同约定工程的某部分按照实际完成的工程量进行支付的，应按照专用合同条款的约定进行计量和估价，并据此调整合同价格。</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651" w:name="_Toc247527749"/>
      <w:bookmarkStart w:id="1652" w:name="_Toc501257299"/>
      <w:bookmarkStart w:id="1653" w:name="_Toc23747761"/>
      <w:bookmarkStart w:id="1654" w:name="_Toc385257067"/>
      <w:bookmarkStart w:id="1655" w:name="_Toc234833076"/>
      <w:bookmarkStart w:id="1656" w:name="_Toc382809792"/>
      <w:bookmarkStart w:id="1657" w:name="_Toc247514148"/>
      <w:bookmarkStart w:id="1658" w:name="_Toc8940"/>
      <w:bookmarkStart w:id="1659" w:name="_Toc387158436"/>
      <w:r>
        <w:rPr>
          <w:rFonts w:hint="default" w:ascii="Times New Roman" w:hAnsi="Times New Roman" w:cs="Times New Roman"/>
          <w:color w:val="auto"/>
          <w:sz w:val="24"/>
          <w:szCs w:val="24"/>
          <w:highlight w:val="none"/>
        </w:rPr>
        <w:t>17.2 预付款</w:t>
      </w:r>
      <w:bookmarkEnd w:id="1651"/>
      <w:bookmarkEnd w:id="1652"/>
      <w:bookmarkEnd w:id="1653"/>
      <w:bookmarkEnd w:id="1654"/>
      <w:bookmarkEnd w:id="1655"/>
      <w:bookmarkEnd w:id="1656"/>
      <w:bookmarkEnd w:id="1657"/>
      <w:bookmarkEnd w:id="1658"/>
      <w:bookmarkEnd w:id="1659"/>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17.2.1 预付款</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预付款用于承包人为合同工程的设计和工程实施购置材料、工程设备、施工设备、修建临时设施以及组织施工队伍进场等。预付款的额度和支付在专用合同条款中约定。预付款必须专用于合同工作。</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17.2.2 预付款保函</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除专用合同条款另有约定外，承包人应在收到预付款的同时向发包人提交预付款保函，预付款保函的担保金额应与预付款金额相同。保函的担保金额可根据预付款扣回的金额相应递减。</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17.2.3 预付款的扣回与还清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预付款在进度付款中扣回，扣回办法在专用合同条款中约定。在颁发工程接收证书前，由于不可抗力或其他原因解除合同时，预付款尚未扣清的，尚未扣清的预付款余额应作为承包人的到期应付款。</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660" w:name="_Toc234833077"/>
      <w:bookmarkStart w:id="1661" w:name="_Toc387158437"/>
      <w:bookmarkStart w:id="1662" w:name="_Toc385257068"/>
      <w:bookmarkStart w:id="1663" w:name="_Toc247527750"/>
      <w:bookmarkStart w:id="1664" w:name="_Toc382809793"/>
      <w:bookmarkStart w:id="1665" w:name="_Toc18613"/>
      <w:bookmarkStart w:id="1666" w:name="_Toc23747762"/>
      <w:bookmarkStart w:id="1667" w:name="_Toc501257300"/>
      <w:bookmarkStart w:id="1668" w:name="_Toc247514149"/>
      <w:r>
        <w:rPr>
          <w:rFonts w:hint="default" w:ascii="Times New Roman" w:hAnsi="Times New Roman" w:cs="Times New Roman"/>
          <w:color w:val="auto"/>
          <w:sz w:val="24"/>
          <w:szCs w:val="24"/>
          <w:highlight w:val="none"/>
        </w:rPr>
        <w:t>17.3 工程进度付款</w:t>
      </w:r>
      <w:bookmarkEnd w:id="1660"/>
      <w:bookmarkEnd w:id="1661"/>
      <w:bookmarkEnd w:id="1662"/>
      <w:bookmarkEnd w:id="1663"/>
      <w:bookmarkEnd w:id="1664"/>
      <w:bookmarkEnd w:id="1665"/>
      <w:bookmarkEnd w:id="1666"/>
      <w:bookmarkEnd w:id="1667"/>
      <w:bookmarkEnd w:id="1668"/>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17.3.1 付款时间</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除专用合同条款另有约定外，工程进度付款按月支付。</w:t>
      </w:r>
    </w:p>
    <w:p>
      <w:pPr>
        <w:pageBreakBefore w:val="0"/>
        <w:tabs>
          <w:tab w:val="left" w:pos="5670"/>
        </w:tabs>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17.3.2 支付分解表</w:t>
      </w:r>
    </w:p>
    <w:p>
      <w:pPr>
        <w:pageBreakBefore w:val="0"/>
        <w:tabs>
          <w:tab w:val="left" w:pos="5670"/>
        </w:tabs>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除专用合同条款另有约定外，承包人应根据价格清单的价格构成、费用性质、计划发生时间和相应工作量等因素，按照以下分类和分解原则，结合第4.12.1项约定的合同进度计划，汇总形成月度支付分解报告。</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(1)勘察设计费。按照提供勘察设计阶段性成果文件的时间、对应的工作量进行分解。</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(2)材料和工程设备费。分别按订立采购合同、进场验收合格、安装就位、工程竣工等阶段和专用条款约定的比例进行分解。</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(3)技术服务培训费。按照价格清单中的单价，结合第4.12.1项约定的合同进度计划对应的工作量进行分解。</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(4)其他工程价款。除第17.1款约定按已完成工程量计量支付的工程价款外，按照价格清单中的价格，结合第4.12.1项约定的合同进度计划拟完成的工程量或者比例进行分解。</w:t>
      </w:r>
    </w:p>
    <w:p>
      <w:pPr>
        <w:pageBreakBefore w:val="0"/>
        <w:tabs>
          <w:tab w:val="left" w:pos="5670"/>
        </w:tabs>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当在收到经监理人批复的合同进度计划后7天内，将支付分解报告以及形成支付分解报告的支持性资料报监理人审批，监理人应当在收到承包人报送的支付分解报告后7天内给予批复或提出修改意见，经监理人批准的支付分解报告为有合同约束力的支付分解表。合同进度计划进行了修订的，应相应修改支付分解表，并按本目规定报监理人批复。</w:t>
      </w:r>
    </w:p>
    <w:p>
      <w:pPr>
        <w:pageBreakBefore w:val="0"/>
        <w:tabs>
          <w:tab w:val="left" w:pos="5670"/>
        </w:tabs>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17.3.3 进度付款申请单</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承包人应在每笔进度款支付前，按监理人批准的格式和专用合同条款约定的份数，向监理人提交进度付款申请单，并附相应的支持性证明文件。除合同另有约定外，进度付款申请单应包括下列内容：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(1)当期应支付金额总额，以及截至当期期末累计应支付金额总额、已支付的进度付款金额总额；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(2)当期根据支付分解表应支付金额，以及截至当期期末累计应支付金额；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(3)当期根据第17.1款约定计量的已实施工程应支付金额，以及截至当期期末累计应支付金额；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(4)当期根据第15条应增加和扣减的变更金额，以及截至当期期末累计变更金额；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(5)当期根据第23 条应增加和扣减的索赔金额，以及截至当期期末累计索赔金额；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(6)当期根据第17.2 款约定应支付的预付款和扣减的返还预付款金额，以及截至当期期末累计返还预付款金额；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(7)当期根据第17.4.1 项约定应扣减的质量保证金金额，以及截至当期期末累计扣减的质量保证金金额；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(8)当期根据合同应增加和扣减的其他金额，以及截至当期期末累计增加和扣减的金额。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17.3.4 进度付款证书和支付时间</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监理人在收到承包人进度付款申请单以及相应的支持性证明文件后的14天内完成审核，提出发包人到期应支付给承包人的金额以及相应的支持性材料，经发包人审批同意后，由监理人向承包人出具经发包人签认的进度付款证书。监理人未能在前述时间完成审核的，视为监理人同意承包人进度付款申请。监理人有权核减承包人未能按照合同要求履行任何工作或义务的相应金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(2)发包人最迟应在监理人收到进度付款申请单后的28 天内，将进度应付款支付给承包人。发包人未能在前述时间内完成审批或不予答复的，视为发包人同意进度付款申请。发包人不按期支付的，按专用合同条款的约定支付逾期付款违约金。</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(3)监理人出具进度付款证书，不应视为监理人已同意、批准或接受了承包人完成的该部分工作。</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(4)进度付款涉及政府投资资金的，按照国库集中支付等国家相关规定和专用合同条款的约定执行。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17.3.5 工程进度付款的修正</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在对以往历次已签发的进度付款证书进行汇总和复核中发现错、漏或重复的，监理人有权予以修正，承包人也有权提出修正申请。经监理人、承包人复核同意的修正，应在本次进度付款中支付或扣除。</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669" w:name="_Toc387158438"/>
      <w:bookmarkStart w:id="1670" w:name="_Toc247514150"/>
      <w:bookmarkStart w:id="1671" w:name="_Toc234833078"/>
      <w:bookmarkStart w:id="1672" w:name="_Toc247527751"/>
      <w:bookmarkStart w:id="1673" w:name="_Toc26219"/>
      <w:bookmarkStart w:id="1674" w:name="_Toc23747763"/>
      <w:bookmarkStart w:id="1675" w:name="_Toc382809794"/>
      <w:bookmarkStart w:id="1676" w:name="_Toc385257069"/>
      <w:bookmarkStart w:id="1677" w:name="_Toc501257301"/>
      <w:r>
        <w:rPr>
          <w:rFonts w:hint="default" w:ascii="Times New Roman" w:hAnsi="Times New Roman" w:cs="Times New Roman"/>
          <w:color w:val="auto"/>
          <w:sz w:val="24"/>
          <w:szCs w:val="24"/>
          <w:highlight w:val="none"/>
        </w:rPr>
        <w:t>17.4 质量保证金</w:t>
      </w:r>
      <w:bookmarkEnd w:id="1669"/>
      <w:bookmarkEnd w:id="1670"/>
      <w:bookmarkEnd w:id="1671"/>
      <w:bookmarkEnd w:id="1672"/>
      <w:bookmarkEnd w:id="1673"/>
      <w:bookmarkEnd w:id="1674"/>
      <w:bookmarkEnd w:id="1675"/>
      <w:bookmarkEnd w:id="1676"/>
      <w:bookmarkEnd w:id="1677"/>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17.4.1 监理人应从发包人的每笔进度付款中，按专用合同条款的约定扣留质量保证金，直至扣留的质量保证金总额达到专用合同条款约定的金额或比例为止。质量保证金的计算额度不包括预付款的支付、扣回以及价格调整的金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17.4.2 在第1.1.4.5 目约定的缺陷责任期满时，承包人向发包人申请到期应返还承包人剩余的质量保证金，发包人应在14天内会同承包人按照合同约定的内容核实承包人是否完成缺陷责任。如无异议，发包人应当在核实后将剩余质量保证金返还承包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17.4.3 在第1.1.4.5 目约定的缺陷责任期满时，承包人没有完成缺陷责任的，发包人有权扣留与未履行责任剩余工作所需金额相应的质量保证金余额，并有权根据第19.3 款约定要求延长缺陷责任期，直至完成剩余工作为止。</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678" w:name="_Toc23747764"/>
      <w:bookmarkStart w:id="1679" w:name="_Toc12933"/>
      <w:bookmarkStart w:id="1680" w:name="_Toc385257070"/>
      <w:bookmarkStart w:id="1681" w:name="_Toc387158439"/>
      <w:bookmarkStart w:id="1682" w:name="_Toc247514151"/>
      <w:bookmarkStart w:id="1683" w:name="_Toc234833079"/>
      <w:bookmarkStart w:id="1684" w:name="_Toc501257302"/>
      <w:bookmarkStart w:id="1685" w:name="_Toc382809795"/>
      <w:bookmarkStart w:id="1686" w:name="_Toc247527752"/>
      <w:r>
        <w:rPr>
          <w:rFonts w:hint="default" w:ascii="Times New Roman" w:hAnsi="Times New Roman" w:cs="Times New Roman"/>
          <w:color w:val="auto"/>
          <w:sz w:val="24"/>
          <w:szCs w:val="24"/>
          <w:highlight w:val="none"/>
        </w:rPr>
        <w:t>17.5 竣工结算</w:t>
      </w:r>
      <w:bookmarkEnd w:id="1678"/>
      <w:bookmarkEnd w:id="1679"/>
      <w:bookmarkEnd w:id="1680"/>
      <w:bookmarkEnd w:id="1681"/>
      <w:bookmarkEnd w:id="1682"/>
      <w:bookmarkEnd w:id="1683"/>
      <w:bookmarkEnd w:id="1684"/>
      <w:bookmarkEnd w:id="1685"/>
      <w:bookmarkEnd w:id="168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17.5.1 竣工付款申请单</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工程接收证书颁发后，承包人应按专用合同条款约定的份数和期限向监理人提交竣工付款申请单，并提供相关证明材料。除专用合同条款另有约定外，竣工付款申请单应包括下列内容：竣工结算合同总价、发包人已支付承包人的工程价款、应扣留的质量保证金、应支付的竣工付款金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(2)监理人对竣工付款申请单有异议的，有权要求承包人进行修正和提供补充资料。经监理人和承包人协商后，由承包人向监理人提交修正后的竣工付款申请单。</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17.5.2 竣工付款证书及支付时间</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监理人在收到承包人提交的竣工付款申请单后的14天内完成核查，提出发包人到期应支付给承包人的价款送发包人审核并抄送承包人。发包人应在收到后14天内审核完毕，由监理人向承包人出具经发包人签认的竣工付款证书。监理人未在约定时间内核查，又未提出具体意见的，视为承包人提交的竣工付款申请单已经监理人核查同意；发包人未在约定时间内审核又未提出具体意见的，监理人提出发包人到期应支付给承包人的价款视为已经发包人同意。</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(2)发包人应在监理人出具竣工付款证书后的14 天内，将应支付款支付给承包人。发包人不按期支付的，按第17.3.4(2)目的约定，将逾期付款违约金支付给承包人。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(3)承包人对发包人签认的竣工付款证书有异议的，发包人可出具竣工付款申请单中承包人已同意部分的临时付款证书。存在争议的部分，按第24条的约定执行。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(4)竣工付款涉及政府投资资金的，按第17.3.4(4)目的约定执行。</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687" w:name="_Toc382809796"/>
      <w:bookmarkStart w:id="1688" w:name="_Toc23747765"/>
      <w:bookmarkStart w:id="1689" w:name="_Toc234833080"/>
      <w:bookmarkStart w:id="1690" w:name="_Toc247514152"/>
      <w:bookmarkStart w:id="1691" w:name="_Toc387158440"/>
      <w:bookmarkStart w:id="1692" w:name="_Toc501257303"/>
      <w:bookmarkStart w:id="1693" w:name="_Toc247527753"/>
      <w:bookmarkStart w:id="1694" w:name="_Toc385257071"/>
      <w:bookmarkStart w:id="1695" w:name="_Toc10039"/>
      <w:r>
        <w:rPr>
          <w:rFonts w:hint="default" w:ascii="Times New Roman" w:hAnsi="Times New Roman" w:cs="Times New Roman"/>
          <w:color w:val="auto"/>
          <w:sz w:val="24"/>
          <w:szCs w:val="24"/>
          <w:highlight w:val="none"/>
        </w:rPr>
        <w:t>17.6 最终结清</w:t>
      </w:r>
      <w:bookmarkEnd w:id="1687"/>
      <w:bookmarkEnd w:id="1688"/>
      <w:bookmarkEnd w:id="1689"/>
      <w:bookmarkEnd w:id="1690"/>
      <w:bookmarkEnd w:id="1691"/>
      <w:bookmarkEnd w:id="1692"/>
      <w:bookmarkEnd w:id="1693"/>
      <w:bookmarkEnd w:id="1694"/>
      <w:bookmarkEnd w:id="1695"/>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17.6.1 最终结清申请单</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(1)缺陷责任期终止证书签发后，承包人可按专用合同条款约定的份数和期限向监理人提交最终结清申请单，并提供相关证明材料。</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(2)发包人对最终结清申请单内容有异议的，有权要求承包人进行修正和提供补充资料，由承包人向监理人提交修正后的最终结清申请单。</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17.6.2 最终结清证书和支付时间</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监理人收到承包人提交的最终结清申请单后的14天内，提出发包人应支付给承包人的价款送发包人审核并抄送承包人。发包人应在收到后14天内审核完毕，由监理人向承包人出具经发包人签认的最终结清证书。监理人未在约定时间内核查，又未提出具体意见的，视为承包人提交的最终结清申请已经监理人核查同意；发包人未在约定时间内审核又未提出具体意见的，监理人提出应支付给承包人的价款视为已经发包人同意。</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(2)发包人应在监理人出具最终结清证书后的14 天内，将应支付款支付给承包人。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发包人不按期支付的，按第17.3.4(2)目的约定，将逾期付款违约金支付给承包人。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(3)承包人对发包人签认的最终结清证书有异议的，按第24条的约定执行。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(4)最终结清付款涉及政府投资资金的，按第17.3.4(4)目的约定执行。</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696" w:name="_Toc234833081"/>
      <w:bookmarkStart w:id="1697" w:name="_Toc501257304"/>
      <w:bookmarkStart w:id="1698" w:name="_Toc247514153"/>
      <w:bookmarkStart w:id="1699" w:name="_Toc387158441"/>
      <w:bookmarkStart w:id="1700" w:name="_Toc247527754"/>
      <w:bookmarkStart w:id="1701" w:name="_Toc385257072"/>
      <w:bookmarkStart w:id="1702" w:name="_Toc23747766"/>
      <w:bookmarkStart w:id="1703" w:name="_Toc382809797"/>
      <w:bookmarkStart w:id="1704" w:name="_Toc9232"/>
      <w:bookmarkStart w:id="1705" w:name="_Toc184635115"/>
      <w:r>
        <w:rPr>
          <w:rFonts w:hint="default" w:ascii="Times New Roman" w:hAnsi="Times New Roman" w:cs="Times New Roman"/>
          <w:i w:val="0"/>
          <w:iCs w:val="0"/>
          <w:color w:val="auto"/>
          <w:szCs w:val="24"/>
          <w:highlight w:val="none"/>
        </w:rPr>
        <w:t xml:space="preserve">18. </w:t>
      </w:r>
      <w:bookmarkEnd w:id="1696"/>
      <w:bookmarkEnd w:id="1697"/>
      <w:r>
        <w:rPr>
          <w:rFonts w:hint="default" w:ascii="Times New Roman" w:hAnsi="Times New Roman" w:cs="Times New Roman"/>
          <w:i w:val="0"/>
          <w:iCs w:val="0"/>
          <w:color w:val="auto"/>
          <w:szCs w:val="24"/>
          <w:highlight w:val="none"/>
        </w:rPr>
        <w:t>竣工试验和竣工验收</w:t>
      </w:r>
      <w:bookmarkEnd w:id="1698"/>
      <w:bookmarkEnd w:id="1699"/>
      <w:bookmarkEnd w:id="1700"/>
      <w:bookmarkEnd w:id="1701"/>
      <w:bookmarkEnd w:id="1702"/>
      <w:bookmarkEnd w:id="1703"/>
      <w:bookmarkEnd w:id="1704"/>
      <w:bookmarkEnd w:id="1705"/>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706" w:name="_Toc234833082"/>
      <w:bookmarkStart w:id="1707" w:name="_Toc501257305"/>
      <w:bookmarkStart w:id="1708" w:name="_Toc23747767"/>
      <w:bookmarkStart w:id="1709" w:name="_Toc387158442"/>
      <w:bookmarkStart w:id="1710" w:name="_Toc10986"/>
      <w:bookmarkStart w:id="1711" w:name="_Toc382809798"/>
      <w:bookmarkStart w:id="1712" w:name="_Toc385257073"/>
      <w:bookmarkStart w:id="1713" w:name="_Toc247527755"/>
      <w:bookmarkStart w:id="1714" w:name="_Toc247514154"/>
      <w:r>
        <w:rPr>
          <w:rFonts w:hint="default" w:ascii="Times New Roman" w:hAnsi="Times New Roman" w:cs="Times New Roman"/>
          <w:color w:val="auto"/>
          <w:sz w:val="24"/>
          <w:szCs w:val="24"/>
          <w:highlight w:val="none"/>
        </w:rPr>
        <w:t xml:space="preserve">18.1 </w:t>
      </w:r>
      <w:bookmarkEnd w:id="1706"/>
      <w:bookmarkEnd w:id="1707"/>
      <w:r>
        <w:rPr>
          <w:rFonts w:hint="default" w:ascii="Times New Roman" w:hAnsi="Times New Roman" w:cs="Times New Roman"/>
          <w:color w:val="auto"/>
          <w:sz w:val="24"/>
          <w:szCs w:val="24"/>
          <w:highlight w:val="none"/>
        </w:rPr>
        <w:t>竣工试验</w:t>
      </w:r>
      <w:bookmarkEnd w:id="1708"/>
      <w:bookmarkEnd w:id="1709"/>
      <w:bookmarkEnd w:id="1710"/>
      <w:bookmarkEnd w:id="1711"/>
      <w:bookmarkEnd w:id="171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18.1.1承包人按照第5.5款和第5.6款提交文件后，进行竣工试验。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18.1.2承包人应提前21天将可以开始进行竣工试验的日期通知监理人，监理人应在该日期后14天内，确定竣工试验具体时间。除专用合同条款中另有约定外，竣工试验应按下述顺序进行：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(1)第一阶段，承包人进行适当的检查和功能性试验，保证每一项工程设备都满足合同要求，并能安全地进入下一阶段试验；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(2)第二阶段，承包人进行试验，保证工程或区段工程满足合同要求，在所有可利用的操作条件下安全运行；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(3)第三阶段，当工程能安全运行时，承包人应通知监理人，可以进行其他竣工试验，包括各种性能测试，以证明工程符合发包人要求中列明的性能保证指标。</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18.1.3 承包人应按合同约定进行工程及工程设备试运行。试运行所需人员、设备、材料、燃料、电力、消耗品、工具等必要的条件以及试运行费用等由专用合同条款规定。</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18.1.4 某项竣工试验未能通过的，承包人应按照监理人的指示限期改正，并承担合同约定的相应责任。</w:t>
      </w:r>
    </w:p>
    <w:bookmarkEnd w:id="1713"/>
    <w:bookmarkEnd w:id="1714"/>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715" w:name="_Toc385257074"/>
      <w:bookmarkStart w:id="1716" w:name="_Toc387158443"/>
      <w:bookmarkStart w:id="1717" w:name="_Toc501257306"/>
      <w:bookmarkStart w:id="1718" w:name="_Toc247527760"/>
      <w:bookmarkStart w:id="1719" w:name="_Toc13209"/>
      <w:bookmarkStart w:id="1720" w:name="_Toc247514159"/>
      <w:bookmarkStart w:id="1721" w:name="_Toc23747768"/>
      <w:bookmarkStart w:id="1722" w:name="_Toc382809799"/>
      <w:bookmarkStart w:id="1723" w:name="_Toc234833083"/>
      <w:r>
        <w:rPr>
          <w:rFonts w:hint="default" w:ascii="Times New Roman" w:hAnsi="Times New Roman" w:cs="Times New Roman"/>
          <w:color w:val="auto"/>
          <w:sz w:val="24"/>
          <w:szCs w:val="24"/>
          <w:highlight w:val="none"/>
        </w:rPr>
        <w:t>18.2 竣工验收申请报告</w:t>
      </w:r>
      <w:bookmarkEnd w:id="1715"/>
      <w:bookmarkEnd w:id="1716"/>
      <w:bookmarkEnd w:id="1717"/>
      <w:bookmarkEnd w:id="1718"/>
      <w:bookmarkEnd w:id="1719"/>
      <w:bookmarkEnd w:id="1720"/>
      <w:bookmarkEnd w:id="1721"/>
      <w:bookmarkEnd w:id="1722"/>
      <w:bookmarkEnd w:id="172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当工程具备以下条件时，承包人即可向监理人报送竣工验收申请报告：</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(1)除监理人同意列入缺陷责任期内完成的尾工(甩项)工程和缺陷修补工作外，合同范围内的全部区段工程以及有关工作，包括合同要求的试验和竣工试验均已完成，并符合合同要求；</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(2)已按合同约定的内容和份数备齐了符合要求的竣工文件；</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(3)已按监理人的要求编制了在缺陷责任期内完成的尾工(甩项)工程和缺陷修补工作清单以及相应施工计划；</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(4)监理人要求在竣工验收前应完成的其他工作；</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(5)监理人要求提交的竣工验收资料清单。</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724" w:name="_Toc501257307"/>
      <w:bookmarkStart w:id="1725" w:name="_Toc234833084"/>
      <w:bookmarkStart w:id="1726" w:name="_Toc247527761"/>
      <w:bookmarkStart w:id="1727" w:name="_Toc16777"/>
      <w:bookmarkStart w:id="1728" w:name="_Toc382809800"/>
      <w:bookmarkStart w:id="1729" w:name="_Toc23747769"/>
      <w:bookmarkStart w:id="1730" w:name="_Toc247514160"/>
      <w:bookmarkStart w:id="1731" w:name="_Toc385257075"/>
      <w:bookmarkStart w:id="1732" w:name="_Toc387158444"/>
      <w:r>
        <w:rPr>
          <w:rFonts w:hint="default" w:ascii="Times New Roman" w:hAnsi="Times New Roman" w:cs="Times New Roman"/>
          <w:color w:val="auto"/>
          <w:sz w:val="24"/>
          <w:szCs w:val="24"/>
          <w:highlight w:val="none"/>
        </w:rPr>
        <w:t xml:space="preserve">18.3 </w:t>
      </w:r>
      <w:bookmarkEnd w:id="1724"/>
      <w:bookmarkEnd w:id="1725"/>
      <w:r>
        <w:rPr>
          <w:rFonts w:hint="default" w:ascii="Times New Roman" w:hAnsi="Times New Roman" w:cs="Times New Roman"/>
          <w:color w:val="auto"/>
          <w:sz w:val="24"/>
          <w:szCs w:val="24"/>
          <w:highlight w:val="none"/>
        </w:rPr>
        <w:t>竣工验收</w:t>
      </w:r>
      <w:bookmarkEnd w:id="1726"/>
      <w:bookmarkEnd w:id="1727"/>
      <w:bookmarkEnd w:id="1728"/>
      <w:bookmarkEnd w:id="1729"/>
      <w:bookmarkEnd w:id="1730"/>
      <w:bookmarkEnd w:id="1731"/>
      <w:bookmarkEnd w:id="173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监理人收到承包人按第18.2 款约定提交的竣工验收申请报告后，应审查申请报告的各项内容，并按以下不同情况进行处理。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18.3.1 监理人审查后认为尚不具备竣工验收条件的，应在收到竣工验收申请报告后的28天内通知承包人，指出在颁发接收证书前承包人还需进行的工作内容。承包人完成监理人通知的全部工作内容后，应再次提交竣工验收申请报告，直至监理人同意为止。监理人收到竣工验收申请报告后28天内不予答复的，视为同意承包人的竣工验收申请，并应在收到该竣工验收申请报告后28天内提请发包人进行竣工验收。</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18.3.2 监理人同意承包人提交的竣工验收申请报告的，应在收到该竣工验收申请报告后的28天内提请发包人进行工程验收。</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18.3.3 发包人经过验收后同意接受工程的，应在监理人收到竣工验收申请报告后的56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18.3.4 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18.3.1 项、第18.3.2 项和第18.3.3 项的约定进行。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18.3.5 除专用合同条款另有约定外，经验收合格工程的实际竣工日期，以提交竣工验收申请报告的日期为准，并在工程接收证书中写明。</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18.3.6 发包人在收到承包人竣工验收申请报告56 天后未进行验收的，视为验收合格，实际竣工日期以提交竣工验收申请报告的日期为准，但发包人由于不可抗力不能进行验收的除外。</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733" w:name="_Toc501257308"/>
      <w:bookmarkStart w:id="1734" w:name="_Toc234833085"/>
      <w:bookmarkStart w:id="1735" w:name="_Toc382809801"/>
      <w:bookmarkStart w:id="1736" w:name="_Toc23747770"/>
      <w:bookmarkStart w:id="1737" w:name="_Toc385257076"/>
      <w:bookmarkStart w:id="1738" w:name="_Toc387158445"/>
      <w:bookmarkStart w:id="1739" w:name="_Toc24758"/>
      <w:r>
        <w:rPr>
          <w:rFonts w:hint="default" w:ascii="Times New Roman" w:hAnsi="Times New Roman" w:cs="Times New Roman"/>
          <w:color w:val="auto"/>
          <w:sz w:val="24"/>
          <w:szCs w:val="24"/>
          <w:highlight w:val="none"/>
        </w:rPr>
        <w:t xml:space="preserve">18.4 </w:t>
      </w:r>
      <w:bookmarkEnd w:id="1733"/>
      <w:bookmarkEnd w:id="1734"/>
      <w:r>
        <w:rPr>
          <w:rFonts w:hint="default" w:ascii="Times New Roman" w:hAnsi="Times New Roman" w:cs="Times New Roman"/>
          <w:color w:val="auto"/>
          <w:sz w:val="24"/>
          <w:szCs w:val="24"/>
          <w:highlight w:val="none"/>
        </w:rPr>
        <w:t>国家验收</w:t>
      </w:r>
      <w:bookmarkEnd w:id="1735"/>
      <w:bookmarkEnd w:id="1736"/>
      <w:bookmarkEnd w:id="1737"/>
      <w:bookmarkEnd w:id="1738"/>
      <w:bookmarkEnd w:id="1739"/>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需要进行国家验收的，竣工验收是国家验收的一部分。竣工验收所采用的各项验收和评定标准应符合国家验收标准。发包人和承包人为竣工验收提供的各项竣工验收资料应符合国家验收的要求。</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740" w:name="_Toc9574"/>
      <w:bookmarkStart w:id="1741" w:name="_Toc247514161"/>
      <w:bookmarkStart w:id="1742" w:name="_Toc385257077"/>
      <w:bookmarkStart w:id="1743" w:name="_Toc23747771"/>
      <w:bookmarkStart w:id="1744" w:name="_Toc247527762"/>
      <w:bookmarkStart w:id="1745" w:name="_Toc387158446"/>
      <w:bookmarkStart w:id="1746" w:name="_Toc382809802"/>
      <w:r>
        <w:rPr>
          <w:rFonts w:hint="default" w:ascii="Times New Roman" w:hAnsi="Times New Roman" w:cs="Times New Roman"/>
          <w:color w:val="auto"/>
          <w:sz w:val="24"/>
          <w:szCs w:val="24"/>
          <w:highlight w:val="none"/>
        </w:rPr>
        <w:t>18.5 区段工程验收</w:t>
      </w:r>
      <w:bookmarkEnd w:id="1740"/>
      <w:bookmarkEnd w:id="1741"/>
      <w:bookmarkEnd w:id="1742"/>
      <w:bookmarkEnd w:id="1743"/>
      <w:bookmarkEnd w:id="1744"/>
      <w:bookmarkEnd w:id="1745"/>
      <w:bookmarkEnd w:id="174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18.5.1 发包人根据合同进度计划安排，在全部工程竣工前需要使用已经竣工的区段工程时，或承包人提出经发包人同意时，可进行区段工程验收。验收的程序可参照第18.2款与第18.3 款的约定进行。验收合格后，由监理人向承包人出具经发包人签认的区段工程验收证书。已签发区段工程接收证书的区段工程由发包人负责照管。区段工程的验收成果和结论作为全部工程竣工验收申请报告的附件。</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18.5.2 发包人在全部工程竣工前，使用已接收的区段工程导致承包人费用增加的，发包人应承担由此增加的费用和(或)工期延误，并支付承包人合理利润。</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747" w:name="_Toc501257309"/>
      <w:bookmarkStart w:id="1748" w:name="_Toc387158447"/>
      <w:bookmarkStart w:id="1749" w:name="_Toc385257078"/>
      <w:bookmarkStart w:id="1750" w:name="_Toc247527763"/>
      <w:bookmarkStart w:id="1751" w:name="_Toc23747772"/>
      <w:bookmarkStart w:id="1752" w:name="_Toc14623"/>
      <w:bookmarkStart w:id="1753" w:name="_Toc247514162"/>
      <w:bookmarkStart w:id="1754" w:name="_Toc234833086"/>
      <w:bookmarkStart w:id="1755" w:name="_Toc382809803"/>
      <w:r>
        <w:rPr>
          <w:rFonts w:hint="default" w:ascii="Times New Roman" w:hAnsi="Times New Roman" w:cs="Times New Roman"/>
          <w:color w:val="auto"/>
          <w:sz w:val="24"/>
          <w:szCs w:val="24"/>
          <w:highlight w:val="none"/>
        </w:rPr>
        <w:t>18.6 施工期运行</w:t>
      </w:r>
      <w:bookmarkEnd w:id="1747"/>
      <w:bookmarkEnd w:id="1748"/>
      <w:bookmarkEnd w:id="1749"/>
      <w:bookmarkEnd w:id="1750"/>
      <w:bookmarkEnd w:id="1751"/>
      <w:bookmarkEnd w:id="1752"/>
      <w:bookmarkEnd w:id="1753"/>
      <w:bookmarkEnd w:id="1754"/>
      <w:bookmarkEnd w:id="1755"/>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18.6.1 施工期运行是指合同工程尚未全部竣工，其中某项或某几项区段工程或工程设备安装已竣工，根据专用合同条款约定，需要投入施工期运行的，经发包人按第18.5 款的约定验收合格，证明能确保安全后，才能在施工期投入运行。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18.6.2 在施工期运行中发现工程或工程设备损坏或存在缺陷的，由承包人按第19.2 款约定进行修复。</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756" w:name="_Toc234833088"/>
      <w:bookmarkStart w:id="1757" w:name="_Toc16198"/>
      <w:bookmarkStart w:id="1758" w:name="_Toc387158448"/>
      <w:bookmarkStart w:id="1759" w:name="_Toc385257079"/>
      <w:bookmarkStart w:id="1760" w:name="_Toc501257311"/>
      <w:bookmarkStart w:id="1761" w:name="_Toc247527764"/>
      <w:bookmarkStart w:id="1762" w:name="_Toc23747773"/>
      <w:bookmarkStart w:id="1763" w:name="_Toc382809804"/>
      <w:bookmarkStart w:id="1764" w:name="_Toc247514163"/>
      <w:r>
        <w:rPr>
          <w:rFonts w:hint="default" w:ascii="Times New Roman" w:hAnsi="Times New Roman" w:cs="Times New Roman"/>
          <w:color w:val="auto"/>
          <w:sz w:val="24"/>
          <w:szCs w:val="24"/>
          <w:highlight w:val="none"/>
        </w:rPr>
        <w:t>18.7 竣工清场</w:t>
      </w:r>
      <w:bookmarkEnd w:id="1756"/>
      <w:bookmarkEnd w:id="1757"/>
      <w:bookmarkEnd w:id="1758"/>
      <w:bookmarkEnd w:id="1759"/>
      <w:bookmarkEnd w:id="1760"/>
      <w:bookmarkEnd w:id="1761"/>
      <w:bookmarkEnd w:id="1762"/>
      <w:bookmarkEnd w:id="1763"/>
      <w:bookmarkEnd w:id="1764"/>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18.7.1 除合同另有约定外，工程接收证书颁发后，承包人应按以下要求对施工场地进行清理，直至监理人检验合格为止。竣工清场费用由承包人承担。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(1)施工场地内残留的垃圾已全部清除出场；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(2)临时工程已拆除，场地已按合同要求进行清理、平整或复原；</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(3)按合同约定应撤离的承包人设备和剩余的材料，包括废弃的施工设备和材料，已按计划撤离施工场地；</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(4)工程建筑物周边及其附近道路、河道的施工堆积物，已按监理人指示全部清理；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(5)监理人指示的其他场地清理工作已全部完成。</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18.7.2 承包人未按监理人的要求恢复临时占地，或者场地清理未达到合同约定的，发包人有权委托其他人恢复或清理，所发生的金额从拟支付给承包人的款项中扣除。</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765" w:name="_Toc29900"/>
      <w:bookmarkStart w:id="1766" w:name="_Toc387158449"/>
      <w:bookmarkStart w:id="1767" w:name="_Toc23747774"/>
      <w:bookmarkStart w:id="1768" w:name="_Toc234833089"/>
      <w:bookmarkStart w:id="1769" w:name="_Toc382809805"/>
      <w:bookmarkStart w:id="1770" w:name="_Toc501257312"/>
      <w:bookmarkStart w:id="1771" w:name="_Toc247514164"/>
      <w:bookmarkStart w:id="1772" w:name="_Toc247527765"/>
      <w:bookmarkStart w:id="1773" w:name="_Toc385257080"/>
      <w:r>
        <w:rPr>
          <w:rFonts w:hint="default" w:ascii="Times New Roman" w:hAnsi="Times New Roman" w:cs="Times New Roman"/>
          <w:color w:val="auto"/>
          <w:sz w:val="24"/>
          <w:szCs w:val="24"/>
          <w:highlight w:val="none"/>
        </w:rPr>
        <w:t>18.8 施工队伍的撤离</w:t>
      </w:r>
      <w:bookmarkEnd w:id="1765"/>
      <w:bookmarkEnd w:id="1766"/>
      <w:bookmarkEnd w:id="1767"/>
      <w:bookmarkEnd w:id="1768"/>
      <w:bookmarkEnd w:id="1769"/>
      <w:bookmarkEnd w:id="1770"/>
      <w:bookmarkEnd w:id="1771"/>
      <w:bookmarkEnd w:id="1772"/>
      <w:bookmarkEnd w:id="177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接收证书颁发后的56天内，除了经监理人同意需在缺陷责任期内继续工作和使用的人员、施工设备和临时工程外，其余的人员、施工设备和临时工程均应撤离施工场地或拆除。除合同另有约定外，缺陷责任期满时，承包人的人员和施工设备应全部撤离施工场地。</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774" w:name="_Toc382809806"/>
      <w:bookmarkStart w:id="1775" w:name="_Toc385257081"/>
      <w:bookmarkStart w:id="1776" w:name="_Toc387158450"/>
      <w:bookmarkStart w:id="1777" w:name="_Toc23747775"/>
      <w:bookmarkStart w:id="1778" w:name="_Toc6268"/>
      <w:r>
        <w:rPr>
          <w:rFonts w:hint="default" w:ascii="Times New Roman" w:hAnsi="Times New Roman" w:cs="Times New Roman"/>
          <w:color w:val="auto"/>
          <w:sz w:val="24"/>
          <w:szCs w:val="24"/>
          <w:highlight w:val="none"/>
        </w:rPr>
        <w:t>18.9 竣工后试验(A)</w:t>
      </w:r>
      <w:bookmarkEnd w:id="1774"/>
      <w:bookmarkEnd w:id="1775"/>
      <w:bookmarkEnd w:id="1776"/>
      <w:bookmarkEnd w:id="1777"/>
      <w:bookmarkEnd w:id="1778"/>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除专用合同条款另有约定外，发包人应：</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(1)为竣工后试验提供必要的电力、设备、燃料、仪器、劳力、材料，以及具有适当资质和经验的工作人员；</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(2)根据承包商按照第5.6款提供的手册，以及承包人给予的指导进行竣工后试验。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发包人应提前21天将竣工后试验的日期通知承包人。如果承包人未能在该日期出席竣工后试验，发包人可自行进行，承包人应对检验数据予以认可。</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因承包人原因造成某项竣工后试验未能通过的，承包人应按照合同的约定进行赔偿，或者承包人提出修复建议，按照发包人指示的合理期限内改正，并承担合同约定的相应责任。</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779" w:name="_Toc385257082"/>
      <w:bookmarkStart w:id="1780" w:name="_Toc382809807"/>
      <w:bookmarkStart w:id="1781" w:name="_Toc23747776"/>
      <w:bookmarkStart w:id="1782" w:name="_Toc387158451"/>
      <w:bookmarkStart w:id="1783" w:name="_Toc19472"/>
      <w:r>
        <w:rPr>
          <w:rFonts w:hint="default" w:ascii="Times New Roman" w:hAnsi="Times New Roman" w:cs="Times New Roman"/>
          <w:color w:val="auto"/>
          <w:sz w:val="24"/>
          <w:szCs w:val="24"/>
          <w:highlight w:val="none"/>
        </w:rPr>
        <w:t>18.9 竣工后试验(B)</w:t>
      </w:r>
      <w:bookmarkEnd w:id="1779"/>
      <w:bookmarkEnd w:id="1780"/>
      <w:bookmarkEnd w:id="1781"/>
      <w:bookmarkEnd w:id="1782"/>
      <w:bookmarkEnd w:id="178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(1)发包人为竣工后试验提供必要的电力、材料、燃料、发包人人员和工程设备；</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(2)承包人应提供竣工后试验所需要的所有其他设备、仪器，以及有资格和经验的工作人员；</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应在发包人在场的情况下，进行竣工后试验。发包人应提前21天将竣工后试验的日期通知承包人。因承包人原因造成某项竣工后试验未能通过的，承包人应按照合同的约定进行赔偿，或者承包人提出修复建议，按照发包人指示的合理期限内改正，并承担合同约定的相应责任。</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784" w:name="_Toc184635116"/>
      <w:bookmarkStart w:id="1785" w:name="_Toc385257083"/>
      <w:bookmarkStart w:id="1786" w:name="_Toc21275"/>
      <w:bookmarkStart w:id="1787" w:name="_Toc382809808"/>
      <w:bookmarkStart w:id="1788" w:name="_Toc501257313"/>
      <w:bookmarkStart w:id="1789" w:name="_Toc234833090"/>
      <w:bookmarkStart w:id="1790" w:name="_Toc247514165"/>
      <w:bookmarkStart w:id="1791" w:name="_Toc387158452"/>
      <w:bookmarkStart w:id="1792" w:name="_Toc247527766"/>
      <w:bookmarkStart w:id="1793" w:name="_Toc23747777"/>
      <w:r>
        <w:rPr>
          <w:rFonts w:hint="default" w:ascii="Times New Roman" w:hAnsi="Times New Roman" w:cs="Times New Roman"/>
          <w:i w:val="0"/>
          <w:iCs w:val="0"/>
          <w:color w:val="auto"/>
          <w:szCs w:val="24"/>
          <w:highlight w:val="none"/>
        </w:rPr>
        <w:t>19. 缺陷责任与保修责任</w:t>
      </w:r>
      <w:bookmarkEnd w:id="1784"/>
      <w:bookmarkEnd w:id="1785"/>
      <w:bookmarkEnd w:id="1786"/>
      <w:bookmarkEnd w:id="1787"/>
      <w:bookmarkEnd w:id="1788"/>
      <w:bookmarkEnd w:id="1789"/>
      <w:bookmarkEnd w:id="1790"/>
      <w:bookmarkEnd w:id="1791"/>
      <w:bookmarkEnd w:id="1792"/>
      <w:bookmarkEnd w:id="1793"/>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794" w:name="_Toc234833091"/>
      <w:bookmarkStart w:id="1795" w:name="_Toc247514166"/>
      <w:bookmarkStart w:id="1796" w:name="_Toc23747778"/>
      <w:bookmarkStart w:id="1797" w:name="_Toc382809809"/>
      <w:bookmarkStart w:id="1798" w:name="_Toc385257084"/>
      <w:bookmarkStart w:id="1799" w:name="_Toc247527767"/>
      <w:bookmarkStart w:id="1800" w:name="_Toc387158453"/>
      <w:bookmarkStart w:id="1801" w:name="_Toc8091"/>
      <w:bookmarkStart w:id="1802" w:name="_Toc501257314"/>
      <w:r>
        <w:rPr>
          <w:rFonts w:hint="default" w:ascii="Times New Roman" w:hAnsi="Times New Roman" w:cs="Times New Roman"/>
          <w:color w:val="auto"/>
          <w:sz w:val="24"/>
          <w:szCs w:val="24"/>
          <w:highlight w:val="none"/>
        </w:rPr>
        <w:t>19.1 缺陷责任期的起算时间</w:t>
      </w:r>
      <w:bookmarkEnd w:id="1794"/>
      <w:bookmarkEnd w:id="1795"/>
      <w:bookmarkEnd w:id="1796"/>
      <w:bookmarkEnd w:id="1797"/>
      <w:bookmarkEnd w:id="1798"/>
      <w:bookmarkEnd w:id="1799"/>
      <w:bookmarkEnd w:id="1800"/>
      <w:bookmarkEnd w:id="1801"/>
      <w:bookmarkEnd w:id="180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缺陷责任期自实际竣工日期起计算。在全部工程竣工验收前，已经发包人提前验收的区段工程或进入施工期运行的工程，其缺陷责任期的起算日期相应提前到相应工程竣工日。</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803" w:name="_Toc501257315"/>
      <w:bookmarkStart w:id="1804" w:name="_Toc247514167"/>
      <w:bookmarkStart w:id="1805" w:name="_Toc234833092"/>
      <w:bookmarkStart w:id="1806" w:name="_Toc385257085"/>
      <w:bookmarkStart w:id="1807" w:name="_Toc247527768"/>
      <w:bookmarkStart w:id="1808" w:name="_Toc382809810"/>
      <w:bookmarkStart w:id="1809" w:name="_Toc387158454"/>
      <w:bookmarkStart w:id="1810" w:name="_Toc23747779"/>
      <w:bookmarkStart w:id="1811" w:name="_Toc103"/>
      <w:r>
        <w:rPr>
          <w:rFonts w:hint="default" w:ascii="Times New Roman" w:hAnsi="Times New Roman" w:cs="Times New Roman"/>
          <w:color w:val="auto"/>
          <w:sz w:val="24"/>
          <w:szCs w:val="24"/>
          <w:highlight w:val="none"/>
        </w:rPr>
        <w:t>19.2 缺陷责任</w:t>
      </w:r>
      <w:bookmarkEnd w:id="1803"/>
      <w:bookmarkEnd w:id="1804"/>
      <w:bookmarkEnd w:id="1805"/>
      <w:bookmarkEnd w:id="1806"/>
      <w:bookmarkEnd w:id="1807"/>
      <w:bookmarkEnd w:id="1808"/>
      <w:bookmarkEnd w:id="1809"/>
      <w:bookmarkEnd w:id="1810"/>
      <w:bookmarkEnd w:id="181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19.2.1 承包人应在缺陷责任期内对已交付使用的工程承担缺陷责任。</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19.2.2 缺陷责任期内，发包人对已接收使用的工程负责日常维护工作。发包人在使用过程中，发现已接收的工程存在新的缺陷或已修复的缺陷部位或部件又遭损坏的，承包人应负责修复，直至检验合格为止。</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19.2.3 监理人和承包人应共同查清缺陷和(或)损坏的原因。经查明属承包人原因造成的，应由承包人承担修复和查验的费用。经查验属发包人原因造成的，发包人应承担修复和查验的费用，并支付承包人合理利润。</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19.2.4 承包人不能在合理时间内修复缺陷的，发包人可自行修复或委托其他人修复，所需费用和利润的承担，按第19.2.3 项约定执行。</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812" w:name="_Toc247527769"/>
      <w:bookmarkStart w:id="1813" w:name="_Toc385257086"/>
      <w:bookmarkStart w:id="1814" w:name="_Toc247514168"/>
      <w:bookmarkStart w:id="1815" w:name="_Toc23747780"/>
      <w:bookmarkStart w:id="1816" w:name="_Toc234833093"/>
      <w:bookmarkStart w:id="1817" w:name="_Toc382809811"/>
      <w:bookmarkStart w:id="1818" w:name="_Toc387158455"/>
      <w:bookmarkStart w:id="1819" w:name="_Toc2443"/>
      <w:bookmarkStart w:id="1820" w:name="_Toc501257316"/>
      <w:r>
        <w:rPr>
          <w:rFonts w:hint="default" w:ascii="Times New Roman" w:hAnsi="Times New Roman" w:cs="Times New Roman"/>
          <w:color w:val="auto"/>
          <w:sz w:val="24"/>
          <w:szCs w:val="24"/>
          <w:highlight w:val="none"/>
        </w:rPr>
        <w:t>19.3 缺陷责任期的延长</w:t>
      </w:r>
      <w:bookmarkEnd w:id="1812"/>
      <w:bookmarkEnd w:id="1813"/>
      <w:bookmarkEnd w:id="1814"/>
      <w:bookmarkEnd w:id="1815"/>
      <w:bookmarkEnd w:id="1816"/>
      <w:bookmarkEnd w:id="1817"/>
      <w:bookmarkEnd w:id="1818"/>
      <w:bookmarkEnd w:id="1819"/>
      <w:bookmarkEnd w:id="1820"/>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由于承包人原因造成某项缺陷或损坏使某项工程或工程设备不能按原定目标使用而需要再次检查、检验和修复的，发包人有权要求承包人相应延长缺陷责任期，但缺陷责任期最长不超过2年。</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821" w:name="_Toc501257317"/>
      <w:bookmarkStart w:id="1822" w:name="_Toc382809812"/>
      <w:bookmarkStart w:id="1823" w:name="_Toc247514169"/>
      <w:bookmarkStart w:id="1824" w:name="_Toc247527770"/>
      <w:bookmarkStart w:id="1825" w:name="_Toc234833094"/>
      <w:bookmarkStart w:id="1826" w:name="_Toc12340"/>
      <w:bookmarkStart w:id="1827" w:name="_Toc387158456"/>
      <w:bookmarkStart w:id="1828" w:name="_Toc23747781"/>
      <w:bookmarkStart w:id="1829" w:name="_Toc385257087"/>
      <w:r>
        <w:rPr>
          <w:rFonts w:hint="default" w:ascii="Times New Roman" w:hAnsi="Times New Roman" w:cs="Times New Roman"/>
          <w:color w:val="auto"/>
          <w:sz w:val="24"/>
          <w:szCs w:val="24"/>
          <w:highlight w:val="none"/>
        </w:rPr>
        <w:t>19.4 进一步试验和试运行</w:t>
      </w:r>
      <w:bookmarkEnd w:id="1821"/>
      <w:bookmarkEnd w:id="1822"/>
      <w:bookmarkEnd w:id="1823"/>
      <w:bookmarkEnd w:id="1824"/>
      <w:bookmarkEnd w:id="1825"/>
      <w:bookmarkEnd w:id="1826"/>
      <w:bookmarkEnd w:id="1827"/>
      <w:bookmarkEnd w:id="1828"/>
      <w:bookmarkEnd w:id="1829"/>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任何一项缺陷或损坏修复后，经检查证明其影响了工程或工程设备的使用性能，承包人应重新进行合同约定的试验和试运行，试验和试运行的全部费用应由责任方承担。</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830" w:name="_Toc234833095"/>
      <w:bookmarkStart w:id="1831" w:name="_Toc501257318"/>
      <w:bookmarkStart w:id="1832" w:name="_Toc247514170"/>
      <w:bookmarkStart w:id="1833" w:name="_Toc26606"/>
      <w:bookmarkStart w:id="1834" w:name="_Toc385257088"/>
      <w:bookmarkStart w:id="1835" w:name="_Toc247527771"/>
      <w:bookmarkStart w:id="1836" w:name="_Toc387158457"/>
      <w:bookmarkStart w:id="1837" w:name="_Toc23747782"/>
      <w:bookmarkStart w:id="1838" w:name="_Toc382809813"/>
      <w:r>
        <w:rPr>
          <w:rFonts w:hint="default" w:ascii="Times New Roman" w:hAnsi="Times New Roman" w:cs="Times New Roman"/>
          <w:color w:val="auto"/>
          <w:sz w:val="24"/>
          <w:szCs w:val="24"/>
          <w:highlight w:val="none"/>
        </w:rPr>
        <w:t>19.5 承包人的进入权</w:t>
      </w:r>
      <w:bookmarkEnd w:id="1830"/>
      <w:bookmarkEnd w:id="1831"/>
      <w:bookmarkEnd w:id="1832"/>
      <w:bookmarkEnd w:id="1833"/>
      <w:bookmarkEnd w:id="1834"/>
      <w:bookmarkEnd w:id="1835"/>
      <w:bookmarkEnd w:id="1836"/>
      <w:bookmarkEnd w:id="1837"/>
      <w:bookmarkEnd w:id="1838"/>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缺陷责任期内承包人为缺陷修复工作需要，有权进入工程现场，但应遵守发包人的保安和保密规定。</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839" w:name="_Toc234833096"/>
      <w:bookmarkStart w:id="1840" w:name="_Toc247514171"/>
      <w:bookmarkStart w:id="1841" w:name="_Toc10193"/>
      <w:bookmarkStart w:id="1842" w:name="_Toc247527772"/>
      <w:bookmarkStart w:id="1843" w:name="_Toc501257319"/>
      <w:bookmarkStart w:id="1844" w:name="_Toc385257089"/>
      <w:bookmarkStart w:id="1845" w:name="_Toc382809814"/>
      <w:bookmarkStart w:id="1846" w:name="_Toc23747783"/>
      <w:bookmarkStart w:id="1847" w:name="_Toc387158458"/>
      <w:r>
        <w:rPr>
          <w:rFonts w:hint="default" w:ascii="Times New Roman" w:hAnsi="Times New Roman" w:cs="Times New Roman"/>
          <w:color w:val="auto"/>
          <w:sz w:val="24"/>
          <w:szCs w:val="24"/>
          <w:highlight w:val="none"/>
        </w:rPr>
        <w:t>19.6 缺陷责任期终止证书</w:t>
      </w:r>
      <w:bookmarkEnd w:id="1839"/>
      <w:bookmarkEnd w:id="1840"/>
      <w:bookmarkEnd w:id="1841"/>
      <w:bookmarkEnd w:id="1842"/>
      <w:bookmarkEnd w:id="1843"/>
      <w:bookmarkEnd w:id="1844"/>
      <w:bookmarkEnd w:id="1845"/>
      <w:bookmarkEnd w:id="1846"/>
      <w:bookmarkEnd w:id="1847"/>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在第1.1.4.5目约定的缺陷责任期，包括根据第19.3款延长的期限终止后14天内，由监理人向承包人出具经发包人签认的缺陷责任期终止证书，并退还剩余的质量保证金。</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848" w:name="_Toc385257090"/>
      <w:bookmarkStart w:id="1849" w:name="_Toc382809815"/>
      <w:bookmarkStart w:id="1850" w:name="_Toc13410"/>
      <w:bookmarkStart w:id="1851" w:name="_Toc23747784"/>
      <w:bookmarkStart w:id="1852" w:name="_Toc247514172"/>
      <w:bookmarkStart w:id="1853" w:name="_Toc387158459"/>
      <w:bookmarkStart w:id="1854" w:name="_Toc247527773"/>
      <w:bookmarkStart w:id="1855" w:name="_Toc234833097"/>
      <w:bookmarkStart w:id="1856" w:name="_Toc501257320"/>
      <w:r>
        <w:rPr>
          <w:rFonts w:hint="default" w:ascii="Times New Roman" w:hAnsi="Times New Roman" w:cs="Times New Roman"/>
          <w:color w:val="auto"/>
          <w:sz w:val="24"/>
          <w:szCs w:val="24"/>
          <w:highlight w:val="none"/>
        </w:rPr>
        <w:t>19.7 保修责任</w:t>
      </w:r>
      <w:bookmarkEnd w:id="1848"/>
      <w:bookmarkEnd w:id="1849"/>
      <w:bookmarkEnd w:id="1850"/>
      <w:bookmarkEnd w:id="1851"/>
      <w:bookmarkEnd w:id="1852"/>
      <w:bookmarkEnd w:id="1853"/>
      <w:bookmarkEnd w:id="1854"/>
      <w:bookmarkEnd w:id="1855"/>
      <w:bookmarkEnd w:id="185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合同当事人根据有关法律规定，在专用合同条款中约定工程质量保修范围、期限和责任。保修期自实际竣工日期起计算。在全部工程竣工验收前，已经发包人提前验收的区段工程，其保修期的起算日期相应提前。</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857" w:name="_Toc23747785"/>
      <w:bookmarkStart w:id="1858" w:name="_Toc387158460"/>
      <w:bookmarkStart w:id="1859" w:name="_Toc26031"/>
      <w:bookmarkStart w:id="1860" w:name="_Toc382809816"/>
      <w:bookmarkStart w:id="1861" w:name="_Toc501257321"/>
      <w:bookmarkStart w:id="1862" w:name="_Toc234833098"/>
      <w:bookmarkStart w:id="1863" w:name="_Toc184635117"/>
      <w:bookmarkStart w:id="1864" w:name="_Toc247514173"/>
      <w:bookmarkStart w:id="1865" w:name="_Toc247527774"/>
      <w:bookmarkStart w:id="1866" w:name="_Toc385257091"/>
      <w:r>
        <w:rPr>
          <w:rFonts w:hint="default" w:ascii="Times New Roman" w:hAnsi="Times New Roman" w:cs="Times New Roman"/>
          <w:i w:val="0"/>
          <w:iCs w:val="0"/>
          <w:color w:val="auto"/>
          <w:szCs w:val="24"/>
          <w:highlight w:val="none"/>
        </w:rPr>
        <w:t>20. 保险</w:t>
      </w:r>
      <w:bookmarkEnd w:id="1857"/>
      <w:bookmarkEnd w:id="1858"/>
      <w:bookmarkEnd w:id="1859"/>
      <w:bookmarkEnd w:id="1860"/>
      <w:bookmarkEnd w:id="1861"/>
      <w:bookmarkEnd w:id="1862"/>
      <w:bookmarkEnd w:id="1863"/>
      <w:bookmarkEnd w:id="1864"/>
      <w:bookmarkEnd w:id="1865"/>
      <w:bookmarkEnd w:id="1866"/>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867" w:name="_Toc501257322"/>
      <w:bookmarkStart w:id="1868" w:name="_Toc234833099"/>
      <w:bookmarkStart w:id="1869" w:name="_Toc247514174"/>
      <w:bookmarkStart w:id="1870" w:name="_Toc387158461"/>
      <w:bookmarkStart w:id="1871" w:name="_Toc385257092"/>
      <w:bookmarkStart w:id="1872" w:name="_Toc247527775"/>
      <w:bookmarkStart w:id="1873" w:name="_Toc382809817"/>
      <w:bookmarkStart w:id="1874" w:name="_Toc22971"/>
      <w:bookmarkStart w:id="1875" w:name="_Toc23747786"/>
      <w:r>
        <w:rPr>
          <w:rFonts w:hint="default" w:ascii="Times New Roman" w:hAnsi="Times New Roman" w:cs="Times New Roman"/>
          <w:color w:val="auto"/>
          <w:sz w:val="24"/>
          <w:szCs w:val="24"/>
          <w:highlight w:val="none"/>
        </w:rPr>
        <w:t>20.1</w:t>
      </w:r>
      <w:bookmarkEnd w:id="1867"/>
      <w:bookmarkEnd w:id="1868"/>
      <w:r>
        <w:rPr>
          <w:rFonts w:hint="default" w:ascii="Times New Roman" w:hAnsi="Times New Roman" w:cs="Times New Roman"/>
          <w:color w:val="auto"/>
          <w:sz w:val="24"/>
          <w:szCs w:val="24"/>
          <w:highlight w:val="none"/>
        </w:rPr>
        <w:t xml:space="preserve"> 设计和工程保险</w:t>
      </w:r>
      <w:bookmarkEnd w:id="1869"/>
      <w:bookmarkEnd w:id="1870"/>
      <w:bookmarkEnd w:id="1871"/>
      <w:bookmarkEnd w:id="1872"/>
      <w:bookmarkEnd w:id="1873"/>
      <w:bookmarkEnd w:id="1874"/>
      <w:bookmarkEnd w:id="1875"/>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20.1.1 承包人按照专用合同条款的约定向双方同意的保险人投保建设工程设计责任险、建筑工程一切险或安装工程一切险等保险。具体的投保险种、保险范围、保险金额、保险费率、保险期限等有关内容应当在专用合同条款中明确约定。</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20.1.2 在缺陷责任期终止证书颁发前，承包人应按照专用合同条款的约定投保第三者责任险。</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876" w:name="_Toc247527776"/>
      <w:bookmarkStart w:id="1877" w:name="_Toc32489"/>
      <w:bookmarkStart w:id="1878" w:name="_Toc247514175"/>
      <w:bookmarkStart w:id="1879" w:name="_Toc382809818"/>
      <w:bookmarkStart w:id="1880" w:name="_Toc23747787"/>
      <w:bookmarkStart w:id="1881" w:name="_Toc387158462"/>
      <w:bookmarkStart w:id="1882" w:name="_Toc385257093"/>
      <w:r>
        <w:rPr>
          <w:rFonts w:hint="default" w:ascii="Times New Roman" w:hAnsi="Times New Roman" w:cs="Times New Roman"/>
          <w:color w:val="auto"/>
          <w:sz w:val="24"/>
          <w:szCs w:val="24"/>
          <w:highlight w:val="none"/>
        </w:rPr>
        <w:t>20.2 工伤保险</w:t>
      </w:r>
      <w:bookmarkEnd w:id="1876"/>
      <w:bookmarkEnd w:id="1877"/>
      <w:bookmarkEnd w:id="1878"/>
      <w:bookmarkEnd w:id="1879"/>
      <w:bookmarkEnd w:id="1880"/>
      <w:bookmarkEnd w:id="1881"/>
      <w:bookmarkEnd w:id="188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20.2.1 承包人员工伤保险</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承包人应依照有关法律规定，为其履行合同所雇佣的全部人员投保工伤保险，缴纳工伤保险费，并要求其分包人也投保此项保险。</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20.2.2 发包人员工伤保险</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发包人应依照有关法律规定，为其现场机构雇佣的全部人员投保工伤保险，缴纳工伤保险费，并要求其监理人也进行此项保险。</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883" w:name="_Toc234833101"/>
      <w:bookmarkStart w:id="1884" w:name="_Toc385257094"/>
      <w:bookmarkStart w:id="1885" w:name="_Toc23747788"/>
      <w:bookmarkStart w:id="1886" w:name="_Toc247514176"/>
      <w:bookmarkStart w:id="1887" w:name="_Toc32728"/>
      <w:bookmarkStart w:id="1888" w:name="_Toc387158463"/>
      <w:bookmarkStart w:id="1889" w:name="_Toc501257324"/>
      <w:bookmarkStart w:id="1890" w:name="_Toc247527777"/>
      <w:bookmarkStart w:id="1891" w:name="_Toc382809819"/>
      <w:r>
        <w:rPr>
          <w:rFonts w:hint="default" w:ascii="Times New Roman" w:hAnsi="Times New Roman" w:cs="Times New Roman"/>
          <w:color w:val="auto"/>
          <w:sz w:val="24"/>
          <w:szCs w:val="24"/>
          <w:highlight w:val="none"/>
        </w:rPr>
        <w:t>20.3 人身意外伤害险</w:t>
      </w:r>
      <w:bookmarkEnd w:id="1883"/>
      <w:bookmarkEnd w:id="1884"/>
      <w:bookmarkEnd w:id="1885"/>
      <w:bookmarkEnd w:id="1886"/>
      <w:bookmarkEnd w:id="1887"/>
      <w:bookmarkEnd w:id="1888"/>
      <w:bookmarkEnd w:id="1889"/>
      <w:bookmarkEnd w:id="1890"/>
      <w:bookmarkEnd w:id="189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20.3.1 发包人应在整个施工期间为其现场机构雇用的全部人员，投保人身意外伤害险，缴纳保险费，并要求其监理人也进行此项保险。</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20.3.2 承包人应在整个施工期间为其现场机构雇用的全部人员，投保人身意外伤害险，缴纳保险费，并要求其分包人也进行此项保险。</w:t>
      </w:r>
      <w:bookmarkStart w:id="1892" w:name="_Toc247514177"/>
      <w:bookmarkEnd w:id="1892"/>
      <w:bookmarkStart w:id="1893" w:name="_Toc247527778"/>
      <w:bookmarkEnd w:id="1893"/>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894" w:name="_Toc234833102"/>
      <w:bookmarkStart w:id="1895" w:name="_Toc501257325"/>
      <w:bookmarkStart w:id="1896" w:name="_Toc387158464"/>
      <w:bookmarkStart w:id="1897" w:name="_Toc385257095"/>
      <w:bookmarkStart w:id="1898" w:name="_Toc247514178"/>
      <w:bookmarkStart w:id="1899" w:name="_Toc3665"/>
      <w:bookmarkStart w:id="1900" w:name="_Toc23747789"/>
      <w:bookmarkStart w:id="1901" w:name="_Toc382809820"/>
      <w:bookmarkStart w:id="1902" w:name="_Toc247527779"/>
      <w:r>
        <w:rPr>
          <w:rFonts w:hint="default" w:ascii="Times New Roman" w:hAnsi="Times New Roman" w:cs="Times New Roman"/>
          <w:color w:val="auto"/>
          <w:sz w:val="24"/>
          <w:szCs w:val="24"/>
          <w:highlight w:val="none"/>
        </w:rPr>
        <w:t xml:space="preserve">20.4 </w:t>
      </w:r>
      <w:bookmarkEnd w:id="1894"/>
      <w:bookmarkEnd w:id="1895"/>
      <w:bookmarkStart w:id="1903" w:name="_Toc501257326"/>
      <w:bookmarkStart w:id="1904" w:name="_Toc234833103"/>
      <w:r>
        <w:rPr>
          <w:rFonts w:hint="default" w:ascii="Times New Roman" w:hAnsi="Times New Roman" w:cs="Times New Roman"/>
          <w:color w:val="auto"/>
          <w:sz w:val="24"/>
          <w:szCs w:val="24"/>
          <w:highlight w:val="none"/>
        </w:rPr>
        <w:t>其他保险</w:t>
      </w:r>
      <w:bookmarkEnd w:id="1896"/>
      <w:bookmarkEnd w:id="1897"/>
      <w:bookmarkEnd w:id="1898"/>
      <w:bookmarkEnd w:id="1899"/>
      <w:bookmarkEnd w:id="1900"/>
      <w:bookmarkEnd w:id="1901"/>
      <w:bookmarkEnd w:id="1902"/>
      <w:bookmarkEnd w:id="1903"/>
      <w:bookmarkEnd w:id="1904"/>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除专用合同条款另有约定外，承包人应为其施工设备、进场的材料和工程设备等办理保险。</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905" w:name="_Toc247514179"/>
      <w:bookmarkStart w:id="1906" w:name="_Toc18182"/>
      <w:bookmarkStart w:id="1907" w:name="_Toc385257096"/>
      <w:bookmarkStart w:id="1908" w:name="_Toc501257327"/>
      <w:bookmarkStart w:id="1909" w:name="_Toc23747790"/>
      <w:bookmarkStart w:id="1910" w:name="_Toc382809821"/>
      <w:bookmarkStart w:id="1911" w:name="_Toc234833104"/>
      <w:bookmarkStart w:id="1912" w:name="_Toc247527780"/>
      <w:bookmarkStart w:id="1913" w:name="_Toc387158465"/>
      <w:r>
        <w:rPr>
          <w:rFonts w:hint="default" w:ascii="Times New Roman" w:hAnsi="Times New Roman" w:cs="Times New Roman"/>
          <w:color w:val="auto"/>
          <w:sz w:val="24"/>
          <w:szCs w:val="24"/>
          <w:highlight w:val="none"/>
        </w:rPr>
        <w:t>20.5 对各项保险的一般要求</w:t>
      </w:r>
      <w:bookmarkEnd w:id="1905"/>
      <w:bookmarkEnd w:id="1906"/>
      <w:bookmarkEnd w:id="1907"/>
      <w:bookmarkEnd w:id="1908"/>
      <w:bookmarkEnd w:id="1909"/>
      <w:bookmarkEnd w:id="1910"/>
      <w:bookmarkEnd w:id="1911"/>
      <w:bookmarkEnd w:id="1912"/>
      <w:bookmarkEnd w:id="191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20.5.1 保险凭证</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承包人应在专用合同条款约定的期限内向发包人提交各项保险生效的证据和保险单副本，保险单必须与专用合同条款约定的条件保持一致。</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20.5.2 保险合同条款的变动</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承包人需要变动保险合同条款时，应事先征得发包人同意，并通知监理人。保险人作出变动的，承包人应在收到保险人通知后立即通知发包人和监理人。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20.5.3 持续保险</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承包人应与保险人保持联系，使保险人能够随时了解工程实施中的变动，并确保按保险合同条款要求持续保险。</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20.5.4 保险金不足的补偿</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保险金不足以补偿损失的，应由承包人和(或)发包人按合同约定负责补偿。</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20.5.5 未按约定投保的补救</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(1)由于负有投保义务的一方当事人未按合同约定办理保险，或未能使保险持续有效的，另一方当事人可代为办理，所需费用由对方当事人承担。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(2)由于负有投保义务的一方当事人未按合同约定办理某项保险，导致受益人未能得到保险人的赔偿，原应从该项保险得到的保险金应由负有投保义务的一方当事人支付。</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20.5.6 报告义务</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当保险事故发生时，投保人应按照保险单规定的条件和期限及时向保险人报告。</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914" w:name="_Toc184635118"/>
      <w:bookmarkStart w:id="1915" w:name="_Toc23747791"/>
      <w:bookmarkStart w:id="1916" w:name="_Toc382809822"/>
      <w:bookmarkStart w:id="1917" w:name="_Toc247514180"/>
      <w:bookmarkStart w:id="1918" w:name="_Toc501257328"/>
      <w:bookmarkStart w:id="1919" w:name="_Toc387158466"/>
      <w:bookmarkStart w:id="1920" w:name="_Toc234833105"/>
      <w:bookmarkStart w:id="1921" w:name="_Toc26806"/>
      <w:bookmarkStart w:id="1922" w:name="_Toc247527781"/>
      <w:bookmarkStart w:id="1923" w:name="_Toc385257097"/>
      <w:r>
        <w:rPr>
          <w:rFonts w:hint="default" w:ascii="Times New Roman" w:hAnsi="Times New Roman" w:cs="Times New Roman"/>
          <w:i w:val="0"/>
          <w:iCs w:val="0"/>
          <w:color w:val="auto"/>
          <w:szCs w:val="24"/>
          <w:highlight w:val="none"/>
        </w:rPr>
        <w:t>21. 不可抗力</w:t>
      </w:r>
      <w:bookmarkEnd w:id="1914"/>
      <w:bookmarkEnd w:id="1915"/>
      <w:bookmarkEnd w:id="1916"/>
      <w:bookmarkEnd w:id="1917"/>
      <w:bookmarkEnd w:id="1918"/>
      <w:bookmarkEnd w:id="1919"/>
      <w:bookmarkEnd w:id="1920"/>
      <w:bookmarkEnd w:id="1921"/>
      <w:bookmarkEnd w:id="1922"/>
      <w:bookmarkEnd w:id="1923"/>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924" w:name="_Toc30633"/>
      <w:bookmarkStart w:id="1925" w:name="_Toc385257098"/>
      <w:bookmarkStart w:id="1926" w:name="_Toc382809823"/>
      <w:bookmarkStart w:id="1927" w:name="_Toc387158467"/>
      <w:bookmarkStart w:id="1928" w:name="_Toc234833106"/>
      <w:bookmarkStart w:id="1929" w:name="_Toc501257329"/>
      <w:bookmarkStart w:id="1930" w:name="_Toc23747792"/>
      <w:bookmarkStart w:id="1931" w:name="_Toc247527782"/>
      <w:bookmarkStart w:id="1932" w:name="_Toc247514181"/>
      <w:r>
        <w:rPr>
          <w:rFonts w:hint="default" w:ascii="Times New Roman" w:hAnsi="Times New Roman" w:cs="Times New Roman"/>
          <w:color w:val="auto"/>
          <w:sz w:val="24"/>
          <w:szCs w:val="24"/>
          <w:highlight w:val="none"/>
        </w:rPr>
        <w:t>21.1 不可抗力的确认</w:t>
      </w:r>
      <w:bookmarkEnd w:id="1924"/>
      <w:bookmarkEnd w:id="1925"/>
      <w:bookmarkEnd w:id="1926"/>
      <w:bookmarkEnd w:id="1927"/>
      <w:bookmarkEnd w:id="1928"/>
      <w:bookmarkEnd w:id="1929"/>
      <w:bookmarkEnd w:id="1930"/>
      <w:bookmarkEnd w:id="1931"/>
      <w:bookmarkEnd w:id="193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21.1.1 不可抗力是指承包人和发包人在订立合同时不可预见，在履行合同过程中不可避免发生并不能克服的自然灾害和社会性突发事件，如地震、海啸、瘟疫、水灾、骚乱、暴动、战争和专用合同条款约定的其他情形。</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21.1.2 不可抗力发生后，发包人和承包人应及时认真统计所造成的损失，收集不可抗力造成损失的证据。合同双方对是否属于不可抗力或其损失的意见不一致的，由监理人按第3.5 款商定或确定。发生争议时，按第24条的约定执行。</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933" w:name="_Toc247514182"/>
      <w:bookmarkStart w:id="1934" w:name="_Toc10360"/>
      <w:bookmarkStart w:id="1935" w:name="_Toc382809824"/>
      <w:bookmarkStart w:id="1936" w:name="_Toc23747793"/>
      <w:bookmarkStart w:id="1937" w:name="_Toc501257330"/>
      <w:bookmarkStart w:id="1938" w:name="_Toc385257099"/>
      <w:bookmarkStart w:id="1939" w:name="_Toc234833107"/>
      <w:bookmarkStart w:id="1940" w:name="_Toc387158468"/>
      <w:bookmarkStart w:id="1941" w:name="_Toc247527783"/>
      <w:r>
        <w:rPr>
          <w:rFonts w:hint="default" w:ascii="Times New Roman" w:hAnsi="Times New Roman" w:cs="Times New Roman"/>
          <w:color w:val="auto"/>
          <w:sz w:val="24"/>
          <w:szCs w:val="24"/>
          <w:highlight w:val="none"/>
        </w:rPr>
        <w:t>21.2 不可抗力的通知</w:t>
      </w:r>
      <w:bookmarkEnd w:id="1933"/>
      <w:bookmarkEnd w:id="1934"/>
      <w:bookmarkEnd w:id="1935"/>
      <w:bookmarkEnd w:id="1936"/>
      <w:bookmarkEnd w:id="1937"/>
      <w:bookmarkEnd w:id="1938"/>
      <w:bookmarkEnd w:id="1939"/>
      <w:bookmarkEnd w:id="1940"/>
      <w:bookmarkEnd w:id="194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21.2.1 合同一方当事人遇到不可抗力事件，使其履行合同义务受到阻碍时，应立即通知合同另一方当事人和监理人，书面说明不可抗力和受阻碍的详细情况，并提供必要的证明。</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21.2.2 如不可抗力持续发生，合同一方当事人应及时向合同另一方当事人和监理人提交中间报告，说明不可抗力和履行合同受阻的情况，并于不可抗力事件结束后28天内提交最终报告及有关资料。</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942" w:name="_Toc382809825"/>
      <w:bookmarkStart w:id="1943" w:name="_Toc387158469"/>
      <w:bookmarkStart w:id="1944" w:name="_Toc4099"/>
      <w:bookmarkStart w:id="1945" w:name="_Toc385257100"/>
      <w:bookmarkStart w:id="1946" w:name="_Toc234833108"/>
      <w:bookmarkStart w:id="1947" w:name="_Toc23747794"/>
      <w:bookmarkStart w:id="1948" w:name="_Toc247527784"/>
      <w:bookmarkStart w:id="1949" w:name="_Toc247514183"/>
      <w:bookmarkStart w:id="1950" w:name="_Toc501257331"/>
      <w:r>
        <w:rPr>
          <w:rFonts w:hint="default" w:ascii="Times New Roman" w:hAnsi="Times New Roman" w:cs="Times New Roman"/>
          <w:color w:val="auto"/>
          <w:sz w:val="24"/>
          <w:szCs w:val="24"/>
          <w:highlight w:val="none"/>
        </w:rPr>
        <w:t>21.3 不可抗力后果及其处理</w:t>
      </w:r>
      <w:bookmarkEnd w:id="1942"/>
      <w:bookmarkEnd w:id="1943"/>
      <w:bookmarkEnd w:id="1944"/>
      <w:bookmarkEnd w:id="1945"/>
      <w:bookmarkEnd w:id="1946"/>
      <w:bookmarkEnd w:id="1947"/>
      <w:bookmarkEnd w:id="1948"/>
      <w:bookmarkEnd w:id="1949"/>
      <w:bookmarkEnd w:id="1950"/>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21.3.1 不可抗力造成损害的责任</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除专用合同条款另有约定外，不可抗力导致的人员伤亡、财产损失、费用增加和(或)工期延误等后果，由合同双方按以下原则承担：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(1)永久工程，包括已运至施工场地的材料和工程设备的损害，以及因工程损害造成的第三者人员伤亡和财产损失由发包人承担；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(2)承包人设备的损坏由承包人承担；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(3)发包人和承包人各自承担其人员伤亡和其他财产损失及其相关费用；</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(4)承包人的停工损失由承包人承担，但停工期间应监理人要求照管工程和清理、修复工程的金额由发包人承担；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(5)不能按期竣工的，应合理延长工期，承包人不需支付逾期竣工违约金。发包人要求赶工的，承包人应采取赶工措施，赶工费用由发包人承担。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21.3.2 延迟履行期间发生的不可抗力</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合同一方当事人延迟履行，在延迟履行期间发生不可抗力的，不免除其责任。</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21.3.3 避免和减少不可抗力损失</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不可抗力发生后，发包人和承包人均应采取措施尽量避免和减少损失的扩大，任何一方没有采取有效措施导致损失扩大的，应对扩大的损失承担责任。</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21.3.4 因不可抗力解除合同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合同一方当事人因不可抗力不能履行合同的，应当及时通知对方解除合同。合同解除后，承包人应按照第22.2.4 项约定撤离施工场地。已经订货的材料、设备由订货方负责退货或解除订货合同，不能退还的货款和因退货、解除订货合同发生的费用，由发包人承担，因未及时退货造成的损失由责任方承担。合同解除后的付款，参照第22.2.3 项约定，由监理人按第3.5 款商定或确定。</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951" w:name="_Toc382809826"/>
      <w:bookmarkStart w:id="1952" w:name="_Toc23747795"/>
      <w:bookmarkStart w:id="1953" w:name="_Toc247527785"/>
      <w:bookmarkStart w:id="1954" w:name="_Toc385257101"/>
      <w:bookmarkStart w:id="1955" w:name="_Toc29355"/>
      <w:bookmarkStart w:id="1956" w:name="_Toc247514184"/>
      <w:bookmarkStart w:id="1957" w:name="_Toc387158470"/>
      <w:bookmarkStart w:id="1958" w:name="_Toc184635119"/>
      <w:r>
        <w:rPr>
          <w:rFonts w:hint="default" w:ascii="Times New Roman" w:hAnsi="Times New Roman" w:cs="Times New Roman"/>
          <w:i w:val="0"/>
          <w:iCs w:val="0"/>
          <w:color w:val="auto"/>
          <w:szCs w:val="24"/>
          <w:highlight w:val="none"/>
        </w:rPr>
        <w:t>22. 违约</w:t>
      </w:r>
      <w:bookmarkEnd w:id="1951"/>
      <w:bookmarkEnd w:id="1952"/>
      <w:bookmarkEnd w:id="1953"/>
      <w:bookmarkEnd w:id="1954"/>
      <w:bookmarkEnd w:id="1955"/>
      <w:bookmarkEnd w:id="1956"/>
      <w:bookmarkEnd w:id="1957"/>
      <w:bookmarkEnd w:id="1958"/>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959" w:name="_Toc247527786"/>
      <w:bookmarkStart w:id="1960" w:name="_Toc387158471"/>
      <w:bookmarkStart w:id="1961" w:name="_Toc10571"/>
      <w:bookmarkStart w:id="1962" w:name="_Toc247514185"/>
      <w:bookmarkStart w:id="1963" w:name="_Toc382809827"/>
      <w:bookmarkStart w:id="1964" w:name="_Toc23747796"/>
      <w:bookmarkStart w:id="1965" w:name="_Toc385257102"/>
      <w:r>
        <w:rPr>
          <w:rFonts w:hint="default" w:ascii="Times New Roman" w:hAnsi="Times New Roman" w:cs="Times New Roman"/>
          <w:color w:val="auto"/>
          <w:sz w:val="24"/>
          <w:szCs w:val="24"/>
          <w:highlight w:val="none"/>
        </w:rPr>
        <w:t>22.1 承包人违约</w:t>
      </w:r>
      <w:bookmarkEnd w:id="1959"/>
      <w:bookmarkEnd w:id="1960"/>
      <w:bookmarkEnd w:id="1961"/>
      <w:bookmarkEnd w:id="1962"/>
      <w:bookmarkEnd w:id="1963"/>
      <w:bookmarkEnd w:id="1964"/>
      <w:bookmarkEnd w:id="1965"/>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22.1.1 承包人违约的情形</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在履行合同过程中发生的下列情况之一的，属承包人违约：</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(1)承包人的设计、承包人文件、实施和竣工的工程不符合法律以及合同约定；</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(2)承包人违反第1.8 款或第4.3 款的约定，私自将合同的全部或部分权利转让给其他人，或私自将合同的全部或部分义务转移给其他人；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(3)承包人违反第6.3 款或第7.4 款的约定，未经监理人批准，私自将已按合同约定进入施工场地的施工设备、临时设施或材料撤离施工场地；</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(4)承包人违反第6.5 款的约定使用了不合格材料或工程设备，工程质量达不到标准要求，又拒绝清除不合格工程；</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(5)承包人未能按合同进度计划及时完成合同约定的工作，造成工期延误；</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(6)由于承包人原因未能通过竣工试验或竣工后试验的；</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(7)承包人在缺陷责任期内，未能对工程接收证书所列的缺陷清单的内容或缺陷责任期内发生的缺陷进行修复，而又拒绝按监理人指示再进行修补；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(8)承包人无法继续履行或明确表示不履行或实质上已停止履行合同；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(9)承包人不按合同约定履行义务的其他情况。</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22.1.2 对承包人违约的处理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(1)承包人发生第22.1.1(6)目约定的违约情况时，按照发包人要求中的未能通过竣工/竣工后试验的损害进行赔偿。发生延期的，承包人应承担延期责任。</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(2)承包人发生第22.1.1(8)目约定的违约情况时，发包人可通知承包人立即解除合同，并按第22.1.3项、第22.1.4项、第22.1.5项约定处理。</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发生除第22.1.1(6)目和第22.1.1(8)目约定以外的其他违约情况时，监理人可向承包人发出整改通知，要求其在指定的期限内纠正。除合同条款另有约定外，承包人应承担其违约所引起的费用增加和(或)工期延误。</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22.1.3 因承包人违约解除合同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发出整改通知28天后，承包人仍不纠正违约行为的，发包人有权解除合同并向承包人发出解除合同通知。承包人收到发包人解除合同通知后14天内，承包人应撤离现场，发包人派员进驻施工场地完成现场交接手续，发包人有权另行组织人员或委托其他承包人。发包人因继续完成该工程的需要，有权扣留使用承包人在现场的材料、设备和临时设施。但发包人的这一行动不免除承包人应承担的违约责任，也不影响发包人根据合同约定享有的索赔权利。</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22.1.4 发包人发出合同解除通知后的估价、付款和结清</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(1)承包人收到发包人解除合同通知后28天内，监理人按第3.5 款商定或确定承包人实际完成工作的价值，包括发包人扣留承包人的材料、设备及临时设施和承包人已提供的设计、材料、施工设备、工程设备、临时工程等的价值。</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(2)发包人发出解除合同通知后，发包人有权暂停对承包人的一切付款，查清各项付款和已扣款金额，包括承包人应支付的违约金。</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(3)发包人发出解除合同通知后，发包人有权按第23.4 款的约定向承包人索赔由于解除合同给发包人造成的损失。</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(4)合同双方确认合同价款后，发包人颁发最终结清付款证书，并结清全部合同款项。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(5)发包人和承包人未能就解除合同后的结清达成一致而形成争议的，按第24条的约定执行。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22.1.5 协议利益的转让</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承包人违约解除合同的，发包人有权要求承包人将其为实施合同而签订的材料和设备的订货协议或任何服务协议利益转让给发包人，并在承包人收到解除合同通知后的14天内，依法办理转让手续。发包人有权使用承包人文件和由承包人或以其名义编制的其他设计文件。</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22.1.6 紧急情况下无能力或不愿进行抢救</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966" w:name="_Toc23747797"/>
      <w:bookmarkStart w:id="1967" w:name="_Toc501257334"/>
      <w:bookmarkStart w:id="1968" w:name="_Toc247527787"/>
      <w:bookmarkStart w:id="1969" w:name="_Toc234833111"/>
      <w:bookmarkStart w:id="1970" w:name="_Toc387158472"/>
      <w:bookmarkStart w:id="1971" w:name="_Toc10833"/>
      <w:bookmarkStart w:id="1972" w:name="_Toc247514186"/>
      <w:bookmarkStart w:id="1973" w:name="_Toc382809828"/>
      <w:bookmarkStart w:id="1974" w:name="_Toc385257103"/>
      <w:r>
        <w:rPr>
          <w:rFonts w:hint="default" w:ascii="Times New Roman" w:hAnsi="Times New Roman" w:cs="Times New Roman"/>
          <w:color w:val="auto"/>
          <w:sz w:val="24"/>
          <w:szCs w:val="24"/>
          <w:highlight w:val="none"/>
        </w:rPr>
        <w:t>22.2 发包人违约</w:t>
      </w:r>
      <w:bookmarkEnd w:id="1966"/>
      <w:bookmarkEnd w:id="1967"/>
      <w:bookmarkEnd w:id="1968"/>
      <w:bookmarkEnd w:id="1969"/>
      <w:bookmarkEnd w:id="1970"/>
      <w:bookmarkEnd w:id="1971"/>
      <w:bookmarkEnd w:id="1972"/>
      <w:bookmarkEnd w:id="1973"/>
      <w:bookmarkEnd w:id="1974"/>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22.2.1 发包人违约的情形</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在履行合同过程中发生下列情形之一的，属发包人违约：</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(1)发包人未能按合同约定支付价款，或拖延、拒绝批准付款申请和支付凭证，导致付款延误；</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(2)发包人原因造成停工；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(3)监理人无正当理由没有在约定期限内发出复工指示，导致承包人无法复工；</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(4)发包人无法继续履行或明确表示不履行或实质上已停止履行合同；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(5)发包人不履行合同约定其他义务。</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22.2.2 因发包人违约解除合同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(1)发生第22.2.1(4)目的违约情况时，承包人可书面通知发包人解除合同。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(2)承包人按12.2.1项约定暂停施工28天后，发包人仍不纠正违约行为的，承包人可向发包人发出解除合同通知。但承包人的这一行为不免除发包人承担的违约责任，也不影响承包人根据合同约定享有的索赔权利。</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22.2.3 解除合同后的付款</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因发包人违约解除合同的，发包人应在解除合同后28天内向承包人支付下列款项，承包人应在此期限内及时向发包人提交要求支付下列金额的有关资料和凭证：</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(1)承包人发出解除合同通知前所完成工作的价款；</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(2)承包人为该工程施工订购并已付款的材料、工程设备和其他物品的金额。发包人付款后，该材料、工程设备和其他物品归发包人所有；</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(3)承包人为完成工程所发生的，而发包人未支付的金额；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(4)承包人撤离施工场地以及遣散承包人人员的金额；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(5)因解除合同造成的承包人损失；</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(6)按合同约定在承包人发出解除合同通知前应支付给承包人的其他金额。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发包人应按本项约定支付上述金额并退还质量保证金和履约担保，但有权要求承包人支付应偿还给发包人的各项金额。</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22.2.4 解除合同后的承包人撤离</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因发包人违约而解除合同后，承包人应妥善处理正在施工的工程和已购材料、设备的保护和移交工作，并按发包人的要求将承包人设备和人员撤出施工场地。承包人撤出施工场地应遵守第18.7.1 项的约定，发包人应为承包人撤出提供必要条件并办理移交手续。</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975" w:name="_Toc247514187"/>
      <w:bookmarkStart w:id="1976" w:name="_Toc382809829"/>
      <w:bookmarkStart w:id="1977" w:name="_Toc23747798"/>
      <w:bookmarkStart w:id="1978" w:name="_Toc234833112"/>
      <w:bookmarkStart w:id="1979" w:name="_Toc501257335"/>
      <w:bookmarkStart w:id="1980" w:name="_Toc387158473"/>
      <w:bookmarkStart w:id="1981" w:name="_Toc247527788"/>
      <w:bookmarkStart w:id="1982" w:name="_Toc385257104"/>
      <w:bookmarkStart w:id="1983" w:name="_Toc13947"/>
      <w:r>
        <w:rPr>
          <w:rFonts w:hint="default" w:ascii="Times New Roman" w:hAnsi="Times New Roman" w:cs="Times New Roman"/>
          <w:color w:val="auto"/>
          <w:sz w:val="24"/>
          <w:szCs w:val="24"/>
          <w:highlight w:val="none"/>
        </w:rPr>
        <w:t>22.3 第三人造成的违约</w:t>
      </w:r>
      <w:bookmarkEnd w:id="1975"/>
      <w:bookmarkEnd w:id="1976"/>
      <w:bookmarkEnd w:id="1977"/>
      <w:bookmarkEnd w:id="1978"/>
      <w:bookmarkEnd w:id="1979"/>
      <w:bookmarkEnd w:id="1980"/>
      <w:bookmarkEnd w:id="1981"/>
      <w:bookmarkEnd w:id="1982"/>
      <w:bookmarkEnd w:id="1983"/>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在履行合同过程中，一方当事人因第三人的原因造成违约的，应当向对方当事人承担违约责任。一方当事人和第三人之间的纠纷，依照法律规定或者按照约定解决。</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1984" w:name="_Toc382809830"/>
      <w:bookmarkStart w:id="1985" w:name="_Toc501257336"/>
      <w:bookmarkStart w:id="1986" w:name="_Toc234833113"/>
      <w:bookmarkStart w:id="1987" w:name="_Toc10875"/>
      <w:bookmarkStart w:id="1988" w:name="_Toc247527789"/>
      <w:bookmarkStart w:id="1989" w:name="_Toc385257105"/>
      <w:bookmarkStart w:id="1990" w:name="_Toc247514188"/>
      <w:bookmarkStart w:id="1991" w:name="_Toc184635120"/>
      <w:bookmarkStart w:id="1992" w:name="_Toc23747799"/>
      <w:bookmarkStart w:id="1993" w:name="_Toc387158474"/>
      <w:r>
        <w:rPr>
          <w:rFonts w:hint="default" w:ascii="Times New Roman" w:hAnsi="Times New Roman" w:cs="Times New Roman"/>
          <w:i w:val="0"/>
          <w:iCs w:val="0"/>
          <w:color w:val="auto"/>
          <w:szCs w:val="24"/>
          <w:highlight w:val="none"/>
        </w:rPr>
        <w:t>23. 索赔</w:t>
      </w:r>
      <w:bookmarkEnd w:id="1984"/>
      <w:bookmarkEnd w:id="1985"/>
      <w:bookmarkEnd w:id="1986"/>
      <w:bookmarkEnd w:id="1987"/>
      <w:bookmarkEnd w:id="1988"/>
      <w:bookmarkEnd w:id="1989"/>
      <w:bookmarkEnd w:id="1990"/>
      <w:bookmarkEnd w:id="1991"/>
      <w:bookmarkEnd w:id="1992"/>
      <w:bookmarkEnd w:id="1993"/>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1994" w:name="_Toc247514189"/>
      <w:bookmarkStart w:id="1995" w:name="_Toc29300"/>
      <w:bookmarkStart w:id="1996" w:name="_Toc234833114"/>
      <w:bookmarkStart w:id="1997" w:name="_Toc247527790"/>
      <w:bookmarkStart w:id="1998" w:name="_Toc23747800"/>
      <w:bookmarkStart w:id="1999" w:name="_Toc385257106"/>
      <w:bookmarkStart w:id="2000" w:name="_Toc382809831"/>
      <w:bookmarkStart w:id="2001" w:name="_Toc501257337"/>
      <w:bookmarkStart w:id="2002" w:name="_Toc387158475"/>
      <w:r>
        <w:rPr>
          <w:rFonts w:hint="default" w:ascii="Times New Roman" w:hAnsi="Times New Roman" w:cs="Times New Roman"/>
          <w:color w:val="auto"/>
          <w:sz w:val="24"/>
          <w:szCs w:val="24"/>
          <w:highlight w:val="none"/>
        </w:rPr>
        <w:t>23.1 承包人索赔的提出</w:t>
      </w:r>
      <w:bookmarkEnd w:id="1994"/>
      <w:bookmarkEnd w:id="1995"/>
      <w:bookmarkEnd w:id="1996"/>
      <w:bookmarkEnd w:id="1997"/>
      <w:bookmarkEnd w:id="1998"/>
      <w:bookmarkEnd w:id="1999"/>
      <w:bookmarkEnd w:id="2000"/>
      <w:bookmarkEnd w:id="2001"/>
      <w:bookmarkEnd w:id="2002"/>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根据合同约定，承包人认为有权得到追加付款和(或)延长工期的，应按以下程序向发包人提出索赔：</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(1)承包人应在知道或应当知道索赔事件发生后28 天内，向监理人递交索赔意向通知书，并说明发生索赔事件的事由。承包人未在前述28天内发出索赔意向通知书的，工期不予顺延，且承包人无权获得追加付款；</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(2)承包人应在发出索赔意向通知书后28天内，向监理人正式递交索赔通知书。索赔通知书应详细说明索赔理由以及要求追加的付款金额和(或)延长的工期，并附必要的记录和证明材料；</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(3)索赔事件具有连续影响的，承包人应按合理时间间隔继续递交延续索赔通知，说明连续影响的实际情况和记录，列出累计的追加付款金额和(或)工期延长天数；</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(4)在索赔事件影响结束后的28 天内，承包人应向监理人递交最终索赔通知书，说明最终要求索赔的追加付款金额和延长的工期，并附必要的记录和证明材料。</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2003" w:name="_Toc247527791"/>
      <w:bookmarkStart w:id="2004" w:name="_Toc234833115"/>
      <w:bookmarkStart w:id="2005" w:name="_Toc382809832"/>
      <w:bookmarkStart w:id="2006" w:name="_Toc385257107"/>
      <w:bookmarkStart w:id="2007" w:name="_Toc23747801"/>
      <w:bookmarkStart w:id="2008" w:name="_Toc247514190"/>
      <w:bookmarkStart w:id="2009" w:name="_Toc501257338"/>
      <w:bookmarkStart w:id="2010" w:name="_Toc9803"/>
      <w:bookmarkStart w:id="2011" w:name="_Toc387158476"/>
      <w:r>
        <w:rPr>
          <w:rFonts w:hint="default" w:ascii="Times New Roman" w:hAnsi="Times New Roman" w:cs="Times New Roman"/>
          <w:color w:val="auto"/>
          <w:sz w:val="24"/>
          <w:szCs w:val="24"/>
          <w:highlight w:val="none"/>
        </w:rPr>
        <w:t>23.2 承包人索赔处理程序</w:t>
      </w:r>
      <w:bookmarkEnd w:id="2003"/>
      <w:bookmarkEnd w:id="2004"/>
      <w:bookmarkEnd w:id="2005"/>
      <w:bookmarkEnd w:id="2006"/>
      <w:bookmarkEnd w:id="2007"/>
      <w:bookmarkEnd w:id="2008"/>
      <w:bookmarkEnd w:id="2009"/>
      <w:bookmarkEnd w:id="2010"/>
      <w:bookmarkEnd w:id="2011"/>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(1)监理人收到承包人提交的索赔通知书后，应及时审查索赔通知书的内容、查验承包人的记录和证明材料，必要时监理人可要求承包人提交全部原始记录副本。</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(2)监理人应按第3.5 款商定或确定追加的付款和(或)延长的工期，并在收到上述索赔通知书或有关索赔的进一步证明材料后的42天内，将索赔处理结果答复承包人。监理人应当在收到索赔通知书或有关索赔的进一步证明材料后的42天内不予答复的，视为认可索赔。</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(3)承包人接受索赔处理结果的，发包人应在作出索赔处理结果答复后28 天内完成赔付。承包人不接受索赔处理结果的，按第24条的约定执行。</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2012" w:name="_Toc247527792"/>
      <w:bookmarkStart w:id="2013" w:name="_Toc247514191"/>
      <w:bookmarkStart w:id="2014" w:name="_Toc234833116"/>
      <w:bookmarkStart w:id="2015" w:name="_Toc16496"/>
      <w:bookmarkStart w:id="2016" w:name="_Toc382809833"/>
      <w:bookmarkStart w:id="2017" w:name="_Toc385257108"/>
      <w:bookmarkStart w:id="2018" w:name="_Toc387158477"/>
      <w:bookmarkStart w:id="2019" w:name="_Toc501257339"/>
      <w:bookmarkStart w:id="2020" w:name="_Toc23747802"/>
      <w:r>
        <w:rPr>
          <w:rFonts w:hint="default" w:ascii="Times New Roman" w:hAnsi="Times New Roman" w:cs="Times New Roman"/>
          <w:color w:val="auto"/>
          <w:sz w:val="24"/>
          <w:szCs w:val="24"/>
          <w:highlight w:val="none"/>
        </w:rPr>
        <w:t>23.3 承包人提出索赔的期限</w:t>
      </w:r>
      <w:bookmarkEnd w:id="2012"/>
      <w:bookmarkEnd w:id="2013"/>
      <w:bookmarkEnd w:id="2014"/>
      <w:bookmarkEnd w:id="2015"/>
      <w:bookmarkEnd w:id="2016"/>
      <w:bookmarkEnd w:id="2017"/>
      <w:bookmarkEnd w:id="2018"/>
      <w:bookmarkEnd w:id="2019"/>
      <w:bookmarkEnd w:id="2020"/>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23.3.1 承包人按第17.5 款的约定接受了竣工付款证书后，应被认为已无权再提出在合同工程接收证书颁发前所发生的任何索赔。</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23.3.2 承包人按第17.6 款的约定提交的最终结清申请单中，只限于提出工程接收证书颁发后发生的索赔。提出索赔的期限自接受最终结清证书时终止。</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2021" w:name="_Toc382809834"/>
      <w:bookmarkStart w:id="2022" w:name="_Toc1583"/>
      <w:bookmarkStart w:id="2023" w:name="_Toc247514192"/>
      <w:bookmarkStart w:id="2024" w:name="_Toc501257340"/>
      <w:bookmarkStart w:id="2025" w:name="_Toc234833117"/>
      <w:bookmarkStart w:id="2026" w:name="_Toc23747803"/>
      <w:bookmarkStart w:id="2027" w:name="_Toc387158478"/>
      <w:bookmarkStart w:id="2028" w:name="_Toc247527793"/>
      <w:bookmarkStart w:id="2029" w:name="_Toc385257109"/>
      <w:r>
        <w:rPr>
          <w:rFonts w:hint="default" w:ascii="Times New Roman" w:hAnsi="Times New Roman" w:cs="Times New Roman"/>
          <w:color w:val="auto"/>
          <w:sz w:val="24"/>
          <w:szCs w:val="24"/>
          <w:highlight w:val="none"/>
        </w:rPr>
        <w:t>23.4 发包人的索赔</w:t>
      </w:r>
      <w:bookmarkEnd w:id="2021"/>
      <w:bookmarkEnd w:id="2022"/>
      <w:bookmarkEnd w:id="2023"/>
      <w:bookmarkEnd w:id="2024"/>
      <w:bookmarkEnd w:id="2025"/>
      <w:bookmarkEnd w:id="2026"/>
      <w:bookmarkEnd w:id="2027"/>
      <w:bookmarkEnd w:id="2028"/>
      <w:bookmarkEnd w:id="2029"/>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23.4.1 发包人应在知道或应当知道索赔事件发生后28天内，向承包人发出索赔通知，并说明发包人有权扣减的付款和(或)延长缺陷责任期的细节和依据。发包人未在前述28天内发出索赔通知的，丧失要求扣减付款和(或)延长缺陷责任期的权利。发包人提出索赔的期限和要求与第23.3 款的约定相同，要求延长缺陷责任期的通知应在缺陷责任期届满前发出。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23.4.2 发包人按第3.5 款商定或确定发包人从承包人处得到赔付的金额和(或)缺陷责任期的延长期。承包人应付给发包人的金额可从拟支付给承包人的合同价款中扣除，或由承包人以其他方式支付给发包人。</w:t>
      </w:r>
    </w:p>
    <w:p>
      <w:pPr>
        <w:keepNext/>
        <w:keepLines/>
        <w:pageBreakBefore w:val="0"/>
        <w:widowControl w:val="0"/>
        <w:kinsoku/>
        <w:wordWrap w:val="0"/>
        <w:overflowPunct/>
        <w:topLinePunct w:val="0"/>
        <w:autoSpaceDE/>
        <w:autoSpaceDN/>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030" w:name="_Toc382809835"/>
      <w:bookmarkStart w:id="2031" w:name="_Toc234833118"/>
      <w:bookmarkStart w:id="2032" w:name="_Toc247514193"/>
      <w:bookmarkStart w:id="2033" w:name="_Toc247527794"/>
      <w:bookmarkStart w:id="2034" w:name="_Toc387158479"/>
      <w:bookmarkStart w:id="2035" w:name="_Toc385257110"/>
      <w:bookmarkStart w:id="2036" w:name="_Toc184635121"/>
      <w:bookmarkStart w:id="2037" w:name="_Toc6364"/>
      <w:bookmarkStart w:id="2038" w:name="_Toc501257341"/>
      <w:bookmarkStart w:id="2039" w:name="_Toc23747804"/>
      <w:r>
        <w:rPr>
          <w:rFonts w:hint="default" w:ascii="Times New Roman" w:hAnsi="Times New Roman" w:cs="Times New Roman"/>
          <w:i w:val="0"/>
          <w:iCs w:val="0"/>
          <w:color w:val="auto"/>
          <w:szCs w:val="24"/>
          <w:highlight w:val="none"/>
        </w:rPr>
        <w:t>24. 争议的解决</w:t>
      </w:r>
      <w:bookmarkEnd w:id="2030"/>
      <w:bookmarkEnd w:id="2031"/>
      <w:bookmarkEnd w:id="2032"/>
      <w:bookmarkEnd w:id="2033"/>
      <w:bookmarkEnd w:id="2034"/>
      <w:bookmarkEnd w:id="2035"/>
      <w:bookmarkEnd w:id="2036"/>
      <w:bookmarkEnd w:id="2037"/>
      <w:bookmarkEnd w:id="2038"/>
      <w:bookmarkEnd w:id="2039"/>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2040" w:name="_Toc382809836"/>
      <w:bookmarkStart w:id="2041" w:name="_Toc5068"/>
      <w:bookmarkStart w:id="2042" w:name="_Toc234833119"/>
      <w:bookmarkStart w:id="2043" w:name="_Toc387158480"/>
      <w:bookmarkStart w:id="2044" w:name="_Toc23747805"/>
      <w:bookmarkStart w:id="2045" w:name="_Toc501257342"/>
      <w:bookmarkStart w:id="2046" w:name="_Toc247527795"/>
      <w:bookmarkStart w:id="2047" w:name="_Toc247514194"/>
      <w:bookmarkStart w:id="2048" w:name="_Toc385257111"/>
      <w:r>
        <w:rPr>
          <w:rFonts w:hint="default" w:ascii="Times New Roman" w:hAnsi="Times New Roman" w:cs="Times New Roman"/>
          <w:color w:val="auto"/>
          <w:sz w:val="24"/>
          <w:szCs w:val="24"/>
          <w:highlight w:val="none"/>
        </w:rPr>
        <w:t>24.1 争议的解决方式</w:t>
      </w:r>
      <w:bookmarkEnd w:id="2040"/>
      <w:bookmarkEnd w:id="2041"/>
      <w:bookmarkEnd w:id="2042"/>
      <w:bookmarkEnd w:id="2043"/>
      <w:bookmarkEnd w:id="2044"/>
      <w:bookmarkEnd w:id="2045"/>
      <w:bookmarkEnd w:id="2046"/>
      <w:bookmarkEnd w:id="2047"/>
      <w:bookmarkEnd w:id="2048"/>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(1)向约定的仲裁委员会申请仲裁；</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(2)向有管辖权的人民法院提起诉讼。</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2049" w:name="_Toc501257343"/>
      <w:bookmarkStart w:id="2050" w:name="_Toc247527796"/>
      <w:bookmarkStart w:id="2051" w:name="_Toc23747806"/>
      <w:bookmarkStart w:id="2052" w:name="_Toc247514195"/>
      <w:bookmarkStart w:id="2053" w:name="_Toc234833120"/>
      <w:bookmarkStart w:id="2054" w:name="_Toc382809837"/>
      <w:bookmarkStart w:id="2055" w:name="_Toc11780"/>
      <w:bookmarkStart w:id="2056" w:name="_Toc385257112"/>
      <w:bookmarkStart w:id="2057" w:name="_Toc387158481"/>
      <w:r>
        <w:rPr>
          <w:rFonts w:hint="default" w:ascii="Times New Roman" w:hAnsi="Times New Roman" w:cs="Times New Roman"/>
          <w:color w:val="auto"/>
          <w:sz w:val="24"/>
          <w:szCs w:val="24"/>
          <w:highlight w:val="none"/>
        </w:rPr>
        <w:t>24.2 友好解决</w:t>
      </w:r>
      <w:bookmarkEnd w:id="2049"/>
      <w:bookmarkEnd w:id="2050"/>
      <w:bookmarkEnd w:id="2051"/>
      <w:bookmarkEnd w:id="2052"/>
      <w:bookmarkEnd w:id="2053"/>
      <w:bookmarkEnd w:id="2054"/>
      <w:bookmarkEnd w:id="2055"/>
      <w:bookmarkEnd w:id="2056"/>
      <w:bookmarkEnd w:id="2057"/>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在提请争议评审、仲裁或者诉讼前，以及在争议评审、仲裁或诉讼过程中，发包人和承包人均可共同努力友好协商解决争议。</w:t>
      </w:r>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2058" w:name="_Toc234833121"/>
      <w:bookmarkStart w:id="2059" w:name="_Toc4725"/>
      <w:bookmarkStart w:id="2060" w:name="_Toc387158482"/>
      <w:bookmarkStart w:id="2061" w:name="_Toc23747807"/>
      <w:bookmarkStart w:id="2062" w:name="_Toc247514196"/>
      <w:bookmarkStart w:id="2063" w:name="_Toc382809838"/>
      <w:bookmarkStart w:id="2064" w:name="_Toc247527797"/>
      <w:bookmarkStart w:id="2065" w:name="_Toc385257113"/>
      <w:bookmarkStart w:id="2066" w:name="_Toc501257344"/>
      <w:r>
        <w:rPr>
          <w:rFonts w:hint="default" w:ascii="Times New Roman" w:hAnsi="Times New Roman" w:cs="Times New Roman"/>
          <w:color w:val="auto"/>
          <w:sz w:val="24"/>
          <w:szCs w:val="24"/>
          <w:highlight w:val="none"/>
        </w:rPr>
        <w:t>24.3 争议评审</w:t>
      </w:r>
      <w:bookmarkEnd w:id="2058"/>
      <w:bookmarkEnd w:id="2059"/>
      <w:bookmarkEnd w:id="2060"/>
      <w:bookmarkEnd w:id="2061"/>
      <w:bookmarkEnd w:id="2062"/>
      <w:bookmarkEnd w:id="2063"/>
      <w:bookmarkEnd w:id="2064"/>
      <w:bookmarkEnd w:id="2065"/>
      <w:bookmarkEnd w:id="2066"/>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24.3.1 采用争议评审的，发包人和承包人应在开工日后的28天内或在争议发生后，协商成立争议评审组。争议评审组由有合同管理和工程实践经验的专家组成。</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24.3.2 合同双方的争议，应首先由申请人向争议评审组提交一份详细的评审申请报告，并附必要的文件、图纸和证明材料，申请人还应将上述报告的副本同时提交给被申请人和监理人。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24.3.3 被申请人在收到申请人评审申请报告副本后的28 天内，向争议评审组提交一份答辩报告，并附证明材料。被申请人应将答辩报告的副本同时提交给申请人和监理人。</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24.3.4 除专用合同条款另有约定外，争议评审组在收到合同双方报告后的14天内，邀请双方代表和有关人员举行调查会，向双方调查争议细节；必要时争议评审组可要求双方进一步提供补充材料。</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24.3.5 除专用合同条款另有约定外，在调查会结束后的14天内，争议评审组应在不受任何干扰的情况下进行独立、公正的评审，作出书面评审意见，并说明理由。在争议评审期间，争议双方暂按总监理工程师的确定执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24.3.6 发包人和承包人接受评审意见的，由监理人根据评审意见拟定执行协议，经争议双方签字后作为合同的补充文件，并遵照执行。</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24.3.7 发包人或承包人不接受评审意见，并要求提交仲裁或提起诉讼的，应在收到评审意见后的14 天内将仲裁或起诉意向书面通知另一方，并抄送监理人，但在仲裁或诉讼结束前应暂按总监理工程师的确定执行。</w:t>
      </w:r>
      <w:r>
        <w:rPr>
          <w:rFonts w:hint="default" w:ascii="Times New Roman" w:hAnsi="Times New Roman" w:cs="Times New Roman"/>
          <w:b/>
          <w:bCs/>
          <w:color w:val="auto"/>
          <w:sz w:val="24"/>
          <w:highlight w:val="none"/>
        </w:rPr>
        <w:br w:type="page"/>
      </w:r>
      <w:bookmarkStart w:id="2067" w:name="_Toc404093828"/>
    </w:p>
    <w:bookmarkEnd w:id="594"/>
    <w:bookmarkEnd w:id="595"/>
    <w:bookmarkEnd w:id="596"/>
    <w:bookmarkEnd w:id="2067"/>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bookmarkStart w:id="2068" w:name="提纲3"/>
      <w:bookmarkEnd w:id="2068"/>
    </w:p>
    <w:p>
      <w:pPr>
        <w:pageBreakBefore w:val="0"/>
        <w:kinsoku/>
        <w:wordWrap w:val="0"/>
        <w:overflowPunct/>
        <w:bidi w:val="0"/>
        <w:spacing w:line="360" w:lineRule="auto"/>
        <w:ind w:right="27" w:rightChars="13" w:firstLine="481" w:firstLineChars="200"/>
        <w:rPr>
          <w:rFonts w:hint="default" w:ascii="Times New Roman" w:hAnsi="Times New Roman" w:cs="Times New Roman"/>
          <w:b/>
          <w:bCs/>
          <w:color w:val="auto"/>
          <w:sz w:val="24"/>
          <w:highlight w:val="none"/>
        </w:rPr>
      </w:pPr>
    </w:p>
    <w:p>
      <w:pPr>
        <w:pageBreakBefore w:val="0"/>
        <w:kinsoku/>
        <w:wordWrap w:val="0"/>
        <w:overflowPunct/>
        <w:bidi w:val="0"/>
        <w:spacing w:line="360" w:lineRule="auto"/>
        <w:ind w:right="27" w:rightChars="13" w:firstLine="481" w:firstLineChars="200"/>
        <w:rPr>
          <w:rFonts w:hint="default" w:ascii="Times New Roman" w:hAnsi="Times New Roman" w:cs="Times New Roman"/>
          <w:b/>
          <w:bCs/>
          <w:color w:val="auto"/>
          <w:sz w:val="24"/>
          <w:highlight w:val="none"/>
        </w:rPr>
      </w:pPr>
    </w:p>
    <w:p>
      <w:pPr>
        <w:pageBreakBefore w:val="0"/>
        <w:kinsoku/>
        <w:wordWrap w:val="0"/>
        <w:overflowPunct/>
        <w:bidi w:val="0"/>
        <w:spacing w:line="360" w:lineRule="auto"/>
        <w:ind w:right="27" w:rightChars="13" w:firstLine="481" w:firstLineChars="200"/>
        <w:rPr>
          <w:rFonts w:hint="default" w:ascii="Times New Roman" w:hAnsi="Times New Roman" w:cs="Times New Roman"/>
          <w:b/>
          <w:bCs/>
          <w:color w:val="auto"/>
          <w:sz w:val="24"/>
          <w:highlight w:val="none"/>
        </w:rPr>
      </w:pPr>
    </w:p>
    <w:p>
      <w:pPr>
        <w:pageBreakBefore w:val="0"/>
        <w:kinsoku/>
        <w:wordWrap w:val="0"/>
        <w:overflowPunct/>
        <w:bidi w:val="0"/>
        <w:spacing w:line="360" w:lineRule="auto"/>
        <w:ind w:right="27" w:rightChars="13" w:firstLine="481" w:firstLineChars="200"/>
        <w:rPr>
          <w:rFonts w:hint="default" w:ascii="Times New Roman" w:hAnsi="Times New Roman" w:cs="Times New Roman"/>
          <w:b/>
          <w:bCs/>
          <w:color w:val="auto"/>
          <w:sz w:val="24"/>
          <w:highlight w:val="none"/>
        </w:rPr>
      </w:pPr>
    </w:p>
    <w:p>
      <w:pPr>
        <w:pageBreakBefore w:val="0"/>
        <w:kinsoku/>
        <w:wordWrap w:val="0"/>
        <w:overflowPunct/>
        <w:bidi w:val="0"/>
        <w:spacing w:line="360" w:lineRule="auto"/>
        <w:ind w:right="27" w:rightChars="13" w:firstLine="481" w:firstLineChars="200"/>
        <w:rPr>
          <w:rFonts w:hint="default" w:ascii="Times New Roman" w:hAnsi="Times New Roman" w:cs="Times New Roman"/>
          <w:b/>
          <w:bCs/>
          <w:color w:val="auto"/>
          <w:sz w:val="24"/>
          <w:highlight w:val="none"/>
        </w:rPr>
      </w:pPr>
    </w:p>
    <w:p>
      <w:pPr>
        <w:pageBreakBefore w:val="0"/>
        <w:kinsoku/>
        <w:wordWrap w:val="0"/>
        <w:overflowPunct/>
        <w:bidi w:val="0"/>
        <w:spacing w:line="360" w:lineRule="auto"/>
        <w:ind w:right="27" w:rightChars="13" w:firstLine="480" w:firstLineChars="200"/>
        <w:rPr>
          <w:rFonts w:hint="default" w:ascii="Times New Roman" w:hAnsi="Times New Roman" w:cs="Times New Roman"/>
          <w:bCs/>
          <w:color w:val="auto"/>
          <w:sz w:val="24"/>
          <w:highlight w:val="none"/>
        </w:rPr>
      </w:pPr>
    </w:p>
    <w:p>
      <w:pPr>
        <w:pageBreakBefore w:val="0"/>
        <w:kinsoku/>
        <w:wordWrap w:val="0"/>
        <w:overflowPunct/>
        <w:bidi w:val="0"/>
        <w:spacing w:line="360" w:lineRule="auto"/>
        <w:ind w:right="27" w:rightChars="13" w:firstLine="480" w:firstLineChars="200"/>
        <w:rPr>
          <w:rFonts w:hint="default" w:ascii="Times New Roman" w:hAnsi="Times New Roman" w:cs="Times New Roman"/>
          <w:bCs/>
          <w:color w:val="auto"/>
          <w:sz w:val="24"/>
          <w:highlight w:val="none"/>
        </w:rPr>
      </w:pPr>
    </w:p>
    <w:p>
      <w:pPr>
        <w:pageBreakBefore w:val="0"/>
        <w:kinsoku/>
        <w:wordWrap w:val="0"/>
        <w:overflowPunct/>
        <w:bidi w:val="0"/>
        <w:spacing w:line="360" w:lineRule="auto"/>
        <w:ind w:right="27" w:rightChars="13" w:firstLine="480" w:firstLineChars="200"/>
        <w:rPr>
          <w:rFonts w:hint="default" w:ascii="Times New Roman" w:hAnsi="Times New Roman" w:cs="Times New Roman"/>
          <w:bCs/>
          <w:color w:val="auto"/>
          <w:sz w:val="24"/>
          <w:highlight w:val="none"/>
        </w:rPr>
      </w:pPr>
    </w:p>
    <w:p>
      <w:pPr>
        <w:pageBreakBefore w:val="0"/>
        <w:kinsoku/>
        <w:wordWrap w:val="0"/>
        <w:overflowPunct/>
        <w:bidi w:val="0"/>
        <w:spacing w:line="360" w:lineRule="auto"/>
        <w:ind w:right="27" w:rightChars="13" w:firstLine="480" w:firstLineChars="200"/>
        <w:rPr>
          <w:rFonts w:hint="default" w:ascii="Times New Roman" w:hAnsi="Times New Roman" w:cs="Times New Roman"/>
          <w:bCs/>
          <w:color w:val="auto"/>
          <w:sz w:val="24"/>
          <w:highlight w:val="none"/>
        </w:rPr>
      </w:pPr>
    </w:p>
    <w:p>
      <w:pPr>
        <w:pageBreakBefore w:val="0"/>
        <w:kinsoku/>
        <w:wordWrap w:val="0"/>
        <w:overflowPunct/>
        <w:bidi w:val="0"/>
        <w:spacing w:line="360" w:lineRule="auto"/>
        <w:ind w:right="27" w:rightChars="13" w:firstLine="480" w:firstLineChars="200"/>
        <w:rPr>
          <w:rFonts w:hint="default" w:ascii="Times New Roman" w:hAnsi="Times New Roman" w:cs="Times New Roman"/>
          <w:bCs/>
          <w:color w:val="auto"/>
          <w:sz w:val="24"/>
          <w:highlight w:val="none"/>
        </w:rPr>
      </w:pPr>
    </w:p>
    <w:p>
      <w:pPr>
        <w:pageBreakBefore w:val="0"/>
        <w:kinsoku/>
        <w:wordWrap w:val="0"/>
        <w:overflowPunct/>
        <w:bidi w:val="0"/>
        <w:spacing w:line="360" w:lineRule="auto"/>
        <w:ind w:right="27" w:rightChars="13" w:firstLine="480" w:firstLineChars="200"/>
        <w:rPr>
          <w:rFonts w:hint="default" w:ascii="Times New Roman" w:hAnsi="Times New Roman" w:cs="Times New Roman"/>
          <w:bCs/>
          <w:color w:val="auto"/>
          <w:sz w:val="24"/>
          <w:highlight w:val="none"/>
        </w:rPr>
      </w:pPr>
    </w:p>
    <w:p>
      <w:pPr>
        <w:pageBreakBefore w:val="0"/>
        <w:kinsoku/>
        <w:wordWrap w:val="0"/>
        <w:overflowPunct/>
        <w:bidi w:val="0"/>
        <w:spacing w:line="360" w:lineRule="auto"/>
        <w:ind w:right="27" w:rightChars="13" w:firstLine="480" w:firstLineChars="200"/>
        <w:rPr>
          <w:rFonts w:hint="default" w:ascii="Times New Roman" w:hAnsi="Times New Roman" w:cs="Times New Roman"/>
          <w:bCs/>
          <w:color w:val="auto"/>
          <w:sz w:val="24"/>
          <w:highlight w:val="none"/>
        </w:rPr>
      </w:pPr>
    </w:p>
    <w:p>
      <w:pPr>
        <w:pStyle w:val="166"/>
        <w:keepNext w:val="0"/>
        <w:keepLines w:val="0"/>
        <w:pageBreakBefore w:val="0"/>
        <w:widowControl w:val="0"/>
        <w:tabs>
          <w:tab w:val="left" w:pos="4341"/>
        </w:tabs>
        <w:kinsoku/>
        <w:wordWrap w:val="0"/>
        <w:overflowPunct/>
        <w:topLinePunct w:val="0"/>
        <w:autoSpaceDE w:val="0"/>
        <w:autoSpaceDN w:val="0"/>
        <w:bidi w:val="0"/>
        <w:adjustRightInd/>
        <w:snapToGrid/>
        <w:spacing w:before="108"/>
        <w:ind w:left="2659" w:right="27" w:rightChars="13"/>
        <w:textAlignment w:val="auto"/>
        <w:outlineLvl w:val="1"/>
        <w:rPr>
          <w:rFonts w:hint="default" w:ascii="Times New Roman" w:hAnsi="Times New Roman" w:cs="Times New Roman"/>
          <w:bCs/>
          <w:color w:val="auto"/>
          <w:kern w:val="44"/>
          <w:highlight w:val="none"/>
          <w:lang w:bidi="ar-SA"/>
        </w:rPr>
      </w:pPr>
      <w:bookmarkStart w:id="2069" w:name="_Toc22495"/>
      <w:bookmarkStart w:id="2070" w:name="_Toc234833122"/>
      <w:bookmarkStart w:id="2071" w:name="_Toc30952"/>
      <w:bookmarkStart w:id="2072" w:name="_Toc23747808"/>
      <w:bookmarkStart w:id="2073" w:name="_Toc16337"/>
      <w:bookmarkStart w:id="2074" w:name="_Toc501257345"/>
      <w:bookmarkStart w:id="2075" w:name="_Toc455146416"/>
      <w:bookmarkStart w:id="2076" w:name="_Toc455153320"/>
      <w:bookmarkStart w:id="2077" w:name="_Toc3908"/>
      <w:r>
        <w:rPr>
          <w:rFonts w:hint="default" w:ascii="Times New Roman" w:hAnsi="Times New Roman" w:cs="Times New Roman"/>
          <w:bCs/>
          <w:color w:val="auto"/>
          <w:kern w:val="44"/>
          <w:highlight w:val="none"/>
          <w:lang w:bidi="ar-SA"/>
        </w:rPr>
        <w:t>第二节</w:t>
      </w:r>
      <w:r>
        <w:rPr>
          <w:rFonts w:hint="default" w:ascii="Times New Roman" w:hAnsi="Times New Roman" w:eastAsia="黑体" w:cs="Times New Roman"/>
          <w:b w:val="0"/>
          <w:color w:val="auto"/>
          <w:sz w:val="42"/>
          <w:szCs w:val="42"/>
          <w:highlight w:val="none"/>
        </w:rPr>
        <w:t xml:space="preserve">  </w:t>
      </w:r>
      <w:r>
        <w:rPr>
          <w:rFonts w:hint="default" w:ascii="Times New Roman" w:hAnsi="Times New Roman" w:cs="Times New Roman"/>
          <w:bCs/>
          <w:color w:val="auto"/>
          <w:kern w:val="44"/>
          <w:highlight w:val="none"/>
          <w:lang w:bidi="ar-SA"/>
        </w:rPr>
        <w:t>专用合同条款</w:t>
      </w:r>
      <w:bookmarkEnd w:id="2069"/>
      <w:bookmarkEnd w:id="2070"/>
      <w:bookmarkEnd w:id="2071"/>
      <w:bookmarkEnd w:id="2072"/>
      <w:bookmarkEnd w:id="2073"/>
      <w:bookmarkEnd w:id="2074"/>
    </w:p>
    <w:bookmarkEnd w:id="2075"/>
    <w:bookmarkEnd w:id="2076"/>
    <w:bookmarkEnd w:id="2077"/>
    <w:p>
      <w:pPr>
        <w:pStyle w:val="171"/>
        <w:keepNext w:val="0"/>
        <w:keepLines w:val="0"/>
        <w:pageBreakBefore w:val="0"/>
        <w:widowControl w:val="0"/>
        <w:numPr>
          <w:ilvl w:val="0"/>
          <w:numId w:val="0"/>
        </w:numPr>
        <w:tabs>
          <w:tab w:val="left" w:pos="3397"/>
        </w:tabs>
        <w:kinsoku/>
        <w:wordWrap w:val="0"/>
        <w:overflowPunct/>
        <w:topLinePunct w:val="0"/>
        <w:autoSpaceDE w:val="0"/>
        <w:autoSpaceDN w:val="0"/>
        <w:bidi w:val="0"/>
        <w:adjustRightInd/>
        <w:snapToGrid/>
        <w:spacing w:before="107"/>
        <w:ind w:left="0" w:leftChars="0"/>
        <w:jc w:val="center"/>
        <w:textAlignment w:val="auto"/>
        <w:outlineLvl w:val="9"/>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cs="Times New Roman"/>
          <w:color w:val="auto"/>
          <w:szCs w:val="21"/>
          <w:highlight w:val="none"/>
        </w:rPr>
        <w:br w:type="page"/>
      </w:r>
      <w:bookmarkStart w:id="2078" w:name="_bookmark159"/>
      <w:bookmarkEnd w:id="2078"/>
      <w:bookmarkStart w:id="2079" w:name="_Toc501257346"/>
      <w:bookmarkStart w:id="2080" w:name="_Toc234833123"/>
      <w:r>
        <w:rPr>
          <w:rFonts w:hint="eastAsia" w:ascii="Times New Roman" w:hAnsi="Times New Roman" w:cs="Times New Roman"/>
          <w:color w:val="auto"/>
          <w:sz w:val="32"/>
          <w:szCs w:val="32"/>
          <w:highlight w:val="none"/>
          <w:lang w:val="en-US" w:eastAsia="zh-CN"/>
        </w:rPr>
        <w:t>A.</w:t>
      </w:r>
      <w:r>
        <w:rPr>
          <w:rFonts w:hint="default" w:ascii="Times New Roman" w:hAnsi="Times New Roman" w:eastAsia="黑体" w:cs="Times New Roman"/>
          <w:color w:val="auto"/>
          <w:kern w:val="2"/>
          <w:sz w:val="32"/>
          <w:szCs w:val="32"/>
          <w:highlight w:val="none"/>
          <w:lang w:val="en-US" w:eastAsia="zh-CN" w:bidi="ar-SA"/>
        </w:rPr>
        <w:t>公路工程专用合同条款</w:t>
      </w:r>
      <w:bookmarkEnd w:id="2079"/>
      <w:bookmarkEnd w:id="2080"/>
    </w:p>
    <w:p>
      <w:pPr>
        <w:pageBreakBefore w:val="0"/>
        <w:numPr>
          <w:ilvl w:val="0"/>
          <w:numId w:val="1"/>
        </w:numPr>
        <w:tabs>
          <w:tab w:val="left" w:pos="775"/>
        </w:tabs>
        <w:kinsoku/>
        <w:wordWrap w:val="0"/>
        <w:overflowPunct/>
        <w:topLinePunct w:val="0"/>
        <w:autoSpaceDE w:val="0"/>
        <w:autoSpaceDN w:val="0"/>
        <w:bidi w:val="0"/>
        <w:adjustRightInd/>
        <w:snapToGrid/>
        <w:spacing w:before="71"/>
        <w:ind w:hanging="350"/>
        <w:textAlignment w:val="auto"/>
        <w:outlineLvl w:val="9"/>
        <w:rPr>
          <w:rFonts w:hint="default" w:ascii="Times New Roman" w:hAnsi="Times New Roman" w:eastAsia="黑体" w:cs="Times New Roman"/>
          <w:color w:val="auto"/>
          <w:sz w:val="24"/>
          <w:highlight w:val="none"/>
        </w:rPr>
      </w:pPr>
      <w:bookmarkStart w:id="2081" w:name="_Toc234833124"/>
      <w:bookmarkStart w:id="2082" w:name="_Toc501257347"/>
      <w:r>
        <w:rPr>
          <w:rFonts w:hint="default" w:ascii="Times New Roman" w:hAnsi="Times New Roman" w:eastAsia="黑体" w:cs="Times New Roman"/>
          <w:color w:val="auto"/>
          <w:sz w:val="24"/>
          <w:highlight w:val="none"/>
        </w:rPr>
        <w:t>一般约定</w:t>
      </w:r>
      <w:bookmarkEnd w:id="2081"/>
      <w:bookmarkEnd w:id="2082"/>
    </w:p>
    <w:p>
      <w:pPr>
        <w:pStyle w:val="16"/>
        <w:pageBreakBefore w:val="0"/>
        <w:kinsoku/>
        <w:wordWrap w:val="0"/>
        <w:overflowPunct/>
        <w:topLinePunct w:val="0"/>
        <w:bidi w:val="0"/>
        <w:adjustRightInd/>
        <w:snapToGrid/>
        <w:spacing w:before="5"/>
        <w:textAlignment w:val="auto"/>
        <w:outlineLvl w:val="9"/>
        <w:rPr>
          <w:rFonts w:hint="default" w:ascii="Times New Roman" w:hAnsi="Times New Roman" w:cs="Times New Roman"/>
          <w:color w:val="auto"/>
          <w:sz w:val="24"/>
          <w:highlight w:val="none"/>
        </w:rPr>
      </w:pPr>
    </w:p>
    <w:p>
      <w:pPr>
        <w:pageBreakBefore w:val="0"/>
        <w:numPr>
          <w:ilvl w:val="1"/>
          <w:numId w:val="1"/>
        </w:numPr>
        <w:tabs>
          <w:tab w:val="left" w:pos="845"/>
        </w:tabs>
        <w:kinsoku/>
        <w:wordWrap w:val="0"/>
        <w:overflowPunct/>
        <w:topLinePunct w:val="0"/>
        <w:autoSpaceDE w:val="0"/>
        <w:autoSpaceDN w:val="0"/>
        <w:bidi w:val="0"/>
        <w:adjustRightInd/>
        <w:snapToGrid/>
        <w:textAlignment w:val="auto"/>
        <w:outlineLvl w:val="9"/>
        <w:rPr>
          <w:rFonts w:hint="default" w:ascii="Times New Roman" w:hAnsi="Times New Roman" w:eastAsia="黑体" w:cs="Times New Roman"/>
          <w:color w:val="auto"/>
          <w:sz w:val="24"/>
          <w:highlight w:val="none"/>
        </w:rPr>
      </w:pPr>
      <w:bookmarkStart w:id="2083" w:name="_Toc234833125"/>
      <w:bookmarkStart w:id="2084" w:name="_Toc501257348"/>
      <w:r>
        <w:rPr>
          <w:rFonts w:hint="default" w:ascii="Times New Roman" w:hAnsi="Times New Roman" w:eastAsia="黑体" w:cs="Times New Roman"/>
          <w:color w:val="auto"/>
          <w:sz w:val="24"/>
          <w:highlight w:val="none"/>
        </w:rPr>
        <w:t>词语定义</w:t>
      </w:r>
      <w:bookmarkEnd w:id="2083"/>
      <w:bookmarkEnd w:id="2084"/>
    </w:p>
    <w:p>
      <w:pPr>
        <w:pStyle w:val="16"/>
        <w:pageBreakBefore w:val="0"/>
        <w:kinsoku/>
        <w:wordWrap w:val="0"/>
        <w:overflowPunct/>
        <w:topLinePunct w:val="0"/>
        <w:bidi w:val="0"/>
        <w:adjustRightInd/>
        <w:snapToGrid/>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Times New Roman" w:cs="Times New Roman"/>
          <w:color w:val="auto"/>
          <w:sz w:val="24"/>
          <w:highlight w:val="none"/>
        </w:rPr>
        <w:t xml:space="preserve">1.1.1 </w:t>
      </w:r>
      <w:r>
        <w:rPr>
          <w:rFonts w:hint="default" w:ascii="Times New Roman" w:hAnsi="Times New Roman" w:eastAsia="黑体" w:cs="Times New Roman"/>
          <w:color w:val="auto"/>
          <w:sz w:val="24"/>
          <w:highlight w:val="none"/>
        </w:rPr>
        <w:t>合同</w:t>
      </w:r>
    </w:p>
    <w:p>
      <w:pPr>
        <w:pageBreakBefore w:val="0"/>
        <w:kinsoku/>
        <w:wordWrap w:val="0"/>
        <w:overflowPunct/>
        <w:topLinePunct w:val="0"/>
        <w:autoSpaceDE/>
        <w:autoSpaceDN/>
        <w:bidi w:val="0"/>
        <w:adjustRightInd/>
        <w:snapToGrid/>
        <w:spacing w:line="400" w:lineRule="atLeast"/>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第1.1.1.7目细化为：</w:t>
      </w:r>
    </w:p>
    <w:p>
      <w:pPr>
        <w:pageBreakBefore w:val="0"/>
        <w:kinsoku/>
        <w:wordWrap w:val="0"/>
        <w:overflowPunct/>
        <w:topLinePunct w:val="0"/>
        <w:autoSpaceDE/>
        <w:autoSpaceDN/>
        <w:bidi w:val="0"/>
        <w:adjustRightInd/>
        <w:snapToGrid/>
        <w:spacing w:line="400" w:lineRule="atLeast"/>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价格清单：指构成合同文件组成部分的已标明价格、经算术性错误修正及其他错误修正（如有）且承包人已确认的最终的价格清单，包括价格清单说明及价格清单各项表格。</w:t>
      </w:r>
    </w:p>
    <w:p>
      <w:pPr>
        <w:pageBreakBefore w:val="0"/>
        <w:kinsoku/>
        <w:wordWrap w:val="0"/>
        <w:overflowPunct/>
        <w:topLinePunct w:val="0"/>
        <w:autoSpaceDE/>
        <w:autoSpaceDN/>
        <w:bidi w:val="0"/>
        <w:adjustRightInd/>
        <w:snapToGrid/>
        <w:spacing w:line="400" w:lineRule="atLeast"/>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本项补充第</w:t>
      </w:r>
      <w:r>
        <w:rPr>
          <w:rFonts w:hint="default" w:ascii="Times New Roman" w:hAnsi="Times New Roman" w:eastAsia="Times New Roman" w:cs="Times New Roman"/>
          <w:color w:val="auto"/>
          <w:sz w:val="24"/>
          <w:highlight w:val="none"/>
        </w:rPr>
        <w:t xml:space="preserve">1.1.1.10 </w:t>
      </w:r>
      <w:r>
        <w:rPr>
          <w:rFonts w:hint="default" w:ascii="Times New Roman" w:hAnsi="Times New Roman" w:cs="Times New Roman"/>
          <w:color w:val="auto"/>
          <w:sz w:val="24"/>
          <w:highlight w:val="none"/>
        </w:rPr>
        <w:t>目~1.1.11目：</w:t>
      </w:r>
    </w:p>
    <w:p>
      <w:pPr>
        <w:pageBreakBefore w:val="0"/>
        <w:kinsoku/>
        <w:wordWrap w:val="0"/>
        <w:overflowPunct/>
        <w:topLinePunct w:val="0"/>
        <w:autoSpaceDE/>
        <w:autoSpaceDN/>
        <w:bidi w:val="0"/>
        <w:adjustRightInd/>
        <w:snapToGrid/>
        <w:spacing w:line="400" w:lineRule="atLeast"/>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1.1.1.10 补遗书：指发出招标文件之后由招标人向已取得招标文件的投标人发出的、编号的对招标文件所作的澄清、修改书。</w:t>
      </w:r>
    </w:p>
    <w:p>
      <w:pPr>
        <w:pageBreakBefore w:val="0"/>
        <w:numPr>
          <w:ilvl w:val="2"/>
          <w:numId w:val="1"/>
        </w:numPr>
        <w:tabs>
          <w:tab w:val="left" w:pos="1505"/>
        </w:tabs>
        <w:kinsoku/>
        <w:wordWrap w:val="0"/>
        <w:overflowPunct/>
        <w:topLinePunct w:val="0"/>
        <w:autoSpaceDE w:val="0"/>
        <w:autoSpaceDN w:val="0"/>
        <w:bidi w:val="0"/>
        <w:adjustRightInd/>
        <w:snapToGrid/>
        <w:spacing w:before="2"/>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合同当事人和人员</w:t>
      </w:r>
    </w:p>
    <w:p>
      <w:pPr>
        <w:pageBreakBefore w:val="0"/>
        <w:kinsoku/>
        <w:wordWrap w:val="0"/>
        <w:overflowPunct/>
        <w:topLinePunct w:val="0"/>
        <w:autoSpaceDE/>
        <w:autoSpaceDN/>
        <w:bidi w:val="0"/>
        <w:adjustRightInd/>
        <w:snapToGrid/>
        <w:spacing w:line="400" w:lineRule="atLeast"/>
        <w:ind w:firstLine="720" w:firstLineChars="3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1.1.2.4 承包人项目负责人：指承包人指定代表承包人履行义务的负责人。通用合同条款中</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承包人项目经理</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一词具有相同含义。</w:t>
      </w:r>
    </w:p>
    <w:p>
      <w:pPr>
        <w:pageBreakBefore w:val="0"/>
        <w:kinsoku/>
        <w:wordWrap w:val="0"/>
        <w:overflowPunct/>
        <w:topLinePunct w:val="0"/>
        <w:autoSpaceDE/>
        <w:autoSpaceDN/>
        <w:bidi w:val="0"/>
        <w:adjustRightInd/>
        <w:snapToGrid/>
        <w:spacing w:line="400" w:lineRule="atLeast"/>
        <w:ind w:firstLine="720" w:firstLineChars="3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本项补充第1.1.2.11目~1.1.2.12目：</w:t>
      </w:r>
    </w:p>
    <w:p>
      <w:pPr>
        <w:pageBreakBefore w:val="0"/>
        <w:kinsoku/>
        <w:wordWrap w:val="0"/>
        <w:overflowPunct/>
        <w:topLinePunct w:val="0"/>
        <w:autoSpaceDE/>
        <w:autoSpaceDN/>
        <w:bidi w:val="0"/>
        <w:adjustRightInd/>
        <w:snapToGrid/>
        <w:spacing w:line="400" w:lineRule="atLeast"/>
        <w:ind w:firstLine="720" w:firstLineChars="300"/>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1.1.2.11承包人项目总工：指由承包人书面委派常驻现场负责管理本合同工程的总工程师或技术总负责人。</w:t>
      </w:r>
    </w:p>
    <w:p>
      <w:pPr>
        <w:pageBreakBefore w:val="0"/>
        <w:kinsoku/>
        <w:wordWrap w:val="0"/>
        <w:overflowPunct/>
        <w:topLinePunct w:val="0"/>
        <w:autoSpaceDE/>
        <w:autoSpaceDN/>
        <w:bidi w:val="0"/>
        <w:adjustRightInd/>
        <w:snapToGrid/>
        <w:spacing w:line="400" w:lineRule="atLeast"/>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highlight w:val="none"/>
        </w:rPr>
        <w:t>1.1.2.12初设单位：即</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初步设计单位</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，是专用合同条款数据表中指明的，具备相应资质，完成本项目初步勘察和初步设计工作，并依据初步设计批复对施工图设计和工程实施</w:t>
      </w:r>
      <w:r>
        <w:rPr>
          <w:rFonts w:hint="default" w:ascii="Times New Roman" w:hAnsi="Times New Roman" w:cs="Times New Roman"/>
          <w:color w:val="auto"/>
          <w:sz w:val="24"/>
          <w:highlight w:val="none"/>
        </w:rPr>
        <w:t>过程的设计变更提出咨询意见的单位。</w:t>
      </w:r>
    </w:p>
    <w:p>
      <w:pPr>
        <w:pageBreakBefore w:val="0"/>
        <w:numPr>
          <w:ilvl w:val="2"/>
          <w:numId w:val="1"/>
        </w:numPr>
        <w:tabs>
          <w:tab w:val="left" w:pos="1505"/>
        </w:tabs>
        <w:kinsoku/>
        <w:wordWrap w:val="0"/>
        <w:overflowPunct/>
        <w:topLinePunct w:val="0"/>
        <w:autoSpaceDE w:val="0"/>
        <w:autoSpaceDN w:val="0"/>
        <w:bidi w:val="0"/>
        <w:adjustRightInd/>
        <w:snapToGrid/>
        <w:spacing w:before="1"/>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工程和设备</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1.1.3.4 目细化为：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单位工程：指在建设项目中，根据签订的合同，具有独立施工条件的工程。通用合同条款中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区段工程</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一词具有相同含义。</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1.1.3.10 目细化为：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永久占地：指为实施本合同工程而需要的一切永久占用的土地，包括公路两侧路权范围内的用地。</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1.1.3.11 目细化为：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临时占地：指为实施本合同工程而需要的一切临时占用的土地，包括施工所用的临时支线、便道、便桥和现场的临时出入通道，以及生产（办公）、生活等临时设施用地等。</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本项补充第 1.1.3.12 目、第 1.1.3.13 目：</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1.1.3.12 分部工程：指在单位工程中，按结构部位、路段长度及施工特点或施工任务划分的若干个工程。</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1.1.3.13 分项工程：指在分部工程中，按不同的施工方法、材料、工序及路段长度等划分的若干个工程。</w:t>
      </w:r>
    </w:p>
    <w:p>
      <w:pPr>
        <w:pageBreakBefore w:val="0"/>
        <w:numPr>
          <w:ilvl w:val="2"/>
          <w:numId w:val="2"/>
        </w:numPr>
        <w:tabs>
          <w:tab w:val="left" w:pos="1495"/>
        </w:tabs>
        <w:kinsoku/>
        <w:wordWrap w:val="0"/>
        <w:overflowPunct/>
        <w:topLinePunct w:val="0"/>
        <w:autoSpaceDE w:val="0"/>
        <w:autoSpaceDN w:val="0"/>
        <w:bidi w:val="0"/>
        <w:adjustRightInd/>
        <w:snapToGrid/>
        <w:spacing w:before="2"/>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其他</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本项补充第 </w:t>
      </w:r>
      <w:bookmarkStart w:id="2085" w:name="OLE_LINK18"/>
      <w:r>
        <w:rPr>
          <w:rFonts w:hint="default" w:ascii="Times New Roman" w:hAnsi="Times New Roman" w:cs="Times New Roman"/>
          <w:color w:val="auto"/>
          <w:sz w:val="24"/>
          <w:highlight w:val="none"/>
        </w:rPr>
        <w:t>1.1.6.4目～第 1.1.6.11 目：</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1.1.6.5交工：指《公路工程竣（交）工验收办法》中的交工。通用合同条款中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竣工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一词具有相同含义。</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1.1.6.6交工验收：指《公路工程竣（交）工验收办法》中的交工验收。通用合同条款中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竣工验收</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一词具有相同含义。</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1.1.6.7交工验收证书：指《公路工程竣（交）工验收办法》中的交工验收证书。通用合同条款中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工程接收证书</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一词具有相同含义。</w:t>
      </w:r>
    </w:p>
    <w:bookmarkEnd w:id="2085"/>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1.1.6.8转包：指承包人违反法律和不履行合同规定的责任和义务，将中标工程全部委托或以专业分包的名义将中标工程肢解后全部委托给他人的行为。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1.1.6.9专业分包：指承包人与具有相应资格的勘察设计企业和施工企业签订专业分包合同，由分包人承担承包人委托的工程设计中跨专业或有特殊要求的勘察、设计工作、分部工程、分项工程或适合专业化队伍施工的其他工程，整体结算，并能独立控制工程质量、施工进度、材料采购、生产安全的行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1.1.6.10劳务分包：指承包人与劳务企业签订劳务分包合同，由劳务企业提供劳务人员及机具，由承包人统一组织施工、统一控制工程质量、施工进度、材料采购、生产安全的行为。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1.1.6.11雇用民工：指承包人与具有相应劳动能力的自然人签订劳动合同，由承包人统一组织管理，从事相关勘察设计及分项工程施工或配套工程施工的行为。</w:t>
      </w:r>
    </w:p>
    <w:p>
      <w:pPr>
        <w:pStyle w:val="16"/>
        <w:pageBreakBefore w:val="0"/>
        <w:kinsoku/>
        <w:wordWrap w:val="0"/>
        <w:overflowPunct/>
        <w:topLinePunct w:val="0"/>
        <w:bidi w:val="0"/>
        <w:adjustRightInd/>
        <w:snapToGrid/>
        <w:textAlignment w:val="auto"/>
        <w:outlineLvl w:val="9"/>
        <w:rPr>
          <w:rFonts w:hint="default" w:ascii="Times New Roman" w:hAnsi="Times New Roman" w:cs="Times New Roman"/>
          <w:color w:val="auto"/>
          <w:sz w:val="24"/>
          <w:highlight w:val="none"/>
        </w:rPr>
      </w:pPr>
    </w:p>
    <w:p>
      <w:pPr>
        <w:pageBreakBefore w:val="0"/>
        <w:numPr>
          <w:ilvl w:val="1"/>
          <w:numId w:val="3"/>
        </w:numPr>
        <w:tabs>
          <w:tab w:val="left" w:pos="845"/>
        </w:tabs>
        <w:kinsoku/>
        <w:wordWrap w:val="0"/>
        <w:overflowPunct/>
        <w:topLinePunct w:val="0"/>
        <w:autoSpaceDE w:val="0"/>
        <w:autoSpaceDN w:val="0"/>
        <w:bidi w:val="0"/>
        <w:adjustRightInd/>
        <w:snapToGrid/>
        <w:textAlignment w:val="auto"/>
        <w:outlineLvl w:val="9"/>
        <w:rPr>
          <w:rFonts w:hint="default" w:ascii="Times New Roman" w:hAnsi="Times New Roman" w:eastAsia="黑体" w:cs="Times New Roman"/>
          <w:color w:val="auto"/>
          <w:sz w:val="24"/>
          <w:highlight w:val="none"/>
        </w:rPr>
      </w:pPr>
      <w:bookmarkStart w:id="2086" w:name="_Toc234833126"/>
      <w:bookmarkStart w:id="2087" w:name="_Toc501257349"/>
      <w:r>
        <w:rPr>
          <w:rFonts w:hint="default" w:ascii="Times New Roman" w:hAnsi="Times New Roman" w:eastAsia="黑体" w:cs="Times New Roman"/>
          <w:color w:val="auto"/>
          <w:sz w:val="24"/>
          <w:highlight w:val="none"/>
        </w:rPr>
        <w:t>合同文件的优先顺序</w:t>
      </w:r>
      <w:bookmarkEnd w:id="2086"/>
      <w:bookmarkEnd w:id="2087"/>
    </w:p>
    <w:p>
      <w:pPr>
        <w:pStyle w:val="16"/>
        <w:pageBreakBefore w:val="0"/>
        <w:kinsoku/>
        <w:wordWrap w:val="0"/>
        <w:overflowPunct/>
        <w:topLinePunct w:val="0"/>
        <w:bidi w:val="0"/>
        <w:adjustRightInd/>
        <w:snapToGrid/>
        <w:spacing w:before="10"/>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本款约定为：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组成合同的各项文件应互相解释，互为说明。除项目专用合同条款另有约定外，解释合同文件的优先顺序如下：</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（1）合同协议书及各种合同附件（含评标期间和合同谈判过程中的澄清文件和补充资料）；</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（2）中标通知书；</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（3）投标函及投标函附录；</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（4）项目专用合同条款；</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（5）公路工程专用合同条款；</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（6）通用合同条款；</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（7）发包人要求；</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（8）承包人建议书；</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（9）价格清单；</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（10）其他合同文件。</w:t>
      </w:r>
    </w:p>
    <w:p>
      <w:pPr>
        <w:pStyle w:val="16"/>
        <w:pageBreakBefore w:val="0"/>
        <w:kinsoku/>
        <w:wordWrap w:val="0"/>
        <w:overflowPunct/>
        <w:topLinePunct w:val="0"/>
        <w:bidi w:val="0"/>
        <w:adjustRightInd/>
        <w:snapToGrid/>
        <w:spacing w:before="6"/>
        <w:textAlignment w:val="auto"/>
        <w:outlineLvl w:val="9"/>
        <w:rPr>
          <w:rFonts w:hint="default" w:ascii="Times New Roman" w:hAnsi="Times New Roman" w:cs="Times New Roman"/>
          <w:color w:val="auto"/>
          <w:sz w:val="24"/>
          <w:highlight w:val="none"/>
        </w:rPr>
      </w:pPr>
    </w:p>
    <w:p>
      <w:pPr>
        <w:pageBreakBefore w:val="0"/>
        <w:numPr>
          <w:ilvl w:val="1"/>
          <w:numId w:val="3"/>
        </w:numPr>
        <w:tabs>
          <w:tab w:val="left" w:pos="845"/>
        </w:tabs>
        <w:kinsoku/>
        <w:wordWrap w:val="0"/>
        <w:overflowPunct/>
        <w:topLinePunct w:val="0"/>
        <w:autoSpaceDE w:val="0"/>
        <w:autoSpaceDN w:val="0"/>
        <w:bidi w:val="0"/>
        <w:adjustRightInd/>
        <w:snapToGrid/>
        <w:spacing w:before="1"/>
        <w:textAlignment w:val="auto"/>
        <w:outlineLvl w:val="9"/>
        <w:rPr>
          <w:rFonts w:hint="default" w:ascii="Times New Roman" w:hAnsi="Times New Roman" w:eastAsia="黑体" w:cs="Times New Roman"/>
          <w:color w:val="auto"/>
          <w:sz w:val="24"/>
          <w:highlight w:val="none"/>
        </w:rPr>
      </w:pPr>
      <w:bookmarkStart w:id="2088" w:name="_Toc501257350"/>
      <w:bookmarkStart w:id="2089" w:name="_Toc234833127"/>
      <w:r>
        <w:rPr>
          <w:rFonts w:hint="default" w:ascii="Times New Roman" w:hAnsi="Times New Roman" w:eastAsia="黑体" w:cs="Times New Roman"/>
          <w:color w:val="auto"/>
          <w:sz w:val="24"/>
          <w:highlight w:val="none"/>
        </w:rPr>
        <w:t>合同协议书</w:t>
      </w:r>
      <w:bookmarkEnd w:id="2088"/>
      <w:bookmarkEnd w:id="2089"/>
    </w:p>
    <w:p>
      <w:pPr>
        <w:pStyle w:val="16"/>
        <w:pageBreakBefore w:val="0"/>
        <w:kinsoku/>
        <w:wordWrap w:val="0"/>
        <w:overflowPunct/>
        <w:topLinePunct w:val="0"/>
        <w:bidi w:val="0"/>
        <w:adjustRightInd/>
        <w:snapToGrid/>
        <w:spacing w:before="10"/>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制备本合同文件的费用由发包人承担。在合同协议书签订并生效之前，投标函和中标通知书将对双方具有约束力。</w:t>
      </w:r>
    </w:p>
    <w:p>
      <w:pPr>
        <w:pStyle w:val="16"/>
        <w:pageBreakBefore w:val="0"/>
        <w:kinsoku/>
        <w:wordWrap w:val="0"/>
        <w:overflowPunct/>
        <w:topLinePunct w:val="0"/>
        <w:bidi w:val="0"/>
        <w:adjustRightInd/>
        <w:snapToGrid/>
        <w:spacing w:before="3"/>
        <w:textAlignment w:val="auto"/>
        <w:outlineLvl w:val="9"/>
        <w:rPr>
          <w:rFonts w:hint="default" w:ascii="Times New Roman" w:hAnsi="Times New Roman" w:cs="Times New Roman"/>
          <w:color w:val="auto"/>
          <w:sz w:val="24"/>
          <w:highlight w:val="none"/>
        </w:rPr>
      </w:pPr>
    </w:p>
    <w:p>
      <w:pPr>
        <w:pageBreakBefore w:val="0"/>
        <w:numPr>
          <w:ilvl w:val="1"/>
          <w:numId w:val="3"/>
        </w:numPr>
        <w:tabs>
          <w:tab w:val="left" w:pos="845"/>
        </w:tabs>
        <w:kinsoku/>
        <w:wordWrap w:val="0"/>
        <w:overflowPunct/>
        <w:topLinePunct w:val="0"/>
        <w:autoSpaceDE w:val="0"/>
        <w:autoSpaceDN w:val="0"/>
        <w:bidi w:val="0"/>
        <w:adjustRightInd/>
        <w:snapToGrid/>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文件的提供和照管</w:t>
      </w:r>
    </w:p>
    <w:p>
      <w:pPr>
        <w:pageBreakBefore w:val="0"/>
        <w:numPr>
          <w:ilvl w:val="2"/>
          <w:numId w:val="4"/>
        </w:numPr>
        <w:tabs>
          <w:tab w:val="left" w:pos="1495"/>
        </w:tabs>
        <w:kinsoku/>
        <w:wordWrap w:val="0"/>
        <w:overflowPunct/>
        <w:topLinePunct w:val="0"/>
        <w:autoSpaceDE w:val="0"/>
        <w:autoSpaceDN w:val="0"/>
        <w:bidi w:val="0"/>
        <w:adjustRightInd/>
        <w:snapToGrid/>
        <w:spacing w:before="1"/>
        <w:ind w:left="149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承包人文件的提供</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项目专用合同条款另有约定外，承包人应在合理的期限内按照合同约定的数量向监理人提供承包人文件。合同约定承包人文件应批准的，监理人应当在合同约定的期限内批复。承包人的设计文件的提供和审查按第5.3款和第5.5款的约定执行。</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有下列情形之一的，承包人应免费向监理人提交相关部分工程的施工图纸 3 份，并附必要的计算书、技术资料，或施工工艺图、设备安装图及安装设备的使用和维护手册各 2 份供监理人批准。</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（1）为使第 1.6.1 项所述的施工图纸适合于经施工测量后的纵、横断面；</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（2）为使第 1.6.1 项所述的施工图纸适合于现场具体地形；</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（3）为使第 1.6.1 项所述的施工图纸适合于因尺寸与位置变化而引起局部变更；</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（4）由于合同要求与施工需要。</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此类图纸应按监理人规定的格式和图幅绘制。监理人在收到由承包人绘制的上述工程、工艺图纸、计算书和有关技术资料后 14 天内应予批准或提出修改要求，承包人应按监理人提出的要求作出修改，重新向监理人提交，监理人应在 7 天内批准或提出进一步的修改意见。</w:t>
      </w:r>
    </w:p>
    <w:p>
      <w:pPr>
        <w:pStyle w:val="16"/>
        <w:pageBreakBefore w:val="0"/>
        <w:kinsoku/>
        <w:wordWrap w:val="0"/>
        <w:overflowPunct/>
        <w:topLinePunct w:val="0"/>
        <w:bidi w:val="0"/>
        <w:adjustRightInd/>
        <w:snapToGrid/>
        <w:spacing w:before="1"/>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spacing w:before="74"/>
        <w:ind w:left="89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Times New Roman" w:cs="Times New Roman"/>
          <w:color w:val="auto"/>
          <w:sz w:val="24"/>
          <w:highlight w:val="none"/>
        </w:rPr>
        <w:t>1.6.</w:t>
      </w:r>
      <w:r>
        <w:rPr>
          <w:rFonts w:hint="default" w:ascii="Times New Roman" w:hAnsi="Times New Roman" w:cs="Times New Roman"/>
          <w:color w:val="auto"/>
          <w:sz w:val="24"/>
          <w:highlight w:val="none"/>
        </w:rPr>
        <w:t>3</w:t>
      </w:r>
      <w:r>
        <w:rPr>
          <w:rFonts w:hint="default" w:ascii="Times New Roman" w:hAnsi="Times New Roman" w:eastAsia="黑体" w:cs="Times New Roman"/>
          <w:color w:val="auto"/>
          <w:sz w:val="24"/>
          <w:highlight w:val="none"/>
        </w:rPr>
        <w:t>文件错误的通知</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发现了文件中存在的明显错误或疏忽，应及时通知承包人。当承包人在查阅合同文件或在本合同工程实施过程中，发现有关的工程初步设计图纸或其他资料中的任何差错、遗漏或缺陷后，应及时通知监理人。监理人接到该通知后，应立即就此作出决定，并通知承包人和发包人。</w:t>
      </w:r>
    </w:p>
    <w:p>
      <w:pPr>
        <w:pStyle w:val="16"/>
        <w:pageBreakBefore w:val="0"/>
        <w:kinsoku/>
        <w:wordWrap w:val="0"/>
        <w:overflowPunct/>
        <w:topLinePunct w:val="0"/>
        <w:bidi w:val="0"/>
        <w:adjustRightInd/>
        <w:snapToGrid/>
        <w:spacing w:before="3"/>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090" w:name="_Toc501257352"/>
      <w:bookmarkStart w:id="2091" w:name="_Toc234833129"/>
      <w:r>
        <w:rPr>
          <w:rFonts w:hint="default" w:ascii="Times New Roman" w:hAnsi="Times New Roman" w:eastAsia="Times New Roman" w:cs="Times New Roman"/>
          <w:color w:val="auto"/>
          <w:sz w:val="24"/>
          <w:highlight w:val="none"/>
        </w:rPr>
        <w:t>1.9</w:t>
      </w:r>
      <w:bookmarkEnd w:id="2090"/>
      <w:bookmarkEnd w:id="2091"/>
      <w:r>
        <w:rPr>
          <w:rFonts w:hint="default" w:ascii="Times New Roman" w:hAnsi="Times New Roman" w:eastAsia="黑体" w:cs="Times New Roman"/>
          <w:color w:val="auto"/>
          <w:sz w:val="24"/>
          <w:highlight w:val="none"/>
        </w:rPr>
        <w:t>严禁贿赂</w:t>
      </w:r>
    </w:p>
    <w:p>
      <w:pPr>
        <w:pStyle w:val="16"/>
        <w:pageBreakBefore w:val="0"/>
        <w:kinsoku/>
        <w:wordWrap w:val="0"/>
        <w:overflowPunct/>
        <w:topLinePunct w:val="0"/>
        <w:bidi w:val="0"/>
        <w:adjustRightInd/>
        <w:snapToGrid/>
        <w:spacing w:before="11"/>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合同执行过程中，发包人和承包人应严格履行《廉政合同》约定的双方在廉政建设方面的权利和义务以及应承担的违约责任。承包人如果用行贿、送礼或其他不正当手段企图影响或已经影响了发包人或监理人的行为和（或）欲获得或已获得超出合同规定以外的额外费用，则发包人应按有关法纪严肃处理当事人，且承包人应对其上述行为造成的工程损害、发包人的经济损失等承担一切责任，并予赔偿。情节严重者，发包人有权终止承包人在本合同项下的承包。</w:t>
      </w:r>
    </w:p>
    <w:p>
      <w:pPr>
        <w:pStyle w:val="16"/>
        <w:pageBreakBefore w:val="0"/>
        <w:kinsoku/>
        <w:wordWrap w:val="0"/>
        <w:overflowPunct/>
        <w:topLinePunct w:val="0"/>
        <w:bidi w:val="0"/>
        <w:adjustRightInd/>
        <w:snapToGrid/>
        <w:textAlignment w:val="auto"/>
        <w:outlineLvl w:val="9"/>
        <w:rPr>
          <w:rFonts w:hint="default" w:ascii="Times New Roman" w:hAnsi="Times New Roman" w:cs="Times New Roman"/>
          <w:color w:val="auto"/>
          <w:sz w:val="24"/>
          <w:highlight w:val="none"/>
        </w:rPr>
      </w:pPr>
    </w:p>
    <w:p>
      <w:pPr>
        <w:pageBreakBefore w:val="0"/>
        <w:numPr>
          <w:ilvl w:val="0"/>
          <w:numId w:val="1"/>
        </w:numPr>
        <w:tabs>
          <w:tab w:val="left" w:pos="775"/>
        </w:tabs>
        <w:kinsoku/>
        <w:wordWrap w:val="0"/>
        <w:overflowPunct/>
        <w:topLinePunct w:val="0"/>
        <w:autoSpaceDE w:val="0"/>
        <w:autoSpaceDN w:val="0"/>
        <w:bidi w:val="0"/>
        <w:adjustRightInd/>
        <w:snapToGrid/>
        <w:spacing w:before="1"/>
        <w:ind w:hanging="350"/>
        <w:textAlignment w:val="auto"/>
        <w:outlineLvl w:val="9"/>
        <w:rPr>
          <w:rFonts w:hint="default" w:ascii="Times New Roman" w:hAnsi="Times New Roman" w:eastAsia="黑体" w:cs="Times New Roman"/>
          <w:color w:val="auto"/>
          <w:sz w:val="24"/>
          <w:highlight w:val="none"/>
        </w:rPr>
      </w:pPr>
      <w:bookmarkStart w:id="2092" w:name="_Toc501257353"/>
      <w:bookmarkStart w:id="2093" w:name="_Toc234833130"/>
      <w:r>
        <w:rPr>
          <w:rFonts w:hint="default" w:ascii="Times New Roman" w:hAnsi="Times New Roman" w:eastAsia="黑体" w:cs="Times New Roman"/>
          <w:color w:val="auto"/>
          <w:spacing w:val="-1"/>
          <w:sz w:val="24"/>
          <w:highlight w:val="none"/>
        </w:rPr>
        <w:t>发包人义务</w:t>
      </w:r>
      <w:bookmarkEnd w:id="2092"/>
      <w:bookmarkEnd w:id="2093"/>
    </w:p>
    <w:p>
      <w:pPr>
        <w:pStyle w:val="16"/>
        <w:pageBreakBefore w:val="0"/>
        <w:kinsoku/>
        <w:wordWrap w:val="0"/>
        <w:overflowPunct/>
        <w:topLinePunct w:val="0"/>
        <w:bidi w:val="0"/>
        <w:adjustRightInd/>
        <w:snapToGrid/>
        <w:spacing w:before="4"/>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spacing w:before="1"/>
        <w:ind w:left="424"/>
        <w:textAlignment w:val="auto"/>
        <w:outlineLvl w:val="9"/>
        <w:rPr>
          <w:rFonts w:hint="default" w:ascii="Times New Roman" w:hAnsi="Times New Roman" w:eastAsia="黑体" w:cs="Times New Roman"/>
          <w:color w:val="auto"/>
          <w:sz w:val="24"/>
          <w:highlight w:val="none"/>
        </w:rPr>
      </w:pPr>
      <w:bookmarkStart w:id="2094" w:name="_Toc501257354"/>
      <w:bookmarkStart w:id="2095" w:name="_Toc234833131"/>
      <w:r>
        <w:rPr>
          <w:rFonts w:hint="default" w:ascii="Times New Roman" w:hAnsi="Times New Roman" w:eastAsia="Times New Roman" w:cs="Times New Roman"/>
          <w:color w:val="auto"/>
          <w:sz w:val="24"/>
          <w:highlight w:val="none"/>
        </w:rPr>
        <w:t>2.3</w:t>
      </w:r>
      <w:r>
        <w:rPr>
          <w:rFonts w:hint="default" w:ascii="Times New Roman" w:hAnsi="Times New Roman" w:eastAsia="黑体" w:cs="Times New Roman"/>
          <w:color w:val="auto"/>
          <w:sz w:val="24"/>
          <w:highlight w:val="none"/>
        </w:rPr>
        <w:t>提供施工场地</w:t>
      </w:r>
      <w:bookmarkEnd w:id="2094"/>
      <w:bookmarkEnd w:id="2095"/>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发包人应按专用合同条款约定向承包人提供施工场地及进场施工条件，并明确与承包人的交接界面。</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发包人负责办理永久占地的征用及与之有关的拆迁赔偿手续并承担相关费用。承包人在按第4.12款规定提交进度计划的同时，应向监理人提交一份按施工先后次序所需的永久占地计划。监理人应在收到此计划后的 14 天内审核并转报发包人核备。发包人应在监理人发出本工程或分部工程开工通知之前，对承包人开工所需的永久占地办妥征用手续和相关拆迁赔偿手续，通知承包人使用，以使承包人能够及时开工；此后按承包人提交并经监理人同意的合同进度计划的安排，分期（也可以一次）将施工所需的其余永久占地办妥征用以及拆迁赔偿手续，通知承包人使用，以使承包人能够连续不间断地施工。由于承包人施工考虑不周或措施不当等原因而造成的超计划占地或拆迁等所发生的征用和赔偿费用，应由承包人承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发包人未能按照本项规定办妥永久占地征用手续，影响承包人及时使用永久占地造成的费用增加和(或)工期延误应由发包人承担。由于承包人未能按照本项规定提交占地计划，影响发包人办理永久占地征用手续造成的费用增加和(或)工期延误由承包人承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5 支付合同价款</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在签订合同后28天内向承包人提供工程款支付担保。工程款支付担保可采用银行保函、担保公司担保或现金、支票等形式，工程款支付担保的形式、金额和有效期在项目专用合同条款中具体约定。提供工程款支付担保所需的费用由发包人承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2.7 其他义务</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2.7.1 发包人应当依据合同加强总承包管理，督促承包人履行合同义务，加强工程勘察设计管理和地质勘察验收，严格对工程质量、安全、进度、投资和环保等环节进行把关。</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2.7.2 发包人对承包人在合同履行中存在过失或偏差行为，可能造成重大损失或者严重影响合同目标实现的，将对承包人法人代表进行约谈，必要时可以依据合同约定，终止总承包合同。</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2.7.3 发包人委托的监理人应依据有关规定和合同，对总承包施工图勘察设计、工程质量、施工安全、进度、环保、计量支付和缺陷责任期工程修复等进行监理，对承包人编制的勘察设计计划、采购与施工的组织实施计划、施工图设计文件、专项技术方案、项目实施进度计划、质量安全保障措施、计量支付、工程变更等进行审核。</w:t>
      </w:r>
    </w:p>
    <w:p>
      <w:pPr>
        <w:pageBreakBefore w:val="0"/>
        <w:kinsoku/>
        <w:wordWrap w:val="0"/>
        <w:overflowPunct/>
        <w:topLinePunct w:val="0"/>
        <w:bidi w:val="0"/>
        <w:adjustRightInd/>
        <w:snapToGrid/>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本条补充第2.8款：</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2.8发包人风险</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2.8.1 发包人提出的工期调整、重大或者较大设计变更、建设标准或者工程规模的调整。</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2.8.2 因国家税收等政策调整引起的税费变化。</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2.8.3 钢材、水泥、沥青、燃油等主要工程材料价格与招标时基价相比，波动幅度超过合同约定幅度的部分。</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2.8.4 施工图勘察设计时发现的在初步设计阶段难以预见的滑坡、泥石流、突泥、涌水、溶洞、采空区、有毒气体等重大地质变化，其损失与处治费用按照专用合同条款约定的比例由发包人承担或者由发包人和承包人共同分担。工程实施中出现重大地质变化的，其损失与处治费用除保险公司赔付外，由承包人承担。因承包人施工组织、措施不当造成的上述问题，其损失与处治费用由承包人承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2.8.5 其他不可抗力所造成的工程费用的增加。</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p>
    <w:p>
      <w:pPr>
        <w:pageBreakBefore w:val="0"/>
        <w:kinsoku/>
        <w:wordWrap w:val="0"/>
        <w:overflowPunct/>
        <w:topLinePunct w:val="0"/>
        <w:autoSpaceDE/>
        <w:autoSpaceDN/>
        <w:bidi w:val="0"/>
        <w:adjustRightInd/>
        <w:snapToGrid/>
        <w:spacing w:line="400" w:lineRule="atLeast"/>
        <w:ind w:right="27" w:rightChars="13" w:firstLine="480" w:firstLineChars="200"/>
        <w:textAlignment w:val="auto"/>
        <w:outlineLvl w:val="9"/>
        <w:rPr>
          <w:rFonts w:hint="default" w:ascii="Times New Roman" w:hAnsi="Times New Roman" w:eastAsia="黑体" w:cs="Times New Roman"/>
          <w:color w:val="auto"/>
          <w:sz w:val="24"/>
          <w:highlight w:val="none"/>
        </w:rPr>
      </w:pPr>
      <w:bookmarkStart w:id="2096" w:name="_Toc234833132"/>
      <w:bookmarkStart w:id="2097" w:name="_Toc501257355"/>
      <w:r>
        <w:rPr>
          <w:rFonts w:hint="default" w:ascii="Times New Roman" w:hAnsi="Times New Roman" w:cs="Times New Roman"/>
          <w:color w:val="auto"/>
          <w:sz w:val="24"/>
          <w:highlight w:val="none"/>
        </w:rPr>
        <w:t>3.</w:t>
      </w:r>
      <w:r>
        <w:rPr>
          <w:rFonts w:hint="default" w:ascii="Times New Roman" w:hAnsi="Times New Roman" w:eastAsia="黑体" w:cs="Times New Roman"/>
          <w:color w:val="auto"/>
          <w:sz w:val="24"/>
          <w:highlight w:val="none"/>
        </w:rPr>
        <w:t>监理人</w:t>
      </w:r>
      <w:bookmarkEnd w:id="2096"/>
      <w:bookmarkEnd w:id="2097"/>
    </w:p>
    <w:p>
      <w:pPr>
        <w:pageBreakBefore w:val="0"/>
        <w:kinsoku/>
        <w:wordWrap w:val="0"/>
        <w:overflowPunct/>
        <w:topLinePunct w:val="0"/>
        <w:bidi w:val="0"/>
        <w:adjustRightInd/>
        <w:snapToGrid/>
        <w:spacing w:line="400" w:lineRule="atLeast"/>
        <w:ind w:right="27" w:rightChars="13" w:firstLine="480" w:firstLineChars="200"/>
        <w:textAlignment w:val="auto"/>
        <w:outlineLvl w:val="9"/>
        <w:rPr>
          <w:rFonts w:hint="default" w:ascii="Times New Roman" w:hAnsi="Times New Roman" w:eastAsia="黑体" w:cs="Times New Roman"/>
          <w:color w:val="auto"/>
          <w:sz w:val="24"/>
          <w:highlight w:val="none"/>
        </w:rPr>
      </w:pPr>
    </w:p>
    <w:p>
      <w:pPr>
        <w:pageBreakBefore w:val="0"/>
        <w:tabs>
          <w:tab w:val="left" w:pos="845"/>
        </w:tabs>
        <w:kinsoku/>
        <w:wordWrap w:val="0"/>
        <w:overflowPunct/>
        <w:topLinePunct w:val="0"/>
        <w:autoSpaceDE w:val="0"/>
        <w:autoSpaceDN w:val="0"/>
        <w:bidi w:val="0"/>
        <w:adjustRightInd/>
        <w:snapToGrid/>
        <w:spacing w:before="1"/>
        <w:textAlignment w:val="auto"/>
        <w:outlineLvl w:val="9"/>
        <w:rPr>
          <w:rFonts w:hint="default" w:ascii="Times New Roman" w:hAnsi="Times New Roman" w:eastAsia="黑体" w:cs="Times New Roman"/>
          <w:color w:val="auto"/>
          <w:sz w:val="24"/>
          <w:highlight w:val="none"/>
        </w:rPr>
      </w:pPr>
      <w:bookmarkStart w:id="2098" w:name="_Toc501257356"/>
      <w:bookmarkStart w:id="2099" w:name="_Toc234833133"/>
      <w:r>
        <w:rPr>
          <w:rFonts w:hint="default" w:ascii="Times New Roman" w:hAnsi="Times New Roman" w:eastAsia="黑体" w:cs="Times New Roman"/>
          <w:color w:val="auto"/>
          <w:sz w:val="24"/>
          <w:highlight w:val="none"/>
        </w:rPr>
        <w:t>3.1 监理人的职责和权力</w:t>
      </w:r>
      <w:bookmarkEnd w:id="2098"/>
      <w:bookmarkEnd w:id="2099"/>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3.1.1 项补充：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监理人在行使下列权力前需要经发包人事先批准：</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（1）根据第 4.3 款，同意分包本工程的某些非关键性工作或者适合专业化队伍勘察设计和施工的专项工程；</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（2）确定第 4.11 款下产生的费用增加额；</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（3）根据第 11.1 款、第 12.1 款、第 12.4 款发布开工通知、暂停工作指示或复工通知；</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（4）决定第 11.3 款、第 11.4 款下的工期延长；</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（5）审查批准技术方案或设计的变更；</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（6）根据第15.3款发出的变更指示；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（7）确定第15.4款下变更工作的单价；</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（8）按照第15.6款决定有关暂列金额的使用；</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（9）确定第15.7款下变更工作的价格；</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（10）按照第15.7款决定应由发包人承担的费用；</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（11）确定第23.1款项下的索赔额。</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果发生紧急情况，监理人认为将造成人员伤亡，或危及本工程或邻近的财产需立即采取行动，监理人有权在未征得发包人的批准的情况下发布处理紧急情况所必需的指令，承包人应予执行，由此造成的费用增加由监理人按第 3.5 款商定或确定。</w:t>
      </w:r>
    </w:p>
    <w:p>
      <w:pPr>
        <w:pStyle w:val="16"/>
        <w:pageBreakBefore w:val="0"/>
        <w:kinsoku/>
        <w:wordWrap w:val="0"/>
        <w:overflowPunct/>
        <w:topLinePunct w:val="0"/>
        <w:bidi w:val="0"/>
        <w:adjustRightInd/>
        <w:snapToGrid/>
        <w:spacing w:before="201"/>
        <w:ind w:left="42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Times New Roman" w:cs="Times New Roman"/>
          <w:color w:val="auto"/>
          <w:sz w:val="24"/>
          <w:highlight w:val="none"/>
        </w:rPr>
        <w:t>3.5</w:t>
      </w:r>
      <w:r>
        <w:rPr>
          <w:rFonts w:hint="default" w:ascii="Times New Roman" w:hAnsi="Times New Roman" w:eastAsia="黑体" w:cs="Times New Roman"/>
          <w:color w:val="auto"/>
          <w:sz w:val="24"/>
          <w:highlight w:val="none"/>
        </w:rPr>
        <w:t>商定或确定</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第 </w:t>
      </w:r>
      <w:bookmarkStart w:id="2100" w:name="_Toc234833134"/>
      <w:bookmarkStart w:id="2101" w:name="_Toc501257357"/>
      <w:r>
        <w:rPr>
          <w:rFonts w:hint="default" w:ascii="Times New Roman" w:hAnsi="Times New Roman" w:cs="Times New Roman"/>
          <w:color w:val="auto"/>
          <w:sz w:val="24"/>
          <w:highlight w:val="none"/>
        </w:rPr>
        <w:t>3.5</w:t>
      </w:r>
      <w:bookmarkEnd w:id="2100"/>
      <w:bookmarkEnd w:id="2101"/>
      <w:r>
        <w:rPr>
          <w:rFonts w:hint="default" w:ascii="Times New Roman" w:hAnsi="Times New Roman" w:cs="Times New Roman"/>
          <w:color w:val="auto"/>
          <w:sz w:val="24"/>
          <w:highlight w:val="none"/>
        </w:rPr>
        <w:t>.1 项补充：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如果这项商定或确定导致费用增加和（或）工期延长，或者涉及确定变更工程的价格，则总监理工程师在发出通知前，应征得发包人的同意。</w:t>
      </w:r>
    </w:p>
    <w:p>
      <w:pPr>
        <w:pStyle w:val="16"/>
        <w:pageBreakBefore w:val="0"/>
        <w:kinsoku/>
        <w:wordWrap w:val="0"/>
        <w:overflowPunct/>
        <w:topLinePunct w:val="0"/>
        <w:bidi w:val="0"/>
        <w:adjustRightInd/>
        <w:snapToGrid/>
        <w:spacing w:before="12"/>
        <w:textAlignment w:val="auto"/>
        <w:outlineLvl w:val="9"/>
        <w:rPr>
          <w:rFonts w:hint="default" w:ascii="Times New Roman" w:hAnsi="Times New Roman" w:cs="Times New Roman"/>
          <w:color w:val="auto"/>
          <w:sz w:val="24"/>
          <w:highlight w:val="none"/>
        </w:rPr>
      </w:pPr>
    </w:p>
    <w:p>
      <w:pPr>
        <w:pageBreakBefore w:val="0"/>
        <w:tabs>
          <w:tab w:val="left" w:pos="775"/>
        </w:tabs>
        <w:kinsoku/>
        <w:wordWrap w:val="0"/>
        <w:overflowPunct/>
        <w:topLinePunct w:val="0"/>
        <w:autoSpaceDE w:val="0"/>
        <w:autoSpaceDN w:val="0"/>
        <w:bidi w:val="0"/>
        <w:adjustRightInd/>
        <w:snapToGrid/>
        <w:ind w:left="426"/>
        <w:textAlignment w:val="auto"/>
        <w:outlineLvl w:val="9"/>
        <w:rPr>
          <w:rFonts w:hint="default" w:ascii="Times New Roman" w:hAnsi="Times New Roman" w:eastAsia="黑体" w:cs="Times New Roman"/>
          <w:color w:val="auto"/>
          <w:sz w:val="24"/>
          <w:highlight w:val="none"/>
        </w:rPr>
      </w:pPr>
      <w:bookmarkStart w:id="2102" w:name="_Toc234833135"/>
      <w:bookmarkStart w:id="2103" w:name="_Toc501257358"/>
      <w:r>
        <w:rPr>
          <w:rFonts w:hint="default" w:ascii="Times New Roman" w:hAnsi="Times New Roman" w:eastAsia="黑体" w:cs="Times New Roman"/>
          <w:color w:val="auto"/>
          <w:sz w:val="24"/>
          <w:highlight w:val="none"/>
        </w:rPr>
        <w:t>4.承包人</w:t>
      </w:r>
      <w:bookmarkEnd w:id="2102"/>
      <w:bookmarkEnd w:id="2103"/>
    </w:p>
    <w:p>
      <w:pPr>
        <w:pStyle w:val="16"/>
        <w:pageBreakBefore w:val="0"/>
        <w:kinsoku/>
        <w:wordWrap w:val="0"/>
        <w:overflowPunct/>
        <w:topLinePunct w:val="0"/>
        <w:bidi w:val="0"/>
        <w:adjustRightInd/>
        <w:snapToGrid/>
        <w:spacing w:before="5"/>
        <w:textAlignment w:val="auto"/>
        <w:outlineLvl w:val="9"/>
        <w:rPr>
          <w:rFonts w:hint="default" w:ascii="Times New Roman" w:hAnsi="Times New Roman" w:cs="Times New Roman"/>
          <w:color w:val="auto"/>
          <w:sz w:val="24"/>
          <w:highlight w:val="none"/>
        </w:rPr>
      </w:pPr>
    </w:p>
    <w:p>
      <w:pPr>
        <w:pageBreakBefore w:val="0"/>
        <w:tabs>
          <w:tab w:val="left" w:pos="845"/>
        </w:tabs>
        <w:kinsoku/>
        <w:wordWrap w:val="0"/>
        <w:overflowPunct/>
        <w:topLinePunct w:val="0"/>
        <w:autoSpaceDE w:val="0"/>
        <w:autoSpaceDN w:val="0"/>
        <w:bidi w:val="0"/>
        <w:adjustRightInd/>
        <w:snapToGrid/>
        <w:textAlignment w:val="auto"/>
        <w:outlineLvl w:val="9"/>
        <w:rPr>
          <w:rFonts w:hint="default" w:ascii="Times New Roman" w:hAnsi="Times New Roman" w:eastAsia="黑体" w:cs="Times New Roman"/>
          <w:color w:val="auto"/>
          <w:sz w:val="24"/>
          <w:highlight w:val="none"/>
        </w:rPr>
      </w:pPr>
      <w:bookmarkStart w:id="2104" w:name="_Toc234833136"/>
      <w:bookmarkStart w:id="2105" w:name="_Toc501257359"/>
      <w:r>
        <w:rPr>
          <w:rFonts w:hint="default" w:ascii="Times New Roman" w:hAnsi="Times New Roman" w:eastAsia="黑体" w:cs="Times New Roman"/>
          <w:color w:val="auto"/>
          <w:sz w:val="24"/>
          <w:highlight w:val="none"/>
        </w:rPr>
        <w:t>4.1  承包人的一般义务</w:t>
      </w:r>
      <w:bookmarkEnd w:id="2104"/>
      <w:bookmarkEnd w:id="2105"/>
    </w:p>
    <w:p>
      <w:pPr>
        <w:pStyle w:val="16"/>
        <w:pageBreakBefore w:val="0"/>
        <w:kinsoku/>
        <w:wordWrap w:val="0"/>
        <w:overflowPunct/>
        <w:topLinePunct w:val="0"/>
        <w:bidi w:val="0"/>
        <w:adjustRightInd/>
        <w:snapToGrid/>
        <w:textAlignment w:val="auto"/>
        <w:outlineLvl w:val="9"/>
        <w:rPr>
          <w:rFonts w:hint="default" w:ascii="Times New Roman" w:hAnsi="Times New Roman" w:cs="Times New Roman"/>
          <w:color w:val="auto"/>
          <w:sz w:val="24"/>
          <w:highlight w:val="none"/>
        </w:rPr>
      </w:pPr>
    </w:p>
    <w:p>
      <w:pPr>
        <w:pageBreakBefore w:val="0"/>
        <w:numPr>
          <w:ilvl w:val="2"/>
          <w:numId w:val="5"/>
        </w:numPr>
        <w:tabs>
          <w:tab w:val="left" w:pos="1495"/>
        </w:tabs>
        <w:kinsoku/>
        <w:wordWrap w:val="0"/>
        <w:overflowPunct/>
        <w:topLinePunct w:val="0"/>
        <w:autoSpaceDE w:val="0"/>
        <w:autoSpaceDN w:val="0"/>
        <w:bidi w:val="0"/>
        <w:adjustRightInd/>
        <w:snapToGrid/>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工程的维护和照管</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交工验收证书颁发前，承包人应负责照管和维护工程及将用于或安装在本工程中的材料、设备。交工验收证书颁发时尚有部分未交工工程的，承包人还应负责该未交工工程、材料、设备的照管和维护工作，直至交工后移交给发包人为止。</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（2）在承包人负责照管与维护期间，如果本工程或材料、设备等发生损失或损害，除不可抗力原因之外，承包人均应自费弥补，并达到合同要求。承包人还应对按第 19 条规定而实施作业过程中由承包人造成的对工程的任何损失或损害负责。</w:t>
      </w:r>
    </w:p>
    <w:p>
      <w:pPr>
        <w:pageBreakBefore w:val="0"/>
        <w:numPr>
          <w:ilvl w:val="2"/>
          <w:numId w:val="5"/>
        </w:numPr>
        <w:tabs>
          <w:tab w:val="left" w:pos="1615"/>
        </w:tabs>
        <w:kinsoku/>
        <w:wordWrap w:val="0"/>
        <w:overflowPunct/>
        <w:topLinePunct w:val="0"/>
        <w:autoSpaceDE w:val="0"/>
        <w:autoSpaceDN w:val="0"/>
        <w:bidi w:val="0"/>
        <w:adjustRightInd/>
        <w:snapToGrid/>
        <w:spacing w:before="1"/>
        <w:ind w:left="1614" w:hanging="720"/>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其他义务</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4.1.10.1临时占地由承包人向当地政府土地管理部门申请，并办理租用手续，承包人按有关规定直接支付其费用，发包人对此将予以协调。</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临时占地范围包括承包人驻地的办公室、食堂、宿舍、道路和机械设备停放场、材料堆放场地、弃土场、预制场、拌和场、仓库、进场临时道路、临时便道、便桥等。承包人应在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临时占地计划表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范围内按实际需要与先后次序，提出具体计划报监理人同意，并报发包人。临时占地的面积和使用期应满足工程需要，费用包括临时占地数量、时间及因此而发生的协调、租用、复耕、地面附着物（电力、电信、房屋、坟墓除外）的拆迁补偿等相关费用。</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临时占地退还前，承包人应自费恢复到临时占地使用前的状况。如因承包人撤离后未按要求对临时占地进行恢复或虽进行了恢复但未达到使用标准的，将由发包人委托第三方对其恢复，所发生的费用将从应付给承包人的任何款项内扣除。</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4.1.10.2除项目专用合同条款另有约定外，承包人应承担并支付为获得本合同工程所需的石料、砂、砾石、黏土或其他当地材料等所发生的料场使用费及其他开支或补偿费。发包人应尽可能协助承包人办理料场租用手续及解决使用过程中的有关问题。</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4.1.10.3承包人应严格遵守国家有关解决拖欠工程款和民工工资的法律、法规，及时支付工程中的材料、设备货款及民工工资等费用。承包人不得以任何借口拖欠材料、设备货款及民工工资等费用，如果出现此种现象，发包人有权代为支付其拖欠的材料、设备货款及民工工资，并从应付给承包人的工程款中扣除相应款项。对恶意拖欠和拒不按计划支付的，作为不良记录纳入</w:t>
      </w:r>
      <w:r>
        <w:rPr>
          <w:rFonts w:hint="default" w:ascii="Times New Roman" w:hAnsi="Times New Roman" w:cs="Times New Roman"/>
          <w:color w:val="auto"/>
          <w:sz w:val="24"/>
          <w:highlight w:val="none"/>
          <w:lang w:eastAsia="zh-CN"/>
        </w:rPr>
        <w:t>全国公路建设市场监督管理系统</w:t>
      </w:r>
      <w:r>
        <w:rPr>
          <w:rFonts w:hint="default" w:ascii="Times New Roman" w:hAnsi="Times New Roman" w:cs="Times New Roman"/>
          <w:color w:val="auto"/>
          <w:sz w:val="24"/>
          <w:highlight w:val="none"/>
        </w:rPr>
        <w:t>。承包人的项目部是民工工资支付行为的主体，承包人的施工负责人是民工工资支付的责任人。项目部要建立全体民工花名册和工资支付表，确保将工资直接发放给民工本人，或委托银行发放民工工资，严禁发放给</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包工头</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或其他不具备用工主体资格的组织和个人。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工资支付表应如实记录支付单位、支付时间、支付对象、支付数额、支付对象的身份证号和签字等信息。民工花名册和工资支付表应报监理人备查。</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4.1.10.4承包人应分解工程价款中的人工费用，在签订合同后28天内在工程项目所在地银行开设民工工资专用账户，专项用于支付本工程项目的农民工工资。发包人应按照本合同约定的比例或承包人提供的人工费用数额，将应付工程款中的人工费单独拨付到承包人开设的民工工资专用账户。民工工资专用账户应向人力资源社会保障部门和交通运输主管部门备案，并委托开户银行负责日常监管，确保专款专用。开设、使用农民工工资专用账户有关资料应由承包人妥善保存备查。开户银行发现账户资金不足、被挪用等情况，应及时向人力资源社会保障部门和交通运输主管部门报告。</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4.1.10.5 承包人（包括其分包人）应依法与所招用的农民工订立劳动合同并进行用工实名登记，通过相应的管理服务信息平台（如有）进行用工实名登记、管理。未与承包人（包括其分包人）订立劳动合同并进行用工实名登记的人员，不得进入项目现场施工。承包人应在工程项目部配备劳资专管员，对分包人劳动用工实施监督管理，掌握施工现场用工、考勤、工资支付等情况，审核分包人编制的农民工工资支付表。承包人（包括其分包人）应建立用工管理台账，并保存至工程完工且工资全部结清后至少3年。</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4.1.10.6 农民工工资应以货币形式，通过银行转账或者现金支付给农民工本人，不得以实物或者有价证券等其他形式替代。承包人（包括其分包人）应按照与农民工订立的劳动合同中约定的工资支付周期和具体支付日期足额支付工资。</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4.1.10.7承包人应在施工现场醒目位置设立维权信息告示牌，明示下列事项：</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（1）发包人、承包人及所在项目部、分包人、工程建设主管部门、劳资专管员等基本信息；</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（2）当地最低工资标准、工资支付日期等基本信息；</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（3）工程建设主管部门和劳动保障监察投诉举报电话、劳动争议调解仲裁申请渠道、法律援助申请渠道、公共法律服务热线等信息。</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4.1.10.8 承包人应严格执行招标文件技术规范对施工标准化提出的具体要求，结合本单位施工能力和技术优势，积极采取有利于标准化施工的组织方式和工艺流程，加强工地建设、工艺控制、人员管理和内业资料管理，强化对施工一线操作人员的培训，改善职工生产生活条件，与此相关的费用由承包人承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4.1.10.9承包人应在施工图设计批复后28天内在各分项工程合计总价与合同总价不变的前提下，参照《公路工程标准施工招标文件》（2018年版）的格式和计量支付要求调整施工报价清单，该清单的子目构成及单价编制应合理、完整，以方便本项目的计量支付工作。施工报价清单的子目除应涵盖已批复的施工图设计的全部内容外还应在100章列入安全生产费用，在施工报价清单中未填入单价或总额价的工程子目，将被认为其已包含在施工报价清单的其他子目的单价和总额价中，发包人将不另行计量。</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4.1.10.10 承包人应依据合同对施工图设计及工程质量、安全、进度负总责。负责施工图勘察设计、工程施工和缺陷责任期工程修复工作，配合发包人完成征地拆迁、地方协调、项目审计及交竣工验收等工作。</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4.1.10.11 本合同工程应当按照批准的施工图设计组织施工。承包人应当根据工程特点和合同约定，细化设计施工组织计划，拟定设计施工进度安排、工程质量和施工安全目标、环境保护措施、投资完成计划。</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4.1.10.12 承包人应当加强设计与施工的协调，建立工程管理与协调制度，根据工程实际及时完善、优化设计，改进施工方案，合理调配设计和施工力量，完善质量保证体系。</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4.1.10.13承包人应履行项目专用合同条款约定的其他义务。</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本款补充第4.1.11项：</w:t>
      </w:r>
    </w:p>
    <w:p>
      <w:pPr>
        <w:pageBreakBefore w:val="0"/>
        <w:tabs>
          <w:tab w:val="left" w:pos="845"/>
        </w:tabs>
        <w:kinsoku/>
        <w:wordWrap w:val="0"/>
        <w:overflowPunct/>
        <w:topLinePunct w:val="0"/>
        <w:autoSpaceDE w:val="0"/>
        <w:autoSpaceDN w:val="0"/>
        <w:bidi w:val="0"/>
        <w:adjustRightInd/>
        <w:snapToGrid/>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4.1.11 承包人承担的工程风险</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未列入第2.8款</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发包人的风险</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的工程风险均由承包人承担</w:t>
      </w:r>
      <w:bookmarkStart w:id="2106" w:name="_Hlt456267159"/>
      <w:r>
        <w:rPr>
          <w:rFonts w:hint="default" w:ascii="Times New Roman" w:hAnsi="Times New Roman" w:cs="Times New Roman"/>
          <w:color w:val="auto"/>
          <w:sz w:val="24"/>
          <w:highlight w:val="none"/>
        </w:rPr>
        <w:t>。</w:t>
      </w:r>
      <w:bookmarkEnd w:id="2106"/>
    </w:p>
    <w:p>
      <w:pPr>
        <w:pStyle w:val="16"/>
        <w:pageBreakBefore w:val="0"/>
        <w:kinsoku/>
        <w:wordWrap w:val="0"/>
        <w:overflowPunct/>
        <w:topLinePunct w:val="0"/>
        <w:bidi w:val="0"/>
        <w:adjustRightInd/>
        <w:snapToGrid/>
        <w:spacing w:before="7"/>
        <w:textAlignment w:val="auto"/>
        <w:outlineLvl w:val="9"/>
        <w:rPr>
          <w:rFonts w:hint="default" w:ascii="Times New Roman" w:hAnsi="Times New Roman" w:cs="Times New Roman"/>
          <w:color w:val="auto"/>
          <w:sz w:val="24"/>
          <w:highlight w:val="none"/>
        </w:rPr>
      </w:pPr>
    </w:p>
    <w:p>
      <w:pPr>
        <w:pageBreakBefore w:val="0"/>
        <w:numPr>
          <w:ilvl w:val="1"/>
          <w:numId w:val="5"/>
        </w:numPr>
        <w:tabs>
          <w:tab w:val="left" w:pos="840"/>
        </w:tabs>
        <w:kinsoku/>
        <w:wordWrap w:val="0"/>
        <w:overflowPunct/>
        <w:topLinePunct w:val="0"/>
        <w:autoSpaceDE w:val="0"/>
        <w:autoSpaceDN w:val="0"/>
        <w:bidi w:val="0"/>
        <w:adjustRightInd/>
        <w:snapToGrid/>
        <w:ind w:left="844" w:hanging="420"/>
        <w:jc w:val="left"/>
        <w:textAlignment w:val="auto"/>
        <w:outlineLvl w:val="9"/>
        <w:rPr>
          <w:rFonts w:hint="default" w:ascii="Times New Roman" w:hAnsi="Times New Roman" w:eastAsia="Times New Roman" w:cs="Times New Roman"/>
          <w:color w:val="auto"/>
          <w:sz w:val="24"/>
          <w:highlight w:val="none"/>
        </w:rPr>
      </w:pPr>
      <w:bookmarkStart w:id="2107" w:name="_Toc234833137"/>
      <w:r>
        <w:rPr>
          <w:rFonts w:hint="default" w:ascii="Times New Roman" w:hAnsi="Times New Roman" w:eastAsia="黑体" w:cs="Times New Roman"/>
          <w:color w:val="auto"/>
          <w:sz w:val="24"/>
          <w:highlight w:val="none"/>
        </w:rPr>
        <w:t>履约保证金</w:t>
      </w:r>
    </w:p>
    <w:p>
      <w:pPr>
        <w:pStyle w:val="16"/>
        <w:pageBreakBefore w:val="0"/>
        <w:kinsoku/>
        <w:wordWrap w:val="0"/>
        <w:overflowPunct/>
        <w:topLinePunct w:val="0"/>
        <w:bidi w:val="0"/>
        <w:adjustRightInd/>
        <w:snapToGrid/>
        <w:spacing w:before="11"/>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4.2.1项细化为：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承包人应保证其履约保证金在发包人签发交工验收证书且承包人按照合同约定缴纳质量保证金前一直有效。发包人应在收到承包人缴纳的质量保证金后 28 天内将履约保证金退还给承包人。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承包人拒绝按照本合同约定缴纳质量保证金的，发包人有权从交工付款证书中扣留相应金额作为质量保证金，或者直接将履约保证金金额用于保证承包人在缺陷责任期内履行缺陷修复义务。</w:t>
      </w:r>
    </w:p>
    <w:p>
      <w:pPr>
        <w:pStyle w:val="16"/>
        <w:pageBreakBefore w:val="0"/>
        <w:kinsoku/>
        <w:wordWrap w:val="0"/>
        <w:overflowPunct/>
        <w:topLinePunct w:val="0"/>
        <w:bidi w:val="0"/>
        <w:adjustRightInd/>
        <w:snapToGrid/>
        <w:spacing w:before="4"/>
        <w:textAlignment w:val="auto"/>
        <w:outlineLvl w:val="9"/>
        <w:rPr>
          <w:rFonts w:hint="default" w:ascii="Times New Roman" w:hAnsi="Times New Roman" w:cs="Times New Roman"/>
          <w:color w:val="auto"/>
          <w:sz w:val="24"/>
          <w:highlight w:val="none"/>
        </w:rPr>
      </w:pPr>
    </w:p>
    <w:p>
      <w:pPr>
        <w:pageBreakBefore w:val="0"/>
        <w:numPr>
          <w:ilvl w:val="1"/>
          <w:numId w:val="5"/>
        </w:numPr>
        <w:tabs>
          <w:tab w:val="left" w:pos="840"/>
        </w:tabs>
        <w:kinsoku/>
        <w:wordWrap w:val="0"/>
        <w:overflowPunct/>
        <w:topLinePunct w:val="0"/>
        <w:autoSpaceDE w:val="0"/>
        <w:autoSpaceDN w:val="0"/>
        <w:bidi w:val="0"/>
        <w:adjustRightInd/>
        <w:snapToGrid/>
        <w:ind w:left="844" w:hanging="420"/>
        <w:jc w:val="left"/>
        <w:textAlignment w:val="auto"/>
        <w:outlineLvl w:val="9"/>
        <w:rPr>
          <w:rFonts w:hint="default" w:ascii="Times New Roman" w:hAnsi="Times New Roman" w:eastAsia="Times New Roman" w:cs="Times New Roman"/>
          <w:color w:val="auto"/>
          <w:sz w:val="24"/>
          <w:highlight w:val="none"/>
        </w:rPr>
      </w:pPr>
      <w:bookmarkStart w:id="2108" w:name="_Toc501257361"/>
      <w:r>
        <w:rPr>
          <w:rFonts w:hint="default" w:ascii="Times New Roman" w:hAnsi="Times New Roman" w:eastAsia="黑体" w:cs="Times New Roman"/>
          <w:color w:val="auto"/>
          <w:sz w:val="24"/>
          <w:highlight w:val="none"/>
        </w:rPr>
        <w:t>分包</w:t>
      </w:r>
      <w:bookmarkEnd w:id="2107"/>
      <w:bookmarkEnd w:id="2108"/>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4.3.2 项～第 4.3.4 项细化为：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4.3.2 承包人不得将《辽宁省公路工程施工分包管理实施细则》（辽交公路规〔2025〕1号）规定的负面清单所列主体和关键性工作分包给第三人。经发包人同意，承包人可将工程的其他部分或工作分包给第三人。分包包括专业分包和劳务分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4.3.3专业分包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在工程设计施工总承包过程中，承包人进行专业分包必须遵守以下规定：</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（1）允许专业分包的工程范围仅限于《辽宁省公路工程施工分包管理实施细则》（辽交公路规〔2025〕1号）规定的负面清单以外的部分单位工程、分部工程或者分项工程。</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（2）专业分包人的资格能力（含安全生产能力）应与其分包工程的标准和规模相适应，且应当具备如下条件：</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 具有经依法登记的法人资格；</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b. 具有从事类似工程经验的管理与技术人员； </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 具有（自有或者租赁）分包工程所需的施工设备和辅助设施；</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d.单位工程设有资质要求的，单位工程及所含分部工程、分项工程的分包人，应当具备国家规定的相应专业承包资质条件;</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e.其他单位工程及所含分部工程、分项工程的分包人，应当具备发包人确定的资格条件，但不得违反法律法规等相关规定。</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承包人应向监理人提交专业分包人的资格能力证明材料，经监理人审查并报发包人批准后，可以将相应专业工程分包给该专业分包人。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（3）专业分包工程不得再次分包。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和施工专业分包人应当按照交通运输主管部门制定的统一格式依法签订专业分包合同，并履行合同约定的义务。专业分包合同必须遵循承包合同的各项原则，满足承包合同中的质量、安全、进度、环保以及其他技术、经济等要求。专业分包合同必须明确约定工程款支付条款、结算方式以及保证按期支付的相应措施，确保工程款的支付。承包人应在工程实施前，将经监理人审查同意后的分包合同报发包人备案。</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施工专业分包人应当设立项目管理机构，对所分包工程的施工活动实施管理。项目管理机构应当具有与分包工程的规模、技术复杂程度相适应的技术、经济管理人员，其中项目负责人和技术、财务、计量、质量、安全等主要管理人员必须是施工专业分包人本单位人员。</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承包人应当建立健全相关分包管理制度和台账，对专业分包工程的质量、安全、进度和施工专业分包人的行为等实施全过程管理，按照合同约定对专业分包工程的实施向发包人负责，并承担赔偿责任。专业分包合同不免除承包合同中规定的承包人的责任或者义务。</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施工专业分包人应当依据专业分包合同的约定，组织分包工程的施工，并对分包工程的质量、安全和进度等实施有效控制。施工专业分包人对其分包的工程向承包人负责，并就所分包的工程向发包人承担连带责任。</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承包人对施工现场安全负总责，并对施工专业分包人的安全生产进行培训和管理。施工专业分包人应将其专业分包工程的施工组织设计和施工安全方案报承包人备案。施工专业分包人对分包施工现场安全负责，发现事故隐患，应及时处理。</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违反上述规定之一者属违规分包。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4.3.4劳务分包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在工程施工过程中，承包人进行劳务分包必须遵守以下规定：</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劳务分包应当依法签订劳务分包合同，劳务分包合同必须由承包人的法定代表人或其委托代理人与劳务分包人直接签订，不得由他人代签。承包人的项目部、项目负责人、施工班组等不具备用工主体资格，不能与劳务分包人签订劳务分包合同。承包人应向发包人和监理人提交劳务分包合同副本并报项目所在地劳动保障部门备案。</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雇用的劳务作业应加入到承包人的施工班组统一管理。有关施工质量、施工安全、施工进度、环境保护、技术方案、试验检测、材料保管与供应、机械设备等都必须由承包人管理与调配，不得以包代管。</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（3）承包人应当对劳务分包人员进行安全培训和管理，劳务分包人不得将其分包的劳务作业再次分包。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违反上述规定之一者属违规分包。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本款补充第4.3.5项、 4.3.6 项：</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4.3.5 发包人对承包人与分包人之间的法律与经济纠纷不承担任何责任和义务。</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4.3.6 本项目的各项施工分包工作均应遵守《公路工程施工分包管理办法》的有关规定。</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4.3.7 承包人代发分包人农民工工资</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（1）承包人应与分包人依法订立书面分包合同，约定工程款计量周期、工程款进度结算办法。</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（2）承包人应在分包合同中要求分包人按月考核农民工工作量并编制工资支付表，经农民工本人签字确认后，与当月工程进度等情况一并交承包人。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（3）承包人根据分包人编制的工资支付表，通过农民工工资专用账户直接将工资支付到农民工本人的银行账户，并向分包人提供代发工资凭证。</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（4）用于支付农民工工资的银行账户所绑定的农民工本人社会保障卡或者银行卡，承包人（包括其分包人）不得以任何理由扣押或者变相扣押。</w:t>
      </w:r>
    </w:p>
    <w:p>
      <w:pPr>
        <w:pStyle w:val="16"/>
        <w:pageBreakBefore w:val="0"/>
        <w:kinsoku/>
        <w:wordWrap w:val="0"/>
        <w:overflowPunct/>
        <w:topLinePunct w:val="0"/>
        <w:bidi w:val="0"/>
        <w:adjustRightInd/>
        <w:snapToGrid/>
        <w:spacing w:before="2"/>
        <w:textAlignment w:val="auto"/>
        <w:outlineLvl w:val="9"/>
        <w:rPr>
          <w:rFonts w:hint="default" w:ascii="Times New Roman" w:hAnsi="Times New Roman" w:cs="Times New Roman"/>
          <w:color w:val="auto"/>
          <w:sz w:val="24"/>
          <w:highlight w:val="none"/>
        </w:rPr>
      </w:pPr>
    </w:p>
    <w:p>
      <w:pPr>
        <w:pageBreakBefore w:val="0"/>
        <w:numPr>
          <w:ilvl w:val="1"/>
          <w:numId w:val="5"/>
        </w:numPr>
        <w:tabs>
          <w:tab w:val="left" w:pos="840"/>
        </w:tabs>
        <w:kinsoku/>
        <w:wordWrap w:val="0"/>
        <w:overflowPunct/>
        <w:topLinePunct w:val="0"/>
        <w:autoSpaceDE w:val="0"/>
        <w:autoSpaceDN w:val="0"/>
        <w:bidi w:val="0"/>
        <w:adjustRightInd/>
        <w:snapToGrid/>
        <w:ind w:left="844" w:hanging="420"/>
        <w:jc w:val="left"/>
        <w:textAlignment w:val="auto"/>
        <w:outlineLvl w:val="9"/>
        <w:rPr>
          <w:rFonts w:hint="default" w:ascii="Times New Roman" w:hAnsi="Times New Roman" w:eastAsia="黑体" w:cs="Times New Roman"/>
          <w:color w:val="auto"/>
          <w:sz w:val="24"/>
          <w:highlight w:val="none"/>
        </w:rPr>
      </w:pPr>
      <w:bookmarkStart w:id="2109" w:name="_Toc234833138"/>
      <w:bookmarkStart w:id="2110" w:name="_Toc501257362"/>
      <w:r>
        <w:rPr>
          <w:rFonts w:hint="default" w:ascii="Times New Roman" w:hAnsi="Times New Roman" w:eastAsia="黑体" w:cs="Times New Roman"/>
          <w:color w:val="auto"/>
          <w:sz w:val="24"/>
          <w:highlight w:val="none"/>
        </w:rPr>
        <w:t>联合体</w:t>
      </w:r>
      <w:bookmarkEnd w:id="2109"/>
      <w:bookmarkEnd w:id="2110"/>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 4.4.4 项：</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4.4.4 未经发包人事先同意，联合体的组成与结构不得变动。</w:t>
      </w:r>
    </w:p>
    <w:p>
      <w:pPr>
        <w:pStyle w:val="16"/>
        <w:pageBreakBefore w:val="0"/>
        <w:kinsoku/>
        <w:wordWrap w:val="0"/>
        <w:overflowPunct/>
        <w:topLinePunct w:val="0"/>
        <w:bidi w:val="0"/>
        <w:adjustRightInd/>
        <w:snapToGrid/>
        <w:spacing w:before="6"/>
        <w:textAlignment w:val="auto"/>
        <w:outlineLvl w:val="9"/>
        <w:rPr>
          <w:rFonts w:hint="default" w:ascii="Times New Roman" w:hAnsi="Times New Roman" w:cs="Times New Roman"/>
          <w:color w:val="auto"/>
          <w:sz w:val="24"/>
          <w:highlight w:val="none"/>
        </w:rPr>
      </w:pPr>
    </w:p>
    <w:p>
      <w:pPr>
        <w:pageBreakBefore w:val="0"/>
        <w:numPr>
          <w:ilvl w:val="1"/>
          <w:numId w:val="6"/>
        </w:numPr>
        <w:tabs>
          <w:tab w:val="left" w:pos="845"/>
        </w:tabs>
        <w:kinsoku/>
        <w:wordWrap w:val="0"/>
        <w:overflowPunct/>
        <w:topLinePunct w:val="0"/>
        <w:autoSpaceDE w:val="0"/>
        <w:autoSpaceDN w:val="0"/>
        <w:bidi w:val="0"/>
        <w:adjustRightInd/>
        <w:snapToGrid/>
        <w:spacing w:before="1"/>
        <w:textAlignment w:val="auto"/>
        <w:outlineLvl w:val="9"/>
        <w:rPr>
          <w:rFonts w:hint="default" w:ascii="Times New Roman" w:hAnsi="Times New Roman" w:eastAsia="黑体" w:cs="Times New Roman"/>
          <w:color w:val="auto"/>
          <w:sz w:val="24"/>
          <w:highlight w:val="none"/>
        </w:rPr>
      </w:pPr>
      <w:bookmarkStart w:id="2111" w:name="_Toc501257363"/>
      <w:bookmarkStart w:id="2112" w:name="_Toc234833139"/>
      <w:r>
        <w:rPr>
          <w:rFonts w:hint="default" w:ascii="Times New Roman" w:hAnsi="Times New Roman" w:eastAsia="黑体" w:cs="Times New Roman"/>
          <w:color w:val="auto"/>
          <w:sz w:val="24"/>
          <w:highlight w:val="none"/>
        </w:rPr>
        <w:t>承包人人员的管理</w:t>
      </w:r>
      <w:bookmarkEnd w:id="2111"/>
      <w:bookmarkEnd w:id="2112"/>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4.6.3 项补充：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安排在本项目中的勘察设计人员和施工场地的主要管理人员和技术骨干应与承包人承诺的名单一致，并保持相对稳定。未经监理人批准，上述人员不应无故不到位或被替换；若确实无法到位或需替换，需经监理人审核并报发包人批准后，用同等资质和经历的人员替换。</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 4.6.6项：</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4.6.6 尽管承包人已按承诺派遣了上述各类人员，但若这些人员仍不能满足合同进度计划和（或）质量要求时，监理人有权要求承包人继续增派或雇用这类人员，并书面通知承包人和抄送发包人。承包人在接到上述通知后应立即执行监理人的上述指示，不得无故拖延，由此增加的费用和（或）工期延误由承包人承担。</w:t>
      </w:r>
    </w:p>
    <w:p>
      <w:pPr>
        <w:pStyle w:val="16"/>
        <w:pageBreakBefore w:val="0"/>
        <w:kinsoku/>
        <w:wordWrap w:val="0"/>
        <w:overflowPunct/>
        <w:topLinePunct w:val="0"/>
        <w:bidi w:val="0"/>
        <w:adjustRightInd/>
        <w:snapToGrid/>
        <w:spacing w:before="4"/>
        <w:textAlignment w:val="auto"/>
        <w:outlineLvl w:val="9"/>
        <w:rPr>
          <w:rFonts w:hint="default" w:ascii="Times New Roman" w:hAnsi="Times New Roman" w:cs="Times New Roman"/>
          <w:color w:val="auto"/>
          <w:sz w:val="24"/>
          <w:highlight w:val="none"/>
        </w:rPr>
      </w:pPr>
    </w:p>
    <w:p>
      <w:pPr>
        <w:pageBreakBefore w:val="0"/>
        <w:numPr>
          <w:ilvl w:val="1"/>
          <w:numId w:val="6"/>
        </w:numPr>
        <w:tabs>
          <w:tab w:val="left" w:pos="845"/>
        </w:tabs>
        <w:kinsoku/>
        <w:wordWrap w:val="0"/>
        <w:overflowPunct/>
        <w:topLinePunct w:val="0"/>
        <w:autoSpaceDE w:val="0"/>
        <w:autoSpaceDN w:val="0"/>
        <w:bidi w:val="0"/>
        <w:adjustRightInd/>
        <w:snapToGrid/>
        <w:spacing w:before="1"/>
        <w:textAlignment w:val="auto"/>
        <w:outlineLvl w:val="9"/>
        <w:rPr>
          <w:rFonts w:hint="default" w:ascii="Times New Roman" w:hAnsi="Times New Roman" w:eastAsia="黑体" w:cs="Times New Roman"/>
          <w:color w:val="auto"/>
          <w:sz w:val="24"/>
          <w:highlight w:val="none"/>
        </w:rPr>
      </w:pPr>
      <w:bookmarkStart w:id="2113" w:name="_Toc501257364"/>
      <w:bookmarkStart w:id="2114" w:name="_Toc234833140"/>
      <w:r>
        <w:rPr>
          <w:rFonts w:hint="default" w:ascii="Times New Roman" w:hAnsi="Times New Roman" w:eastAsia="黑体" w:cs="Times New Roman"/>
          <w:color w:val="auto"/>
          <w:sz w:val="24"/>
          <w:highlight w:val="none"/>
        </w:rPr>
        <w:t>撤换承包人项目负责人和其他人员</w:t>
      </w:r>
      <w:bookmarkEnd w:id="2113"/>
      <w:bookmarkEnd w:id="2114"/>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对其项目负责人和其他人员进行有效管理。监理人要求撤换不能胜任本职工作、行为不端或玩忽职守的承包人项目负责人和其他人员的，承包人应予以撤换，同时委派经发包人与监理人同意的新的项目负责人和其他人员。</w:t>
      </w:r>
    </w:p>
    <w:p>
      <w:pPr>
        <w:pStyle w:val="16"/>
        <w:pageBreakBefore w:val="0"/>
        <w:kinsoku/>
        <w:wordWrap w:val="0"/>
        <w:overflowPunct/>
        <w:topLinePunct w:val="0"/>
        <w:bidi w:val="0"/>
        <w:adjustRightInd/>
        <w:snapToGrid/>
        <w:spacing w:before="2"/>
        <w:textAlignment w:val="auto"/>
        <w:outlineLvl w:val="9"/>
        <w:rPr>
          <w:rFonts w:hint="default" w:ascii="Times New Roman" w:hAnsi="Times New Roman" w:cs="Times New Roman"/>
          <w:color w:val="auto"/>
          <w:sz w:val="24"/>
          <w:highlight w:val="none"/>
        </w:rPr>
      </w:pPr>
    </w:p>
    <w:p>
      <w:pPr>
        <w:pageBreakBefore w:val="0"/>
        <w:numPr>
          <w:ilvl w:val="1"/>
          <w:numId w:val="7"/>
        </w:numPr>
        <w:tabs>
          <w:tab w:val="left" w:pos="845"/>
        </w:tabs>
        <w:kinsoku/>
        <w:wordWrap w:val="0"/>
        <w:overflowPunct/>
        <w:topLinePunct w:val="0"/>
        <w:autoSpaceDE w:val="0"/>
        <w:autoSpaceDN w:val="0"/>
        <w:bidi w:val="0"/>
        <w:adjustRightInd/>
        <w:snapToGrid/>
        <w:textAlignment w:val="auto"/>
        <w:outlineLvl w:val="9"/>
        <w:rPr>
          <w:rFonts w:hint="default" w:ascii="Times New Roman" w:hAnsi="Times New Roman" w:eastAsia="黑体" w:cs="Times New Roman"/>
          <w:color w:val="auto"/>
          <w:sz w:val="24"/>
          <w:highlight w:val="none"/>
        </w:rPr>
      </w:pPr>
      <w:bookmarkStart w:id="2115" w:name="_Toc501257365"/>
      <w:bookmarkStart w:id="2116" w:name="_Toc234833141"/>
      <w:r>
        <w:rPr>
          <w:rFonts w:hint="default" w:ascii="Times New Roman" w:hAnsi="Times New Roman" w:eastAsia="黑体" w:cs="Times New Roman"/>
          <w:color w:val="auto"/>
          <w:sz w:val="24"/>
          <w:highlight w:val="none"/>
        </w:rPr>
        <w:t>工程价款应专款专用</w:t>
      </w:r>
      <w:bookmarkEnd w:id="2115"/>
      <w:bookmarkEnd w:id="2116"/>
    </w:p>
    <w:p>
      <w:pPr>
        <w:pStyle w:val="16"/>
        <w:pageBreakBefore w:val="0"/>
        <w:kinsoku/>
        <w:wordWrap w:val="0"/>
        <w:overflowPunct/>
        <w:topLinePunct w:val="0"/>
        <w:bidi w:val="0"/>
        <w:adjustRightInd/>
        <w:snapToGrid/>
        <w:spacing w:before="11"/>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按合同约定支付给承包人的各项价款应专用于合同工程。承包人必须在发包人指定的银行开户，并与发包人、银行共同签订《工程资金监管协议》，接受发包人和银行对资金的监管。承包人应向发包人授权进行本合同工程开户银行工程资金的查询。发包人支付的工程进度款应为本工程的专款专用资金，不得转移或用于其他工程。发包人的期中支付款将转入该银行所设的专门账户，发包人及其派出机构有权不定期对承包人工程资金使用情况进行检查，发现问题及时责令承包人限期改正，否则，将终止支付，直至承包人改正为止。</w:t>
      </w:r>
    </w:p>
    <w:p>
      <w:pPr>
        <w:pStyle w:val="16"/>
        <w:pageBreakBefore w:val="0"/>
        <w:kinsoku/>
        <w:wordWrap w:val="0"/>
        <w:overflowPunct/>
        <w:topLinePunct w:val="0"/>
        <w:bidi w:val="0"/>
        <w:adjustRightInd/>
        <w:snapToGrid/>
        <w:spacing w:before="6"/>
        <w:textAlignment w:val="auto"/>
        <w:outlineLvl w:val="9"/>
        <w:rPr>
          <w:rFonts w:hint="default" w:ascii="Times New Roman" w:hAnsi="Times New Roman" w:cs="Times New Roman"/>
          <w:color w:val="auto"/>
          <w:sz w:val="24"/>
          <w:highlight w:val="none"/>
        </w:rPr>
      </w:pPr>
    </w:p>
    <w:p>
      <w:pPr>
        <w:pageBreakBefore w:val="0"/>
        <w:numPr>
          <w:ilvl w:val="1"/>
          <w:numId w:val="7"/>
        </w:numPr>
        <w:tabs>
          <w:tab w:val="left" w:pos="965"/>
        </w:tabs>
        <w:kinsoku/>
        <w:wordWrap w:val="0"/>
        <w:overflowPunct/>
        <w:topLinePunct w:val="0"/>
        <w:autoSpaceDE w:val="0"/>
        <w:autoSpaceDN w:val="0"/>
        <w:bidi w:val="0"/>
        <w:adjustRightInd/>
        <w:snapToGrid/>
        <w:ind w:left="964" w:hanging="540"/>
        <w:textAlignment w:val="auto"/>
        <w:outlineLvl w:val="9"/>
        <w:rPr>
          <w:rFonts w:hint="default" w:ascii="Times New Roman" w:hAnsi="Times New Roman" w:eastAsia="黑体" w:cs="Times New Roman"/>
          <w:color w:val="auto"/>
          <w:sz w:val="24"/>
          <w:highlight w:val="none"/>
        </w:rPr>
      </w:pPr>
      <w:bookmarkStart w:id="2117" w:name="_Toc234833142"/>
      <w:bookmarkStart w:id="2118" w:name="_Toc501257366"/>
      <w:r>
        <w:rPr>
          <w:rFonts w:hint="default" w:ascii="Times New Roman" w:hAnsi="Times New Roman" w:eastAsia="黑体" w:cs="Times New Roman"/>
          <w:color w:val="auto"/>
          <w:sz w:val="24"/>
          <w:highlight w:val="none"/>
        </w:rPr>
        <w:t>承包人现场查勘</w:t>
      </w:r>
      <w:bookmarkEnd w:id="2117"/>
      <w:bookmarkEnd w:id="2118"/>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4.10.1 项细化为：</w:t>
      </w:r>
      <w:r>
        <w:rPr>
          <w:rStyle w:val="45"/>
          <w:rFonts w:hint="default" w:ascii="Times New Roman" w:hAnsi="Times New Roman" w:cs="Times New Roman"/>
          <w:color w:val="auto"/>
          <w:sz w:val="24"/>
          <w:highlight w:val="none"/>
        </w:rPr>
        <w:footnoteReference w:id="67"/>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提供的本合同工程的水文、地质、气象和料场分布、取土场、弃土场位置等资料均属于参考资料，并不构成合同文件的组成部分，承包人应对自己就上述资料的解释、推论和应用负责，发包人不对承包人据此作出的判断和决策承担任何责任。</w:t>
      </w:r>
    </w:p>
    <w:p>
      <w:pPr>
        <w:pageBreakBefore w:val="0"/>
        <w:numPr>
          <w:ilvl w:val="1"/>
          <w:numId w:val="7"/>
        </w:numPr>
        <w:tabs>
          <w:tab w:val="left" w:pos="965"/>
        </w:tabs>
        <w:kinsoku/>
        <w:wordWrap w:val="0"/>
        <w:overflowPunct/>
        <w:topLinePunct w:val="0"/>
        <w:autoSpaceDE w:val="0"/>
        <w:autoSpaceDN w:val="0"/>
        <w:bidi w:val="0"/>
        <w:adjustRightInd/>
        <w:snapToGrid/>
        <w:ind w:left="964" w:hanging="540"/>
        <w:textAlignment w:val="auto"/>
        <w:outlineLvl w:val="9"/>
        <w:rPr>
          <w:rFonts w:hint="default" w:ascii="Times New Roman" w:hAnsi="Times New Roman" w:eastAsia="黑体" w:cs="Times New Roman"/>
          <w:b/>
          <w:color w:val="auto"/>
          <w:sz w:val="24"/>
          <w:highlight w:val="none"/>
        </w:rPr>
      </w:pPr>
      <w:bookmarkStart w:id="2119" w:name="_Toc234833143"/>
      <w:bookmarkStart w:id="2120" w:name="_Toc501257367"/>
      <w:r>
        <w:rPr>
          <w:rFonts w:hint="default" w:ascii="Times New Roman" w:hAnsi="Times New Roman" w:eastAsia="黑体" w:cs="Times New Roman"/>
          <w:color w:val="auto"/>
          <w:sz w:val="24"/>
          <w:highlight w:val="none"/>
        </w:rPr>
        <w:t>不可预见物质条件</w:t>
      </w:r>
      <w:bookmarkEnd w:id="2119"/>
      <w:bookmarkEnd w:id="2120"/>
      <w:r>
        <w:rPr>
          <w:rFonts w:hint="default" w:ascii="Times New Roman" w:hAnsi="Times New Roman" w:eastAsia="黑体" w:cs="Times New Roman"/>
          <w:color w:val="auto"/>
          <w:sz w:val="24"/>
          <w:highlight w:val="none"/>
        </w:rPr>
        <w:t>（A）</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第4.11.2项细化为：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4.11.2 承包人遇到不可预见的不利物质条件时，应采取适应不利物质条件的合理措施继续设计和（或）施工，并及时通知监理人，通知应载明不利物质条件的内容以及承包人认为不可预见的理由。监理人应当及时发出指示，指示构成变更的，按第15条约定办理。监理人没有发出指示的，承包人因采取合理措施而增加的费用和（或）工期延误，由发包人承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本款补充第4.11.3项：</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4.11.3 可预见的不利物质条件</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（1）对于项目专用合同条款中已经明确指出的不利物质条件无论承包人是否有其经历和经验均视为承包人在接受合同时已预见其影响，并已在签约合同价中计入因其影响而可能发生的一切费用。</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（2）对于项目专用合同条款未明确指出，但是在不利物质条件发生之前，监理人已经指示承包人有可能发生，但承包人未能及时采取有效措施，而导致的损失和后果均由承包人承担。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spacing w:before="2"/>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ind w:left="424"/>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补充第</w:t>
      </w:r>
      <w:r>
        <w:rPr>
          <w:rFonts w:hint="default" w:ascii="Times New Roman" w:hAnsi="Times New Roman" w:eastAsia="Times New Roman" w:cs="Times New Roman"/>
          <w:color w:val="auto"/>
          <w:sz w:val="24"/>
          <w:highlight w:val="none"/>
        </w:rPr>
        <w:t>4.1</w:t>
      </w:r>
      <w:r>
        <w:rPr>
          <w:rFonts w:hint="default" w:ascii="Times New Roman" w:hAnsi="Times New Roman" w:cs="Times New Roman"/>
          <w:color w:val="auto"/>
          <w:sz w:val="24"/>
          <w:highlight w:val="none"/>
        </w:rPr>
        <w:t>4~</w:t>
      </w:r>
      <w:r>
        <w:rPr>
          <w:rFonts w:hint="default" w:ascii="Times New Roman" w:hAnsi="Times New Roman" w:eastAsia="Times New Roman" w:cs="Times New Roman"/>
          <w:color w:val="auto"/>
          <w:sz w:val="24"/>
          <w:highlight w:val="none"/>
        </w:rPr>
        <w:t>4.1</w:t>
      </w:r>
      <w:r>
        <w:rPr>
          <w:rFonts w:hint="default" w:ascii="Times New Roman" w:hAnsi="Times New Roman" w:cs="Times New Roman"/>
          <w:color w:val="auto"/>
          <w:sz w:val="24"/>
          <w:highlight w:val="none"/>
        </w:rPr>
        <w:t>6款：</w:t>
      </w:r>
    </w:p>
    <w:p>
      <w:pPr>
        <w:pageBreakBefore w:val="0"/>
        <w:numPr>
          <w:ilvl w:val="1"/>
          <w:numId w:val="8"/>
        </w:numPr>
        <w:tabs>
          <w:tab w:val="left" w:pos="965"/>
        </w:tabs>
        <w:kinsoku/>
        <w:wordWrap w:val="0"/>
        <w:overflowPunct/>
        <w:topLinePunct w:val="0"/>
        <w:autoSpaceDE w:val="0"/>
        <w:autoSpaceDN w:val="0"/>
        <w:bidi w:val="0"/>
        <w:adjustRightInd/>
        <w:snapToGrid/>
        <w:ind w:left="964" w:hanging="540"/>
        <w:textAlignment w:val="auto"/>
        <w:outlineLvl w:val="9"/>
        <w:rPr>
          <w:rFonts w:hint="default" w:ascii="Times New Roman" w:hAnsi="Times New Roman" w:eastAsia="黑体" w:cs="Times New Roman"/>
          <w:color w:val="auto"/>
          <w:sz w:val="24"/>
          <w:highlight w:val="none"/>
        </w:rPr>
      </w:pPr>
      <w:bookmarkStart w:id="2121" w:name="_Toc234833144"/>
      <w:bookmarkStart w:id="2122" w:name="_Toc501257368"/>
      <w:r>
        <w:rPr>
          <w:rFonts w:hint="default" w:ascii="Times New Roman" w:hAnsi="Times New Roman" w:eastAsia="黑体" w:cs="Times New Roman"/>
          <w:color w:val="auto"/>
          <w:sz w:val="24"/>
          <w:highlight w:val="none"/>
        </w:rPr>
        <w:t>投标文件的完备性</w:t>
      </w:r>
      <w:bookmarkEnd w:id="2121"/>
      <w:bookmarkEnd w:id="2122"/>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双方一致认为，承包人在递交投标文件前，对本合同工程的投标文件和已标价价格清单中开列的单价和总额价已查明是正确的和完备的。投标的单价和总额价应已包括了合同中规定的承包人的全部义务（包括提供设计、货物、材料、设备、服务的义务，并包括了暂列金额和暂估价范围内的额外工作的义务）以及为实施和完成本合同工程及其缺陷修复所必需的一切工作和条件。</w:t>
      </w:r>
    </w:p>
    <w:p>
      <w:pPr>
        <w:pStyle w:val="16"/>
        <w:pageBreakBefore w:val="0"/>
        <w:kinsoku/>
        <w:wordWrap w:val="0"/>
        <w:overflowPunct/>
        <w:topLinePunct w:val="0"/>
        <w:bidi w:val="0"/>
        <w:adjustRightInd/>
        <w:snapToGrid/>
        <w:spacing w:before="6"/>
        <w:textAlignment w:val="auto"/>
        <w:outlineLvl w:val="9"/>
        <w:rPr>
          <w:rFonts w:hint="default" w:ascii="Times New Roman" w:hAnsi="Times New Roman" w:cs="Times New Roman"/>
          <w:color w:val="auto"/>
          <w:sz w:val="24"/>
          <w:highlight w:val="none"/>
        </w:rPr>
      </w:pPr>
    </w:p>
    <w:p>
      <w:pPr>
        <w:pageBreakBefore w:val="0"/>
        <w:numPr>
          <w:ilvl w:val="1"/>
          <w:numId w:val="8"/>
        </w:numPr>
        <w:tabs>
          <w:tab w:val="left" w:pos="965"/>
        </w:tabs>
        <w:kinsoku/>
        <w:wordWrap w:val="0"/>
        <w:overflowPunct/>
        <w:topLinePunct w:val="0"/>
        <w:autoSpaceDE w:val="0"/>
        <w:autoSpaceDN w:val="0"/>
        <w:bidi w:val="0"/>
        <w:adjustRightInd/>
        <w:snapToGrid/>
        <w:ind w:left="964" w:hanging="540"/>
        <w:textAlignment w:val="auto"/>
        <w:outlineLvl w:val="9"/>
        <w:rPr>
          <w:rFonts w:hint="default" w:ascii="Times New Roman" w:hAnsi="Times New Roman" w:eastAsia="黑体" w:cs="Times New Roman"/>
          <w:color w:val="auto"/>
          <w:sz w:val="24"/>
          <w:highlight w:val="none"/>
        </w:rPr>
      </w:pPr>
      <w:bookmarkStart w:id="2123" w:name="_Toc501257369"/>
      <w:r>
        <w:rPr>
          <w:rFonts w:hint="default" w:ascii="Times New Roman" w:hAnsi="Times New Roman" w:eastAsia="黑体" w:cs="Times New Roman"/>
          <w:color w:val="auto"/>
          <w:sz w:val="24"/>
          <w:highlight w:val="none"/>
        </w:rPr>
        <w:t>开展党建工作要求</w:t>
      </w:r>
      <w:bookmarkEnd w:id="2123"/>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对于政府投资的国家高速公路项目，或承包人为国有控股或参股企业的，承包人应按规定在项目现场设立基层党组织。不满足上述情形的，承包人应创造条件使党员能够参加党组织生活并接受相应管理。</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项目现场设立基层党组织的，应明确党组织机构设置、党组织负责人及党务工作人员配备情况，编制党务工作开展预案，并按照预案要求在项目实施过程中同步开展党务工作，充分发挥基层党组织在项目实施中的作用。</w:t>
      </w:r>
    </w:p>
    <w:p>
      <w:pPr>
        <w:pageBreakBefore w:val="0"/>
        <w:numPr>
          <w:ilvl w:val="1"/>
          <w:numId w:val="8"/>
        </w:numPr>
        <w:tabs>
          <w:tab w:val="left" w:pos="965"/>
        </w:tabs>
        <w:kinsoku/>
        <w:wordWrap w:val="0"/>
        <w:overflowPunct/>
        <w:topLinePunct w:val="0"/>
        <w:autoSpaceDE w:val="0"/>
        <w:autoSpaceDN w:val="0"/>
        <w:bidi w:val="0"/>
        <w:adjustRightInd/>
        <w:snapToGrid/>
        <w:ind w:left="964" w:hanging="540"/>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存储农民工工资保证金</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（1）为确保施工过程中农民工工资实时、足额发放到位，承包人应在签订合同后28天内向发包人缴存农民工工资保证金，金额在项目专用合同条款中约定。</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（2）农民工工资保证金可采用银行保函、担保公司担保或现金、支票等形式。采用银行保函时，出具保函的银行须具有相应担保能力，且按照发包人批准的格式出具，所需费用由承包人承担。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（3）农民工工资保证金的使用条件和返还时间在项目专用合同条款中约定。</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r>
        <w:rPr>
          <w:rFonts w:hint="default" w:ascii="Times New Roman" w:hAnsi="Times New Roman" w:cs="Times New Roman"/>
          <w:i w:val="0"/>
          <w:iCs w:val="0"/>
          <w:color w:val="auto"/>
          <w:szCs w:val="24"/>
          <w:highlight w:val="none"/>
        </w:rPr>
        <w:t>5. 设计</w:t>
      </w:r>
    </w:p>
    <w:p>
      <w:pPr>
        <w:pageBreakBefore w:val="0"/>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4"/>
          <w:szCs w:val="24"/>
          <w:highlight w:val="none"/>
        </w:rPr>
      </w:pPr>
      <w:bookmarkStart w:id="2124" w:name="_Toc501257371"/>
      <w:bookmarkStart w:id="2125" w:name="_Toc234833146"/>
      <w:bookmarkStart w:id="2126" w:name="_Toc23747810"/>
      <w:bookmarkStart w:id="2127" w:name="_Toc404093854"/>
      <w:r>
        <w:rPr>
          <w:rFonts w:hint="default" w:ascii="Times New Roman" w:hAnsi="Times New Roman" w:cs="Times New Roman"/>
          <w:color w:val="auto"/>
          <w:sz w:val="24"/>
          <w:szCs w:val="24"/>
          <w:highlight w:val="none"/>
        </w:rPr>
        <w:t>5.</w:t>
      </w:r>
      <w:bookmarkEnd w:id="2124"/>
      <w:bookmarkEnd w:id="2125"/>
      <w:r>
        <w:rPr>
          <w:rFonts w:hint="default" w:ascii="Times New Roman" w:hAnsi="Times New Roman" w:cs="Times New Roman"/>
          <w:color w:val="auto"/>
          <w:sz w:val="24"/>
          <w:szCs w:val="24"/>
          <w:highlight w:val="none"/>
        </w:rPr>
        <w:t>1承包人的设计义务</w:t>
      </w:r>
      <w:bookmarkEnd w:id="2126"/>
      <w:bookmarkEnd w:id="2127"/>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第5.1.1项修改为：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5.1.1 设计义务的一般要求</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承包人应按下述规定履行施工图设计职责：</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根据发包人提供的初步设计图纸等基础资料，承包人应按照国家有关工程建设标准强制性条文和交通运输部关于勘察设计方面的现行技术标准、规范、规程、定额、办法、示例等有关规定，完成本合同工程的施工图设计、施工图预算编制工作。</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承包人提交的设计文件必须符合下列要求：</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 设计文件的编制必须严格执行国家基本建设程序、工程建设标准强制性条文及有关公路工程建设的法律、法规、规章、规范、标准、规程、定额和合同的要求；</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 设计文件的编制须符合国民经济、社会发展规划和产业政策，贯彻提高社会经济效益和促进技术进步的方针，实行资源综合利用，节约资源和能源，符合国家自然风景区、城市、集镇、村庄规划和相关专业规划，符合国家有关劳动安全卫生、消防、抗震、人防规定；</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 设计依据的基本资料应完整、准确、可靠，设计方案论证充分，计算可靠，并符合系统运行安全的要求；</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 设计文件的深度应满足相应设计阶段的有关规定，并符合相关规范的要求；</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e. 设计文件必须保证工程质量和安全的要求，符合安全、适用、耐久、经济、美观的综合要求；并满足沿线景观及沿线设施的协调性和环境保护、水土保持的要求； </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f. 设计文件中关于工程建设材料、配件和设备的选用，应当注明其性能及技术标准，其质量要求必须符合国家规定的标准，但不得指定生产厂、供应商和产品品牌。</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承包人提交的设计文件必须接受发包人或发包人委托的咨询审查单位审查，并经上级交通运输主管部门批准，凡审查意见中提出的问题，承包人应逐条给予认真贯彻落实，提交书面的反馈意见并免费修改施工图设计文件。</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承包人应在收到发包人或发包人委托的咨询审查单位或上级交通运输主管部门提出的审查意见后15天内，完成对施工图设计文件的修改；并按项目专用合同条款约定的数量向发包人提供最终的施工图纸(含施工图预算及电子版)。</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对于已经获得批准的施工图设计文件，发包人认为有部分工程需要优化时，承包人应根据发包人的要求进行优化设计，其设计费用应视为已包含在签约合同价中，发包人不另行支付。</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承包人应根据投标承诺在施工现场设立代表处或派驻经验丰富的设计代表常驻施工现场，做好施工现场服务，并负责解决施工过程中出现的设计问题。</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 承包人必须按照由交通行政主管部门最终审查批准的施工图进行施工，完成合同工程内容。</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 对于承包人设计文件中的错误、遗漏、含糊、不一致、不适当或其他缺陷（无论是否已通过审查或批复），承包人均应及时改正，并通知监理人和发包人。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 施工过程中的各种设计方案和施工工艺的优化、修订或变更，均应由承包人事先向发包人和监理人提出书面报告，视管理权限由监理人审核后报发包人审批通过或核备后方可组织实施，在此种情况下，并不免除承包人对发包人应承担的全部设计责任，也不改变本合同的任何责任和义务。</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 在勘察设计过程中，承包人应与本项目相干扰的铁路、航道、水利、管线、电力电信及其他相关建筑设施或特殊保护区域的主管部门进行协商，获得项目相干扰部门对推荐路线的认同意见、协议、批准文件或纪要等，以确保本项目顺利实施。</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 由于承包人设计错误造成工程质量事故或拖延工期，由承包人自行承担责任。</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 由于发包人变更勘察设计项目、规模、条件，或未按合同提供勘察设计必需的资料，而造成勘察设计的返工、停工、窝工或修改设计，发包人应承担相应责任。</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本款补充第5.1.3、5.1.4项</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bookmarkStart w:id="2128" w:name="_Toc264373501"/>
      <w:bookmarkStart w:id="2129" w:name="_Toc259552514"/>
      <w:bookmarkStart w:id="2130" w:name="_Toc258440546"/>
      <w:bookmarkStart w:id="2131" w:name="_Toc259350430"/>
      <w:r>
        <w:rPr>
          <w:rFonts w:hint="default" w:ascii="Times New Roman" w:hAnsi="Times New Roman" w:cs="Times New Roman"/>
          <w:color w:val="auto"/>
          <w:sz w:val="24"/>
          <w:highlight w:val="none"/>
        </w:rPr>
        <w:t>5.1.3设计人员资格</w:t>
      </w:r>
      <w:bookmarkEnd w:id="2128"/>
      <w:bookmarkEnd w:id="2129"/>
      <w:bookmarkEnd w:id="2130"/>
      <w:bookmarkEnd w:id="2131"/>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承包人的设计工作应由具有国家规定的资格，并具有从事设计所必需的经验与能力的专业人员编制完成。</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承包人应保证其设计人员(包括分包人的设计人员)在合同期限内的任何时候，都能按时参加发包人或其委托的监理人组织的工作会议。</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承包人在投标文件中载明的设计负责人及其专业负责人均为不可替换人员，未经发包人同意，不允许更换。</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承包人对设计分包人的设计，向发包人承担连带责任。</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5.1.4 设计责任的明确</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计文件应由联合体中的设计成员负责完成，在设计过程中应充分吸纳施工成员提出的合理意见，设计方案与施工成员即将采用的工法及设备相吻合。设计文件按国家有关出图规定进行签字盖章后，必须由联合体牵头人盖章后提交发包人审查。本款规定并不免除联合体所有成员对本工程设计承担的连带责任。</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p>
    <w:p>
      <w:pPr>
        <w:pageBreakBefore w:val="0"/>
        <w:kinsoku/>
        <w:wordWrap w:val="0"/>
        <w:overflowPunct/>
        <w:topLinePunct w:val="0"/>
        <w:autoSpaceDE/>
        <w:autoSpaceDN/>
        <w:bidi w:val="0"/>
        <w:adjustRightInd/>
        <w:snapToGrid/>
        <w:jc w:val="left"/>
        <w:textAlignment w:val="auto"/>
        <w:outlineLvl w:val="9"/>
        <w:rPr>
          <w:rFonts w:hint="default" w:ascii="Times New Roman" w:hAnsi="Times New Roman" w:cs="Times New Roman"/>
          <w:b w:val="0"/>
          <w:color w:val="auto"/>
          <w:sz w:val="24"/>
          <w:highlight w:val="none"/>
        </w:rPr>
      </w:pPr>
      <w:r>
        <w:rPr>
          <w:rFonts w:hint="default" w:ascii="Times New Roman" w:hAnsi="Times New Roman" w:cs="Times New Roman"/>
          <w:color w:val="auto"/>
          <w:sz w:val="24"/>
          <w:szCs w:val="24"/>
          <w:highlight w:val="none"/>
        </w:rPr>
        <w:t>5.3设计审查</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第5.3.1项约定为：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5.3.1承包人应当按照合同规定和工程施工需要，分阶段提交详勘资料和施工图设计文件。承包人提交的设计文件必须接受发包人或发包人委托的咨询审查单位及有权部门的审查，施工图设计文件审查的主要内容包括但不限于：是否采纳初步设计批复意见；是否符合工程强制性标准、有关技术规范和规程要求；施工图设计文件是否齐全，是否达到规定的技术深度要求；工程结构设计是否符合安全、稳定和耐久性要求。由于施工图设计质量不高造成施工图设计文件审查不能通过的，承包人应补充完善设计，由此造成的损失由承包人负责。</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本款补充5.3.4项：</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5.3.4勘察设计的一般要求</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本项目的勘察设计应在初步设计基础上进行设计，勘察设计技术标准不能低于初步设计。承包人不得对已经有发包人审查批准的初步设计中路线走向、设计标准和工程规模擅自修改</w:t>
      </w:r>
      <w:r>
        <w:rPr>
          <w:rFonts w:hint="default" w:ascii="Times New Roman" w:hAnsi="Times New Roman" w:cs="Times New Roman"/>
          <w:color w:val="auto"/>
          <w:highlight w:val="none"/>
        </w:rPr>
        <w:footnoteReference w:id="68"/>
      </w:r>
      <w:r>
        <w:rPr>
          <w:rFonts w:hint="default" w:ascii="Times New Roman" w:hAnsi="Times New Roman" w:cs="Times New Roman"/>
          <w:color w:val="auto"/>
          <w:sz w:val="24"/>
          <w:highlight w:val="none"/>
        </w:rPr>
        <w:t>，也不能通过降低结构安全系数或其他途径试图缩减工程规模。其他初步设计中不可修改内容及施工图勘察设计相关要求在项目专用合同条款中约定。</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132" w:name="_Toc23747813"/>
      <w:r>
        <w:rPr>
          <w:rFonts w:hint="default" w:ascii="Times New Roman" w:hAnsi="Times New Roman" w:cs="Times New Roman"/>
          <w:i w:val="0"/>
          <w:iCs w:val="0"/>
          <w:color w:val="auto"/>
          <w:szCs w:val="24"/>
          <w:highlight w:val="none"/>
        </w:rPr>
        <w:t>6. 材料和工程设备</w:t>
      </w:r>
      <w:bookmarkEnd w:id="2132"/>
    </w:p>
    <w:p>
      <w:pPr>
        <w:pageBreakBefore w:val="0"/>
        <w:kinsoku/>
        <w:wordWrap w:val="0"/>
        <w:overflowPunct/>
        <w:topLinePunct w:val="0"/>
        <w:autoSpaceDE/>
        <w:autoSpaceDN/>
        <w:bidi w:val="0"/>
        <w:adjustRightInd/>
        <w:snapToGrid/>
        <w:jc w:val="left"/>
        <w:textAlignment w:val="auto"/>
        <w:outlineLvl w:val="9"/>
        <w:rPr>
          <w:rFonts w:hint="default" w:ascii="Times New Roman" w:hAnsi="Times New Roman" w:cs="Times New Roman"/>
          <w:b w:val="0"/>
          <w:color w:val="auto"/>
          <w:kern w:val="2"/>
          <w:sz w:val="24"/>
          <w:szCs w:val="24"/>
          <w:highlight w:val="none"/>
        </w:rPr>
      </w:pPr>
      <w:bookmarkStart w:id="2133" w:name="_Toc404093858"/>
      <w:bookmarkStart w:id="2134" w:name="_Toc23747814"/>
      <w:r>
        <w:rPr>
          <w:rFonts w:hint="default" w:ascii="Times New Roman" w:hAnsi="Times New Roman" w:cs="Times New Roman"/>
          <w:color w:val="auto"/>
          <w:sz w:val="24"/>
          <w:szCs w:val="24"/>
          <w:highlight w:val="none"/>
        </w:rPr>
        <w:t>6.1</w:t>
      </w:r>
      <w:r>
        <w:rPr>
          <w:rFonts w:hint="default" w:ascii="Times New Roman" w:hAnsi="Times New Roman" w:eastAsia="黑体" w:cs="Times New Roman"/>
          <w:b w:val="0"/>
          <w:bCs/>
          <w:color w:val="auto"/>
          <w:kern w:val="2"/>
          <w:sz w:val="24"/>
          <w:szCs w:val="24"/>
          <w:highlight w:val="none"/>
        </w:rPr>
        <w:t>承包人提供的材料和工程设备</w:t>
      </w:r>
      <w:bookmarkEnd w:id="2133"/>
      <w:bookmarkEnd w:id="2134"/>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6.1.2在原项末补充：主要材料按批次供货检验验收。</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6.1.3项补充：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承包人与监理人就材料或设备的检验结果发生争端时，监理人在征得发包人同意后，可以将材料或设备的检查和检验委托给一家具有国家技术监督局或专业机构认证资格的独立检验单位进行检验。当该独立检验单位对材料或设备的检验结果证明监理人检验的结果是正确的，则承包人应接受监理人的指令，并承担委托检验费，否则委托检验费应由发包人承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6</w:t>
      </w:r>
      <w:r>
        <w:rPr>
          <w:rFonts w:hint="default" w:ascii="Times New Roman" w:hAnsi="Times New Roman" w:eastAsia="Times New Roman" w:cs="Times New Roman"/>
          <w:color w:val="auto"/>
          <w:sz w:val="24"/>
          <w:highlight w:val="none"/>
        </w:rPr>
        <w:t>.2</w:t>
      </w:r>
      <w:r>
        <w:rPr>
          <w:rFonts w:hint="default" w:ascii="Times New Roman" w:hAnsi="Times New Roman" w:eastAsia="黑体" w:cs="Times New Roman"/>
          <w:color w:val="auto"/>
          <w:sz w:val="24"/>
          <w:highlight w:val="none"/>
        </w:rPr>
        <w:t>发包人提供的材料和工程设备（A）</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6.2.3 项补充：</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负责接收并按规定对材料进行抽样检验和对工程设备进行检验测试，若发现材料和工程设备存在缺陷，承包人应及时通知监理人，发包人应及时改正通知中指出的缺陷。承包人负责接收后的运输和保管，因承包人的原因发生丢失、损坏或进度拖延，由承包人承担相应责任。</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135" w:name="_Toc234833147"/>
      <w:bookmarkStart w:id="2136" w:name="_Toc23747815"/>
      <w:bookmarkStart w:id="2137" w:name="_Toc501257372"/>
      <w:r>
        <w:rPr>
          <w:rFonts w:hint="default" w:ascii="Times New Roman" w:hAnsi="Times New Roman" w:cs="Times New Roman"/>
          <w:i w:val="0"/>
          <w:iCs w:val="0"/>
          <w:color w:val="auto"/>
          <w:szCs w:val="24"/>
          <w:highlight w:val="none"/>
        </w:rPr>
        <w:t>7. 施工设备和临时设施</w:t>
      </w:r>
      <w:bookmarkEnd w:id="2135"/>
      <w:bookmarkEnd w:id="2136"/>
      <w:bookmarkEnd w:id="2137"/>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7.1承包人提供的施工设备和临时设施</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7.1.2 项约定为：</w:t>
      </w:r>
    </w:p>
    <w:p>
      <w:pPr>
        <w:pStyle w:val="16"/>
        <w:pageBreakBefore w:val="0"/>
        <w:kinsoku/>
        <w:wordWrap w:val="0"/>
        <w:overflowPunct/>
        <w:topLinePunct w:val="0"/>
        <w:bidi w:val="0"/>
        <w:adjustRightInd/>
        <w:snapToGrid/>
        <w:spacing w:before="93" w:line="312" w:lineRule="auto"/>
        <w:ind w:left="424" w:right="383" w:firstLine="71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承包人应自行承担修建临时设施的费用，需要临时占地的，应由承包人按第4.1.10 项（1）目的规定办理。</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38" w:name="_Toc234833149"/>
      <w:bookmarkStart w:id="2139" w:name="_Toc501257374"/>
      <w:r>
        <w:rPr>
          <w:rFonts w:hint="default" w:ascii="Times New Roman" w:hAnsi="Times New Roman" w:cs="Times New Roman"/>
          <w:color w:val="auto"/>
          <w:sz w:val="24"/>
          <w:highlight w:val="none"/>
        </w:rPr>
        <w:t>7</w:t>
      </w:r>
      <w:r>
        <w:rPr>
          <w:rFonts w:hint="default" w:ascii="Times New Roman" w:hAnsi="Times New Roman" w:eastAsia="Times New Roman" w:cs="Times New Roman"/>
          <w:color w:val="auto"/>
          <w:sz w:val="24"/>
          <w:highlight w:val="none"/>
        </w:rPr>
        <w:t>.3</w:t>
      </w:r>
      <w:r>
        <w:rPr>
          <w:rFonts w:hint="default" w:ascii="Times New Roman" w:hAnsi="Times New Roman" w:eastAsia="黑体" w:cs="Times New Roman"/>
          <w:color w:val="auto"/>
          <w:sz w:val="24"/>
          <w:highlight w:val="none"/>
        </w:rPr>
        <w:t>要求承包人增加或更换施工设备</w:t>
      </w:r>
      <w:bookmarkEnd w:id="2138"/>
      <w:bookmarkEnd w:id="2139"/>
    </w:p>
    <w:p>
      <w:pPr>
        <w:pStyle w:val="16"/>
        <w:pageBreakBefore w:val="0"/>
        <w:kinsoku/>
        <w:wordWrap w:val="0"/>
        <w:overflowPunct/>
        <w:topLinePunct w:val="0"/>
        <w:bidi w:val="0"/>
        <w:adjustRightInd/>
        <w:snapToGrid/>
        <w:ind w:left="904"/>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Style w:val="16"/>
        <w:pageBreakBefore w:val="0"/>
        <w:kinsoku/>
        <w:wordWrap w:val="0"/>
        <w:overflowPunct/>
        <w:topLinePunct w:val="0"/>
        <w:bidi w:val="0"/>
        <w:adjustRightInd/>
        <w:snapToGrid/>
        <w:spacing w:before="91" w:line="312" w:lineRule="auto"/>
        <w:ind w:left="424" w:right="389"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承诺的施工设备必须按时到达现场，不得拖延、缺短或任意更换。尽管承包人已按承诺提供了上述设备，但若承包人使用的施工设备不能满足合同进度计划和（或）质量要求时，监理人有权要求承包人增加或更换施工设备，承包人应及时增加或更换，由此增加的费用和（或）工期延误由承包人承担。</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140" w:name="_Toc234833150"/>
      <w:bookmarkStart w:id="2141" w:name="_Toc501257375"/>
      <w:bookmarkStart w:id="2142" w:name="_Toc23747816"/>
      <w:r>
        <w:rPr>
          <w:rFonts w:hint="default" w:ascii="Times New Roman" w:hAnsi="Times New Roman" w:cs="Times New Roman"/>
          <w:i w:val="0"/>
          <w:iCs w:val="0"/>
          <w:color w:val="auto"/>
          <w:szCs w:val="24"/>
          <w:highlight w:val="none"/>
        </w:rPr>
        <w:t>8. 交通运输</w:t>
      </w:r>
      <w:bookmarkEnd w:id="2140"/>
      <w:bookmarkEnd w:id="2141"/>
      <w:bookmarkEnd w:id="2142"/>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43" w:name="_Toc501257376"/>
      <w:bookmarkStart w:id="2144" w:name="_Toc234833151"/>
      <w:r>
        <w:rPr>
          <w:rFonts w:hint="default" w:ascii="Times New Roman" w:hAnsi="Times New Roman" w:eastAsia="黑体" w:cs="Times New Roman"/>
          <w:color w:val="auto"/>
          <w:sz w:val="24"/>
          <w:highlight w:val="none"/>
        </w:rPr>
        <w:t>8.1道路通行权和场外设施</w:t>
      </w:r>
      <w:bookmarkEnd w:id="2143"/>
      <w:bookmarkEnd w:id="2144"/>
    </w:p>
    <w:p>
      <w:pPr>
        <w:pStyle w:val="16"/>
        <w:pageBreakBefore w:val="0"/>
        <w:kinsoku/>
        <w:wordWrap w:val="0"/>
        <w:overflowPunct/>
        <w:topLinePunct w:val="0"/>
        <w:bidi w:val="0"/>
        <w:adjustRightInd/>
        <w:snapToGrid/>
        <w:ind w:left="844"/>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本款约定为：</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根据合同工程的施工需要，负责办理取得出入施工场地的专用和临时道路的通行权，以及取得为工程建设所需修建场外设施的权利，并承担有关费用。需要发包人协调时，发包人应协助承包人办理相关手续。</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145" w:name="_Toc23747817"/>
      <w:bookmarkStart w:id="2146" w:name="_Toc501257377"/>
      <w:bookmarkStart w:id="2147" w:name="_Toc234833152"/>
      <w:r>
        <w:rPr>
          <w:rFonts w:hint="default" w:ascii="Times New Roman" w:hAnsi="Times New Roman" w:cs="Times New Roman"/>
          <w:i w:val="0"/>
          <w:iCs w:val="0"/>
          <w:color w:val="auto"/>
          <w:szCs w:val="24"/>
          <w:highlight w:val="none"/>
        </w:rPr>
        <w:t>9. 测量放线</w:t>
      </w:r>
      <w:bookmarkEnd w:id="2145"/>
      <w:bookmarkEnd w:id="2146"/>
      <w:bookmarkEnd w:id="2147"/>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48" w:name="_Toc234833153"/>
      <w:bookmarkStart w:id="2149" w:name="_Toc501257378"/>
      <w:r>
        <w:rPr>
          <w:rFonts w:hint="default" w:ascii="Times New Roman" w:hAnsi="Times New Roman" w:cs="Times New Roman"/>
          <w:color w:val="auto"/>
          <w:sz w:val="24"/>
          <w:highlight w:val="none"/>
        </w:rPr>
        <w:t>9</w:t>
      </w:r>
      <w:r>
        <w:rPr>
          <w:rFonts w:hint="default" w:ascii="Times New Roman" w:hAnsi="Times New Roman" w:eastAsia="Times New Roman" w:cs="Times New Roman"/>
          <w:color w:val="auto"/>
          <w:sz w:val="24"/>
          <w:highlight w:val="none"/>
        </w:rPr>
        <w:t>.4</w:t>
      </w:r>
      <w:r>
        <w:rPr>
          <w:rFonts w:hint="default" w:ascii="Times New Roman" w:hAnsi="Times New Roman" w:eastAsia="黑体" w:cs="Times New Roman"/>
          <w:color w:val="auto"/>
          <w:sz w:val="24"/>
          <w:highlight w:val="none"/>
        </w:rPr>
        <w:t>监理人使用施工控制网</w:t>
      </w:r>
      <w:bookmarkEnd w:id="2148"/>
      <w:bookmarkEnd w:id="2149"/>
    </w:p>
    <w:p>
      <w:pPr>
        <w:pStyle w:val="16"/>
        <w:pageBreakBefore w:val="0"/>
        <w:kinsoku/>
        <w:wordWrap w:val="0"/>
        <w:overflowPunct/>
        <w:topLinePunct w:val="0"/>
        <w:bidi w:val="0"/>
        <w:adjustRightInd/>
        <w:snapToGrid/>
        <w:ind w:left="815"/>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Style w:val="16"/>
        <w:pageBreakBefore w:val="0"/>
        <w:kinsoku/>
        <w:wordWrap w:val="0"/>
        <w:overflowPunct/>
        <w:topLinePunct w:val="0"/>
        <w:bidi w:val="0"/>
        <w:adjustRightInd/>
        <w:snapToGrid/>
        <w:spacing w:before="93"/>
        <w:ind w:left="815"/>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经监理人批准，其他相关承包人也可免费使用施工控制网。</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150" w:name="_Toc501257379"/>
      <w:bookmarkStart w:id="2151" w:name="_Toc234833154"/>
      <w:bookmarkStart w:id="2152" w:name="_Toc23747818"/>
      <w:r>
        <w:rPr>
          <w:rFonts w:hint="default" w:ascii="Times New Roman" w:hAnsi="Times New Roman" w:cs="Times New Roman"/>
          <w:i w:val="0"/>
          <w:iCs w:val="0"/>
          <w:color w:val="auto"/>
          <w:szCs w:val="24"/>
          <w:highlight w:val="none"/>
        </w:rPr>
        <w:t>10. 施工安全、治安保卫和环境保护</w:t>
      </w:r>
      <w:bookmarkEnd w:id="2150"/>
      <w:bookmarkEnd w:id="2151"/>
      <w:bookmarkEnd w:id="2152"/>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53" w:name="_Toc234833155"/>
      <w:bookmarkStart w:id="2154" w:name="_Toc501257380"/>
      <w:r>
        <w:rPr>
          <w:rFonts w:hint="default" w:ascii="Times New Roman" w:hAnsi="Times New Roman" w:eastAsia="黑体" w:cs="Times New Roman"/>
          <w:color w:val="auto"/>
          <w:sz w:val="24"/>
          <w:highlight w:val="none"/>
        </w:rPr>
        <w:t>10.2承包人的施工安全责任</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10.2</w:t>
      </w:r>
      <w:bookmarkEnd w:id="2153"/>
      <w:bookmarkEnd w:id="2154"/>
      <w:r>
        <w:rPr>
          <w:rFonts w:hint="default" w:ascii="Times New Roman" w:hAnsi="Times New Roman" w:cs="Times New Roman"/>
          <w:color w:val="auto"/>
          <w:sz w:val="24"/>
          <w:highlight w:val="none"/>
        </w:rPr>
        <w:t>.4 项细化为：</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履行安全职责，严格执行国家、地方政府有关施工安全管理方面的法律、法规及规章制度，同时严格执行发包人制订的本项目安全生产管理方面的规章制度、安全检查程序及施工安全管理要求，以及监理人有关安全工作的指示。</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承包人应根据本工程的实际安全施工要求，编制施工安全技术措施，并在签订合同协议书后 28 天内，报监理人和发包人批准。该施工安全技术措施包括（但不限于）施工安全保障体系，安全生产责任制，安全生产管理规章制度，安全防护施工方案，施工现场临时用电方案，施工安全评估，安全预控及保证措施方案，紧急应变措施，安全标识、警示和围护方案等。对影响安全的重要工序和下列危险性较大的工程应编制专项施工方案，并附安全验算结果，经承包人项目总工签字并报监理人和发包人批准后实施，由专职安全生产管理人员进行现场监督。</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本项目需要编制专项施工方案的工程包括但不限于以下内容：</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（1）不良地质条件下有潜在危险性的土方、石方开挖；</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（2）滑坡和高边坡处理；</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（3）桩基础、挡墙基础、深水基础及围堰工程；</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（4）桥梁工程中的梁、拱、柱等构件施工等；</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（5）隧道工程中的不良地质隧道、高瓦斯隧道等；</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（6）水上工程中的打桩船作业、施工船作业、外海孤岛作业、边通航边施工作业等；</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（7）水下工程中的水下焊接、混凝土浇筑、爆破工程等；</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（8）爆破工程；</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（9）大型临时工程中的大型支架、模板、便桥的架设与拆除；桥梁、码头的加固与拆除；</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（10）其他危险性较大的工程。</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监理人和发包人在检查中发现有安全问题或有违反安全管理规章制度的情况时，可视为承包人违约，应按第 22.1 款的规定办理。</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第10.2.7 项细化为：</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除项目专用合同条款另有约定外，安全生产费用应为投标价（不含安全生产费及建筑工程一切险及第三者责任险的保险费）中施工费的 1.5%（若发包人公布了最高投标限价时，按最高投标限价中施工费限价的 1.5%计）。安全生产费用应用于施工安全防护用具及设施的采购和更新、安全施工措施的落实、安全生产条件的改善，不得挪作他用。如承包人在此基础上增加安全生产费用以满足项目施工需要，则承包人应在本项目价格清单其他相关子目的单价或总额价中予以考虑，发包人不再另行支付。因采取合同未约定的特殊防护措施增加的费用，由监理人按第 3.5 款商定或确定。</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本款补充第10.2.10项~第10.2.13项：</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10.2.10承包人应充分关注和保障所有在现场工作的人员的安全，采取以下有效措施，使现场和本合同工程的实施保持有条不紊，以免使上述人员的安全受到威胁。</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（1）按《公路水运工程安全生产监督管理办法》规定的最低数量和资质条件配备专职安全生产管理人员；</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的垂直运输机械作业人员、施工船舶作业人员、爆破作业人员、安装拆卸工、起重信号工、电工、焊工等国家规定的特种作业人员，必须按照国家规定经过专门的安全作业培训，并取得特种作业操作资格证书后，方可上岗作业；</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（3）所有施工机具设备和高空作业设备均应定期检查，并有安全员的签字记录；</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（4）根据本合同各单位工程的施工特点，严格执行《公路水运工程安全生产监督管理办法》《公路工程施工安全技术规范》等有关规定。</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10.2.11为了保护本合同工程免遭损坏，或为了现场附近和过往群众的安全与方便，在确有必要的时候和地方，或当监理人或有关主管部门要求时，承包人应自费提供照明、警卫、护栅、警告标志等安全防护设施。</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10.2.12在通航水域施工时，承包人应与当地主管部门取得联系，设置必要的导航标志，及时发布航行通告，确保施工水域安全。</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10.2.13在整个施工过程中对承包人采取的施工安全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55" w:name="_Toc234833156"/>
      <w:bookmarkStart w:id="2156" w:name="_Toc501257381"/>
      <w:r>
        <w:rPr>
          <w:rFonts w:hint="default" w:ascii="Times New Roman" w:hAnsi="Times New Roman" w:eastAsia="黑体" w:cs="Times New Roman"/>
          <w:color w:val="auto"/>
          <w:sz w:val="24"/>
          <w:highlight w:val="none"/>
        </w:rPr>
        <w:t xml:space="preserve"> 10.4 环境保护</w:t>
      </w:r>
      <w:bookmarkEnd w:id="2155"/>
      <w:bookmarkEnd w:id="2156"/>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本款补充第10.4.4 项~第 10.4.8 项：</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10.4.4 承包人应切实执行技术规范中有关环境保护方面的条款和规定。</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对于来自施工机械和运输车辆的施工噪声，为保护施工人员的健康，应遵守《中华人民共和国环境噪声污染防治法》并依据《工业企业噪声卫生标准》合理安排工作人员轮流操作筑路机械，减少接触高噪声的时间，或间歇安排高噪声的工作。对距噪声源较近的施工人员，除采取使用防护耳塞或头盔等有效措施外，还应当缩短其劳动时间。同时，要注意对机械的经常性保养，尽量使其噪声降低到最低水平。为保护施工现场附近居民的夜间休息，对居民区 150m 以内的施工现场，施工时间应加以控制。</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（2）对于公路施工中粉尘污染的主要污染源――灰土拌和、施工车辆和筑路机械运行及运输产生的扬尘，应采取有效措施减轻其对施工现场的大气污染，保护人民健康，如：</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 拌和设备应有较好的密封，或有防尘设备。</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 施工通道、沥青混凝土拌和站及灰土拌和站应经常进行洒水降尘。</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 路面施工应注意保持水分，以免扬尘。</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 隧道出渣和桥梁钻孔灌注桩施工时排出的泥浆要进行妥善处理，严禁向河流或农田排放。</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采取可靠措施保证原有交通的正常通行，维持沿线村镇的居民饮水、农田灌溉、生产生活用电及通信等管线的正常使用。承包人在实施和完成本合同工程及缺陷修复工程中的一切施工作业及材料、设备运输过程中，应尽量采取措施减少对现有交通的干扰，承包人借用、占用或进出当地道路或其他交通设施所引起的一切费用由承包人自行负责。承包人应注意保护图纸明示和没有明示的管线(管道、光缆、电线等)，承包人因损坏管线设施所引起的一切费用由承包人自行负责。</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10.4.5在整个施工过程中对承包人采取的环境保护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10.4.6在施工期间，承包人应随时保持现场整洁，施工设备和材料、工程设备应整齐妥善存放和储存，废料与垃圾及不再需要的临时设施应及时从现场清除、拆除并运走。</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10.4.7在施工期间，承包人应严格遵守《关于在公路建设中实行最严格的耕地保护制度的若干意见》的相关规定，规范用地、科学用地、合理用地和节约用地。承包人应合理利用所占耕地地表的耕作层，用于重新造地；合理设置取土坑和弃土场，取土坑和弃土场的施工防护要符合要求，防止水土流失。承包人应严格控制临时占地数量，施工便道、各种料场、预制场要根据工程进度统筹考虑，尽可能设置在公路用地范围内或利用荒坡、废弃地解决，不得占用农田。施工过程中要采取有效措施防止污染农田，项目完工后承包人应将临时占地自费恢复到临时占地使用前的状况或临时占地复垦取得相关部门认可。</w:t>
      </w:r>
    </w:p>
    <w:p>
      <w:pPr>
        <w:pStyle w:val="16"/>
        <w:pageBreakBefore w:val="0"/>
        <w:kinsoku/>
        <w:wordWrap w:val="0"/>
        <w:overflowPunct/>
        <w:topLinePunct w:val="0"/>
        <w:bidi w:val="0"/>
        <w:adjustRightInd/>
        <w:snapToGrid/>
        <w:spacing w:before="91" w:line="312" w:lineRule="auto"/>
        <w:ind w:left="424" w:right="391"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10.4.8承包人应严格按照国家有关法规要求，做好施工过程中的生态保护和水土保持工作。施工中要尽可能减少对原地面的扰动，减少对地面草木的破坏，需要爆破作业的，应按规定进行控爆设计。雨季填筑路基应随挖、随运、随填、随压，要完善施工中的临时排水系统，加强施工便道的管理。取（弃）土场必须先挡后弃，严禁在指定的取（弃）土场以外的地方乱挖乱弃。</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157" w:name="_Toc23747819"/>
      <w:bookmarkStart w:id="2158" w:name="_Toc501257387"/>
      <w:bookmarkStart w:id="2159" w:name="_Toc234833162"/>
      <w:r>
        <w:rPr>
          <w:rFonts w:hint="default" w:ascii="Times New Roman" w:hAnsi="Times New Roman" w:cs="Times New Roman"/>
          <w:i w:val="0"/>
          <w:iCs w:val="0"/>
          <w:color w:val="auto"/>
          <w:szCs w:val="24"/>
          <w:highlight w:val="none"/>
        </w:rPr>
        <w:t>11. 开始工作和交工</w:t>
      </w:r>
      <w:bookmarkEnd w:id="2157"/>
      <w:bookmarkEnd w:id="2158"/>
      <w:bookmarkEnd w:id="2159"/>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60" w:name="_Toc234833164"/>
      <w:bookmarkStart w:id="2161" w:name="_Toc501257389"/>
      <w:r>
        <w:rPr>
          <w:rFonts w:hint="default" w:ascii="Times New Roman" w:hAnsi="Times New Roman" w:eastAsia="黑体" w:cs="Times New Roman"/>
          <w:color w:val="auto"/>
          <w:sz w:val="24"/>
          <w:highlight w:val="none"/>
        </w:rPr>
        <w:t>11.3 发包人的工期延误</w:t>
      </w:r>
      <w:bookmarkEnd w:id="2160"/>
      <w:bookmarkEnd w:id="2161"/>
    </w:p>
    <w:p>
      <w:pPr>
        <w:pStyle w:val="16"/>
        <w:pageBreakBefore w:val="0"/>
        <w:kinsoku/>
        <w:wordWrap w:val="0"/>
        <w:overflowPunct/>
        <w:topLinePunct w:val="0"/>
        <w:bidi w:val="0"/>
        <w:adjustRightInd/>
        <w:snapToGrid/>
        <w:spacing w:before="1"/>
        <w:ind w:left="904"/>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Style w:val="16"/>
        <w:pageBreakBefore w:val="0"/>
        <w:kinsoku/>
        <w:wordWrap w:val="0"/>
        <w:overflowPunct/>
        <w:topLinePunct w:val="0"/>
        <w:bidi w:val="0"/>
        <w:adjustRightInd/>
        <w:snapToGrid/>
        <w:spacing w:before="93"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即使由于上述原因造成工期延误，如果受影响的工程并非处在工程施工进度网络计划的关键线路上，则承包人无权要求延长总工期。</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62" w:name="_Toc501257390"/>
      <w:bookmarkStart w:id="2163" w:name="_Toc234833165"/>
      <w:r>
        <w:rPr>
          <w:rFonts w:hint="default" w:ascii="Times New Roman" w:hAnsi="Times New Roman" w:eastAsia="黑体" w:cs="Times New Roman"/>
          <w:color w:val="auto"/>
          <w:sz w:val="24"/>
          <w:highlight w:val="none"/>
        </w:rPr>
        <w:t>11.4异常恶劣的气候条件</w:t>
      </w:r>
      <w:bookmarkEnd w:id="2162"/>
      <w:bookmarkEnd w:id="2163"/>
    </w:p>
    <w:p>
      <w:pPr>
        <w:pStyle w:val="16"/>
        <w:pageBreakBefore w:val="0"/>
        <w:kinsoku/>
        <w:wordWrap w:val="0"/>
        <w:overflowPunct/>
        <w:topLinePunct w:val="0"/>
        <w:bidi w:val="0"/>
        <w:adjustRightInd/>
        <w:snapToGrid/>
        <w:ind w:left="904"/>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Style w:val="16"/>
        <w:pageBreakBefore w:val="0"/>
        <w:kinsoku/>
        <w:wordWrap w:val="0"/>
        <w:overflowPunct/>
        <w:topLinePunct w:val="0"/>
        <w:bidi w:val="0"/>
        <w:adjustRightInd/>
        <w:snapToGrid/>
        <w:spacing w:before="94" w:line="312" w:lineRule="auto"/>
        <w:ind w:left="424" w:right="384"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pacing w:val="-5"/>
          <w:sz w:val="24"/>
          <w:highlight w:val="none"/>
        </w:rPr>
        <w:t>异常气候是指项目所在地</w:t>
      </w:r>
      <w:r>
        <w:rPr>
          <w:rFonts w:hint="default" w:ascii="Times New Roman" w:hAnsi="Times New Roman" w:eastAsia="Times New Roman" w:cs="Times New Roman"/>
          <w:color w:val="auto"/>
          <w:sz w:val="24"/>
          <w:highlight w:val="none"/>
        </w:rPr>
        <w:t xml:space="preserve">30 </w:t>
      </w:r>
      <w:r>
        <w:rPr>
          <w:rFonts w:hint="default" w:ascii="Times New Roman" w:hAnsi="Times New Roman" w:cs="Times New Roman"/>
          <w:color w:val="auto"/>
          <w:spacing w:val="-3"/>
          <w:sz w:val="24"/>
          <w:highlight w:val="none"/>
        </w:rPr>
        <w:t>年以上一遇的罕见气候现象</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"http://baike.baidu.com/view/8193.htm" \h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 w:val="24"/>
          <w:highlight w:val="none"/>
        </w:rPr>
        <w:t>（包括温度</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pacing w:val="-12"/>
          <w:sz w:val="24"/>
          <w:highlight w:val="none"/>
        </w:rPr>
        <w:t>、降水、降雪、风等</w:t>
      </w:r>
      <w:r>
        <w:rPr>
          <w:rFonts w:hint="default" w:ascii="Times New Roman" w:hAnsi="Times New Roman" w:cs="Times New Roman"/>
          <w:color w:val="auto"/>
          <w:spacing w:val="-120"/>
          <w:sz w:val="24"/>
          <w:highlight w:val="none"/>
        </w:rPr>
        <w:t>）</w:t>
      </w:r>
      <w:r>
        <w:rPr>
          <w:rFonts w:hint="default" w:ascii="Times New Roman" w:hAnsi="Times New Roman" w:cs="Times New Roman"/>
          <w:color w:val="auto"/>
          <w:sz w:val="24"/>
          <w:highlight w:val="none"/>
        </w:rPr>
        <w:t>）。异常恶劣的气候条件在项目专用合同条款中作具体约定。</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64" w:name="_Toc234833166"/>
      <w:bookmarkStart w:id="2165" w:name="_Toc501257391"/>
      <w:r>
        <w:rPr>
          <w:rFonts w:hint="default" w:ascii="Times New Roman" w:hAnsi="Times New Roman" w:eastAsia="黑体" w:cs="Times New Roman"/>
          <w:color w:val="auto"/>
          <w:sz w:val="24"/>
          <w:highlight w:val="none"/>
        </w:rPr>
        <w:t>11.5承包人的工期延误</w:t>
      </w:r>
      <w:bookmarkEnd w:id="2164"/>
      <w:bookmarkEnd w:id="2165"/>
    </w:p>
    <w:p>
      <w:pPr>
        <w:pStyle w:val="16"/>
        <w:pageBreakBefore w:val="0"/>
        <w:kinsoku/>
        <w:wordWrap w:val="0"/>
        <w:overflowPunct/>
        <w:topLinePunct w:val="0"/>
        <w:bidi w:val="0"/>
        <w:adjustRightInd/>
        <w:snapToGrid/>
        <w:ind w:left="904"/>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Style w:val="16"/>
        <w:pageBreakBefore w:val="0"/>
        <w:kinsoku/>
        <w:wordWrap w:val="0"/>
        <w:overflowPunct/>
        <w:topLinePunct w:val="0"/>
        <w:bidi w:val="0"/>
        <w:adjustRightInd/>
        <w:snapToGrid/>
        <w:spacing w:before="91" w:line="312" w:lineRule="auto"/>
        <w:ind w:left="424" w:right="383"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pacing w:val="-15"/>
          <w:sz w:val="24"/>
          <w:highlight w:val="none"/>
        </w:rPr>
        <w:t>（</w:t>
      </w:r>
      <w:r>
        <w:rPr>
          <w:rFonts w:hint="default" w:ascii="Times New Roman" w:hAnsi="Times New Roman" w:eastAsia="Times New Roman" w:cs="Times New Roman"/>
          <w:color w:val="auto"/>
          <w:spacing w:val="-15"/>
          <w:sz w:val="24"/>
          <w:highlight w:val="none"/>
        </w:rPr>
        <w:t>1</w:t>
      </w:r>
      <w:r>
        <w:rPr>
          <w:rFonts w:hint="default" w:ascii="Times New Roman" w:hAnsi="Times New Roman" w:cs="Times New Roman"/>
          <w:color w:val="auto"/>
          <w:spacing w:val="-15"/>
          <w:sz w:val="24"/>
          <w:highlight w:val="none"/>
        </w:rPr>
        <w:t>）</w:t>
      </w:r>
      <w:r>
        <w:rPr>
          <w:rFonts w:hint="default" w:ascii="Times New Roman" w:hAnsi="Times New Roman" w:cs="Times New Roman"/>
          <w:color w:val="auto"/>
          <w:spacing w:val="-3"/>
          <w:sz w:val="24"/>
          <w:highlight w:val="none"/>
        </w:rPr>
        <w:t>承包人应严格执行监理人批准的合同进度计划，对工作量计划和形象进度</w:t>
      </w:r>
      <w:r>
        <w:rPr>
          <w:rFonts w:hint="default" w:ascii="Times New Roman" w:hAnsi="Times New Roman" w:cs="Times New Roman"/>
          <w:color w:val="auto"/>
          <w:spacing w:val="-10"/>
          <w:sz w:val="24"/>
          <w:highlight w:val="none"/>
        </w:rPr>
        <w:t>计划分别控制。除第</w:t>
      </w:r>
      <w:r>
        <w:rPr>
          <w:rFonts w:hint="default" w:ascii="Times New Roman" w:hAnsi="Times New Roman" w:eastAsia="Times New Roman" w:cs="Times New Roman"/>
          <w:color w:val="auto"/>
          <w:spacing w:val="-3"/>
          <w:sz w:val="24"/>
          <w:highlight w:val="none"/>
        </w:rPr>
        <w:t xml:space="preserve">11.3 </w:t>
      </w:r>
      <w:r>
        <w:rPr>
          <w:rFonts w:hint="default" w:ascii="Times New Roman" w:hAnsi="Times New Roman" w:cs="Times New Roman"/>
          <w:color w:val="auto"/>
          <w:spacing w:val="-2"/>
          <w:sz w:val="24"/>
          <w:highlight w:val="none"/>
        </w:rPr>
        <w:t>款规定外，承包人的实际工程进度曲线应在合同进度管理曲线规定的安全区域之内。若承包人的实际工程进度曲线处在合同进度管理曲线规定的安全区域的下限之外时，则监理人有权认为本合同工程的进度过慢，并通知承包人应采取必要措施，以便加快工程进度，确保工程能在预定的工期内交工。承包人应采取措施加快进度，并承担加快进度所增加的费用。</w:t>
      </w:r>
    </w:p>
    <w:p>
      <w:pPr>
        <w:pStyle w:val="16"/>
        <w:pageBreakBefore w:val="0"/>
        <w:kinsoku/>
        <w:wordWrap w:val="0"/>
        <w:overflowPunct/>
        <w:topLinePunct w:val="0"/>
        <w:bidi w:val="0"/>
        <w:adjustRightInd/>
        <w:snapToGrid/>
        <w:spacing w:before="2" w:line="312" w:lineRule="auto"/>
        <w:ind w:left="424" w:right="264"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（2）如果承包人在接到监理人通知后的14 天内，未能采取加快工程进度的措施，致使实际工程进度进一步滞后，或承包人虽采取了一些措施，仍无法按预计工期交工时，监理人应立即通知发包人。发包人在向承包人发出书面警告通知14 天后，发包人可按第22.1 款终止对承包人的雇用，也可将本合同工程中的一部分工作交由其他承包人或其他分包人完成。在不解除本合同规定的承包人责任和义务的同时，承包人应承担因此所增加的一切费用。</w:t>
      </w:r>
    </w:p>
    <w:p>
      <w:pPr>
        <w:pStyle w:val="16"/>
        <w:pageBreakBefore w:val="0"/>
        <w:kinsoku/>
        <w:wordWrap w:val="0"/>
        <w:overflowPunct/>
        <w:topLinePunct w:val="0"/>
        <w:bidi w:val="0"/>
        <w:adjustRightInd/>
        <w:snapToGrid/>
        <w:spacing w:before="1" w:line="312" w:lineRule="auto"/>
        <w:ind w:left="424" w:right="384"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由于承包人原因造成工期延误，承包人应支付逾期交工违约金。逾期交工违约金的计算方法在项目专用合同条款数据表中约定，时间自预定的交工日期起到交工验收证书中写明的实际交工日期止（扣除已批准的延长工期），按天计算。逾期交工违约金累计金额最高不超过项目专用合同条款数据表中写明的限额。发包人可以从应付或到期应付给承包人的任何款项中或采用其他方法扣除此违约金。</w:t>
      </w:r>
    </w:p>
    <w:p>
      <w:pPr>
        <w:pStyle w:val="16"/>
        <w:pageBreakBefore w:val="0"/>
        <w:kinsoku/>
        <w:wordWrap w:val="0"/>
        <w:overflowPunct/>
        <w:topLinePunct w:val="0"/>
        <w:bidi w:val="0"/>
        <w:adjustRightInd/>
        <w:snapToGrid/>
        <w:spacing w:before="3"/>
        <w:ind w:left="904"/>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eastAsia="Times New Roman" w:cs="Times New Roman"/>
          <w:color w:val="auto"/>
          <w:sz w:val="24"/>
          <w:highlight w:val="none"/>
        </w:rPr>
        <w:t>4</w:t>
      </w:r>
      <w:r>
        <w:rPr>
          <w:rFonts w:hint="default" w:ascii="Times New Roman" w:hAnsi="Times New Roman" w:cs="Times New Roman"/>
          <w:color w:val="auto"/>
          <w:sz w:val="24"/>
          <w:highlight w:val="none"/>
        </w:rPr>
        <w:t>）承包人支付逾期交工违约金，不免除承包人完成工程及修补缺陷的义务。</w:t>
      </w:r>
    </w:p>
    <w:p>
      <w:pPr>
        <w:pStyle w:val="16"/>
        <w:pageBreakBefore w:val="0"/>
        <w:kinsoku/>
        <w:wordWrap w:val="0"/>
        <w:overflowPunct/>
        <w:topLinePunct w:val="0"/>
        <w:bidi w:val="0"/>
        <w:adjustRightInd/>
        <w:snapToGrid/>
        <w:spacing w:before="91" w:line="312" w:lineRule="auto"/>
        <w:ind w:left="424" w:right="384"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pacing w:val="-15"/>
          <w:sz w:val="24"/>
          <w:highlight w:val="none"/>
        </w:rPr>
        <w:t>（</w:t>
      </w:r>
      <w:r>
        <w:rPr>
          <w:rFonts w:hint="default" w:ascii="Times New Roman" w:hAnsi="Times New Roman" w:eastAsia="Times New Roman" w:cs="Times New Roman"/>
          <w:color w:val="auto"/>
          <w:spacing w:val="-15"/>
          <w:sz w:val="24"/>
          <w:highlight w:val="none"/>
        </w:rPr>
        <w:t>5</w:t>
      </w:r>
      <w:r>
        <w:rPr>
          <w:rFonts w:hint="default" w:ascii="Times New Roman" w:hAnsi="Times New Roman" w:cs="Times New Roman"/>
          <w:color w:val="auto"/>
          <w:spacing w:val="-15"/>
          <w:sz w:val="24"/>
          <w:highlight w:val="none"/>
        </w:rPr>
        <w:t>）</w:t>
      </w:r>
      <w:r>
        <w:rPr>
          <w:rFonts w:hint="default" w:ascii="Times New Roman" w:hAnsi="Times New Roman" w:cs="Times New Roman"/>
          <w:color w:val="auto"/>
          <w:spacing w:val="-4"/>
          <w:sz w:val="24"/>
          <w:highlight w:val="none"/>
        </w:rPr>
        <w:t>如果在合同工程完工之前，已对合同工程内按时完工的单位工程签发了交工验收证书，则合同工程的逾期交工违约金，应按已签发交工验收证书的单位工程的价值占合同工程价值的比例予以减少，但本规定不应影响逾期交工违约金的规定</w:t>
      </w:r>
      <w:r>
        <w:rPr>
          <w:rFonts w:hint="default" w:ascii="Times New Roman" w:hAnsi="Times New Roman" w:cs="Times New Roman"/>
          <w:color w:val="auto"/>
          <w:sz w:val="24"/>
          <w:highlight w:val="none"/>
        </w:rPr>
        <w:t>限额。</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66" w:name="_Toc501257392"/>
      <w:bookmarkStart w:id="2167" w:name="_Toc234833167"/>
      <w:r>
        <w:rPr>
          <w:rFonts w:hint="default" w:ascii="Times New Roman" w:hAnsi="Times New Roman" w:eastAsia="黑体" w:cs="Times New Roman"/>
          <w:color w:val="auto"/>
          <w:sz w:val="24"/>
          <w:highlight w:val="none"/>
        </w:rPr>
        <w:t>11.6 工期提前</w:t>
      </w:r>
      <w:bookmarkEnd w:id="2166"/>
      <w:bookmarkEnd w:id="2167"/>
    </w:p>
    <w:p>
      <w:pPr>
        <w:pStyle w:val="16"/>
        <w:pageBreakBefore w:val="0"/>
        <w:kinsoku/>
        <w:wordWrap w:val="0"/>
        <w:overflowPunct/>
        <w:topLinePunct w:val="0"/>
        <w:bidi w:val="0"/>
        <w:adjustRightInd/>
        <w:snapToGrid/>
        <w:ind w:left="904"/>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Style w:val="16"/>
        <w:pageBreakBefore w:val="0"/>
        <w:kinsoku/>
        <w:wordWrap w:val="0"/>
        <w:overflowPunct/>
        <w:topLinePunct w:val="0"/>
        <w:bidi w:val="0"/>
        <w:adjustRightInd/>
        <w:snapToGrid/>
        <w:spacing w:before="91" w:line="312" w:lineRule="auto"/>
        <w:ind w:left="424" w:right="184"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发包人不得随意要求承包人提前交工，承包人也不得随意提出提前交工的建议。如遇特殊情况，确需将工期提前的，发包人和承包人必须采取有效措施，确保工程质量。</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果承包人提前交工，发包人支付奖金的计算方法在项目专用合同条款数据表中约定，时间自交工验收证书中写明的实际交工日期起至预定的交工日期止，按天计算。但奖金最高限额不超过项目专用合同条款数据表中写明的限额。</w:t>
      </w:r>
    </w:p>
    <w:p>
      <w:pPr>
        <w:pStyle w:val="16"/>
        <w:pageBreakBefore w:val="0"/>
        <w:kinsoku/>
        <w:wordWrap w:val="0"/>
        <w:overflowPunct/>
        <w:topLinePunct w:val="0"/>
        <w:bidi w:val="0"/>
        <w:adjustRightInd/>
        <w:snapToGrid/>
        <w:spacing w:before="1"/>
        <w:ind w:left="424"/>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本条补充第</w:t>
      </w:r>
      <w:r>
        <w:rPr>
          <w:rFonts w:hint="default" w:ascii="Times New Roman" w:hAnsi="Times New Roman" w:eastAsia="Times New Roman" w:cs="Times New Roman"/>
          <w:color w:val="auto"/>
          <w:sz w:val="24"/>
          <w:highlight w:val="none"/>
        </w:rPr>
        <w:t>11.</w:t>
      </w:r>
      <w:r>
        <w:rPr>
          <w:rFonts w:hint="default" w:ascii="Times New Roman" w:hAnsi="Times New Roman" w:cs="Times New Roman"/>
          <w:color w:val="auto"/>
          <w:sz w:val="24"/>
          <w:highlight w:val="none"/>
        </w:rPr>
        <w:t>8款：</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68" w:name="_Toc234833168"/>
      <w:bookmarkStart w:id="2169" w:name="_Toc501257393"/>
      <w:r>
        <w:rPr>
          <w:rFonts w:hint="default" w:ascii="Times New Roman" w:hAnsi="Times New Roman" w:eastAsia="黑体" w:cs="Times New Roman"/>
          <w:color w:val="auto"/>
          <w:sz w:val="24"/>
          <w:highlight w:val="none"/>
        </w:rPr>
        <w:t>11.8 工作时间的限制</w:t>
      </w:r>
      <w:bookmarkEnd w:id="2168"/>
      <w:bookmarkEnd w:id="2169"/>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承包人在夜间或国家规定的节假日进行永久工程的施工，应向监理人报告，以便监理人履行监理职责和义务。</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但是，为了抢救生命或保护财产，或为了工程的安全、质量而不可避免地短暂作业，则不必事先向监理人报告。但承包人应在事后立即向监理人报告。</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本款规定不适用于习惯上或施工本身要求实行连续生产的作业。</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170" w:name="_Toc234833169"/>
      <w:bookmarkStart w:id="2171" w:name="_Toc501257394"/>
      <w:bookmarkStart w:id="2172" w:name="_Toc23747820"/>
      <w:r>
        <w:rPr>
          <w:rFonts w:hint="default" w:ascii="Times New Roman" w:hAnsi="Times New Roman" w:cs="Times New Roman"/>
          <w:i w:val="0"/>
          <w:iCs w:val="0"/>
          <w:color w:val="auto"/>
          <w:szCs w:val="24"/>
          <w:highlight w:val="none"/>
        </w:rPr>
        <w:t>12. 暂停施工</w:t>
      </w:r>
      <w:bookmarkEnd w:id="2170"/>
      <w:bookmarkEnd w:id="2171"/>
      <w:bookmarkEnd w:id="2172"/>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bookmarkStart w:id="2173" w:name="_Toc501257395"/>
      <w:bookmarkStart w:id="2174" w:name="_Toc234833170"/>
      <w:r>
        <w:rPr>
          <w:rFonts w:hint="default" w:ascii="Times New Roman" w:hAnsi="Times New Roman" w:cs="Times New Roman"/>
          <w:color w:val="auto"/>
          <w:sz w:val="24"/>
          <w:highlight w:val="none"/>
        </w:rPr>
        <w:t>12.1</w:t>
      </w:r>
      <w:bookmarkEnd w:id="2173"/>
      <w:bookmarkEnd w:id="2174"/>
      <w:r>
        <w:rPr>
          <w:rFonts w:hint="default" w:ascii="Times New Roman" w:hAnsi="Times New Roman" w:cs="Times New Roman"/>
          <w:color w:val="auto"/>
          <w:sz w:val="24"/>
          <w:highlight w:val="none"/>
        </w:rPr>
        <w:t>.2项第（3）目细化为：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（3）现场气候条件导致的必要停工（第 11.4 款约定的异常恶劣的气候条件除外）；</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（4）由于承包人原因为工程合理施工和安全保障所必需的暂停施工；</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（5）施工图设计错误返工或施工图设计延误；</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（6）承包人其他原因引起的暂停施工；</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（7）项目专用合同条款可能约定的由承包人承担的其他暂停施工。</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175" w:name="_Toc501257396"/>
      <w:bookmarkStart w:id="2176" w:name="_Toc234833171"/>
      <w:bookmarkStart w:id="2177" w:name="_Toc23747821"/>
      <w:r>
        <w:rPr>
          <w:rFonts w:hint="default" w:ascii="Times New Roman" w:hAnsi="Times New Roman" w:cs="Times New Roman"/>
          <w:i w:val="0"/>
          <w:iCs w:val="0"/>
          <w:color w:val="auto"/>
          <w:szCs w:val="24"/>
          <w:highlight w:val="none"/>
        </w:rPr>
        <w:t>13. 工程质量</w:t>
      </w:r>
      <w:bookmarkEnd w:id="2175"/>
      <w:bookmarkEnd w:id="2176"/>
      <w:bookmarkEnd w:id="2177"/>
    </w:p>
    <w:p>
      <w:pPr>
        <w:pageBreakBefore w:val="0"/>
        <w:tabs>
          <w:tab w:val="left" w:pos="965"/>
        </w:tabs>
        <w:kinsoku/>
        <w:wordWrap w:val="0"/>
        <w:overflowPunct/>
        <w:topLinePunct w:val="0"/>
        <w:autoSpaceDE w:val="0"/>
        <w:autoSpaceDN w:val="0"/>
        <w:bidi w:val="0"/>
        <w:adjustRightInd/>
        <w:snapToGrid/>
        <w:textAlignment w:val="auto"/>
        <w:outlineLvl w:val="9"/>
        <w:rPr>
          <w:rFonts w:hint="default" w:ascii="Times New Roman" w:hAnsi="Times New Roman" w:eastAsia="黑体" w:cs="Times New Roman"/>
          <w:color w:val="auto"/>
          <w:sz w:val="24"/>
          <w:highlight w:val="none"/>
        </w:rPr>
      </w:pPr>
      <w:bookmarkStart w:id="2178" w:name="_Toc234833172"/>
      <w:bookmarkStart w:id="2179" w:name="_Toc501257397"/>
      <w:r>
        <w:rPr>
          <w:rFonts w:hint="default" w:ascii="Times New Roman" w:hAnsi="Times New Roman" w:eastAsia="黑体" w:cs="Times New Roman"/>
          <w:color w:val="auto"/>
          <w:sz w:val="24"/>
          <w:highlight w:val="none"/>
        </w:rPr>
        <w:t>13.1.1工程质量要求</w:t>
      </w:r>
      <w:bookmarkEnd w:id="2178"/>
      <w:bookmarkEnd w:id="2179"/>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13.1.1 项约定为：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工程质量验收按技术规范及《公路工程质量检验评定标准》执行。</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 13.1.4 项、第 13.1.5 项：</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13.1.4发包人和承包人应严格遵守《关于严格落实公路工程质量责任制的若干意见》的相关规定，认真执行工程质量责任登记制度并按要求填写工程质量责任登记表。</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13.1.5本项目严格执行质量责任追究制度。质量事故处理实行</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四不放过</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原则：事故原因调查不清不放过；事故责任者没有受到教育不放过；没有防范措施不放过；相关责任人没受到处理不放过。</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80" w:name="_Toc234833173"/>
      <w:bookmarkStart w:id="2181" w:name="_Toc501257398"/>
      <w:r>
        <w:rPr>
          <w:rFonts w:hint="default" w:ascii="Times New Roman" w:hAnsi="Times New Roman" w:eastAsia="黑体" w:cs="Times New Roman"/>
          <w:color w:val="auto"/>
          <w:sz w:val="24"/>
          <w:highlight w:val="none"/>
        </w:rPr>
        <w:t>13.2</w:t>
      </w:r>
      <w:bookmarkEnd w:id="2180"/>
      <w:bookmarkEnd w:id="2181"/>
      <w:r>
        <w:rPr>
          <w:rFonts w:hint="default" w:ascii="Times New Roman" w:hAnsi="Times New Roman" w:eastAsia="黑体" w:cs="Times New Roman"/>
          <w:color w:val="auto"/>
          <w:sz w:val="24"/>
          <w:highlight w:val="none"/>
        </w:rPr>
        <w:t>承包人的质量检查</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13.2.1承包人应在施工现场设置专门的质量检查机构，配备专职质量检查人员，建立完善的质量检查制度。承包人应在开工至少28 天之前，提交工程质量保证措施文件，包括质量检查机构的组织和职责、质检人员的组成、质量检查程序和实施细则等，报送监理人审批。</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13.2.2承包人应加强对施工人员的质量教育和技术培训，定期考核施工人员的劳动技能，严格执行规范和操作规程。</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13.2.3公路工程施行质量责任终身制。承包人应当书面明确相应的项目负责人和质量负责人。承包人的相关人员按照国家法律法规和有关规定在工程合理使用年限内承担相应的质量责任。</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13.2.4承包人应当建立健全工程质量保证体系，制定质量管理制度，强化工程质量管理措施，完善工程质量目标保障机制；严格遵守国家有关法律、法规和规章，严格执行公路工程强制性技术标准、各类技术规范及规程，全面履行工程合同义务。</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13.2.5承包人对工程施工质量负责，应当按合同约定设立现场质量管理机构、配备工程技术人员和质量管理人员，落实工程施工质量责任制。</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13.2.6承包人应当严格按照工程设计图纸、施工技术标准和合同约定施工，对原材料、混合料、构配件、工程实体、机电设备等进行检验；按规定施行班组自检、工序交接检、专职质检员检验的质量控制程序；对分项工程、分部工程和单位工程进行质量自评。检验或者自评不合格的，不得进入下道工序或者投入使用。</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13.2.7承包人应当加强施工过程质量控制，并形成完整、可追溯的施工质量管理资料，主体工程的隐蔽部位施工还应当保留影像资料。对施工中出现的质量问题或者验收不合格的工程，应当负责返工处理；对在保修范围和保修期限内发生质量问题的工程，应当履行保修义务。</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13.2.8承包人应当按照合同约定设立工地临时试验室，配齐检测和试验仪器、仪表，及时校正确保其精度；严格按照工程技术标准、检测规范和规程，在核定的试验检测参数范围内开展试验检测活动，并确保规范规定的检验、抽检频率。承包人应当对其设立的工地临时试验室所出具的试验检测数据和报告的真实性、客观性、准确性负责。</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13.2.9承包人应当依法规范分包行为，并对承担的工程质量负总责，分包单位对分包合同范围内的工程质量负责。</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13.2.10承包人驻工程现场机构应在现场驻地和重要的分部、分项工程施工现场设置明显的工程质量责任登记表公示牌。</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82" w:name="_Toc501257399"/>
      <w:bookmarkStart w:id="2183" w:name="_Toc234833174"/>
      <w:r>
        <w:rPr>
          <w:rFonts w:hint="default" w:ascii="Times New Roman" w:hAnsi="Times New Roman" w:eastAsia="黑体" w:cs="Times New Roman"/>
          <w:color w:val="auto"/>
          <w:sz w:val="24"/>
          <w:highlight w:val="none"/>
        </w:rPr>
        <w:t>13.3 监理人的质量检查</w:t>
      </w:r>
      <w:bookmarkEnd w:id="2182"/>
      <w:bookmarkEnd w:id="2183"/>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监理人及其委派的检验人员，应能进入工程现场，以及材料或工程设备的制造、加工或制配的车间和场所，包括不属于承包人的车间或场所进行检查，承包人应为此提供便利和协助。</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监理人可以将材料或工程设备的检查和检验委托给一家独立的有质量检验认证资格的检验单位。该独立检验单位的检验结果应视为监理人完成的。监理人应将这种委托的通知书不少于 7 天前交给承包人。</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84" w:name="_Toc501257400"/>
      <w:bookmarkStart w:id="2185" w:name="_Toc234833175"/>
      <w:r>
        <w:rPr>
          <w:rFonts w:hint="default" w:ascii="Times New Roman" w:hAnsi="Times New Roman" w:eastAsia="黑体" w:cs="Times New Roman"/>
          <w:color w:val="auto"/>
          <w:sz w:val="24"/>
          <w:highlight w:val="none"/>
        </w:rPr>
        <w:t>13.4 工程隐蔽部位覆盖前的检查</w:t>
      </w:r>
      <w:bookmarkEnd w:id="2184"/>
      <w:bookmarkEnd w:id="2185"/>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13.4.1 项补充：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当监理人有指令时，承包人应对重要隐蔽工程进行拍摄或照相并应保证监理人有充分的机会对将要覆盖或掩蔽的工程进行检查和量测，特别是在基础以上的任一部分工程修筑之前，对该基础进行检查。</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86" w:name="_Toc501257401"/>
      <w:bookmarkStart w:id="2187" w:name="_Toc234833176"/>
      <w:r>
        <w:rPr>
          <w:rFonts w:hint="default" w:ascii="Times New Roman" w:hAnsi="Times New Roman" w:eastAsia="黑体" w:cs="Times New Roman"/>
          <w:color w:val="auto"/>
          <w:sz w:val="24"/>
          <w:highlight w:val="none"/>
        </w:rPr>
        <w:t>13.5 清除不合格工程</w:t>
      </w:r>
      <w:bookmarkEnd w:id="2186"/>
      <w:bookmarkEnd w:id="2187"/>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13.5.1 项细化为：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使用不合格材料、工程设备，或采用不适当的施工工艺，或施工不当，造成工程不合格的，监理人可以随时发出指示，要求承包人立即采取措施进行替换、补救或拆除重建，直至达到合同要求的质量标准，由此增加的费用和（或）工期延误由承包人承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（2）如果承包人未在规定时间内执行监理人的指示，发包人有权雇用他人执行，由此增加的费用和（或）工期延误由承包人承担。</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188" w:name="_Toc23747822"/>
      <w:bookmarkStart w:id="2189" w:name="_Toc234833177"/>
      <w:bookmarkStart w:id="2190" w:name="_Toc501257402"/>
      <w:r>
        <w:rPr>
          <w:rFonts w:hint="default" w:ascii="Times New Roman" w:hAnsi="Times New Roman" w:cs="Times New Roman"/>
          <w:i w:val="0"/>
          <w:iCs w:val="0"/>
          <w:color w:val="auto"/>
          <w:szCs w:val="24"/>
          <w:highlight w:val="none"/>
        </w:rPr>
        <w:t>14. 试验和检验</w:t>
      </w:r>
      <w:bookmarkEnd w:id="2188"/>
      <w:bookmarkEnd w:id="2189"/>
      <w:bookmarkEnd w:id="2190"/>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91" w:name="_Toc300835138"/>
      <w:bookmarkStart w:id="2192" w:name="_Toc404093890"/>
      <w:r>
        <w:rPr>
          <w:rFonts w:hint="default" w:ascii="Times New Roman" w:hAnsi="Times New Roman" w:eastAsia="黑体" w:cs="Times New Roman"/>
          <w:color w:val="auto"/>
          <w:sz w:val="24"/>
          <w:highlight w:val="none"/>
        </w:rPr>
        <w:t>14.1 材料、工程设备和工程的试验和检验</w:t>
      </w:r>
      <w:bookmarkEnd w:id="2191"/>
      <w:bookmarkEnd w:id="2192"/>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第14.1.2项补充：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对于承包人不能完成的试验或检验，承包人应委托具有相应资格的第三方进行试验、检验，有关费用由承包人承担。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本条补充第 14.4 款：</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193" w:name="_Toc501257403"/>
      <w:bookmarkStart w:id="2194" w:name="_Toc234833178"/>
      <w:r>
        <w:rPr>
          <w:rFonts w:hint="default" w:ascii="Times New Roman" w:hAnsi="Times New Roman" w:eastAsia="黑体" w:cs="Times New Roman"/>
          <w:color w:val="auto"/>
          <w:sz w:val="24"/>
          <w:highlight w:val="none"/>
        </w:rPr>
        <w:t>14.4 试验和检验费用</w:t>
      </w:r>
      <w:bookmarkEnd w:id="2193"/>
      <w:bookmarkEnd w:id="2194"/>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（1）承包人应负责提供合同和技术规范规定的试验和检验所需的全部样品，并承担其费用。</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（2）在合同中明确规定的试验和检验，包括无须在价格清单中单独列项和已在价格清单中单独列项的试验和检验，其试验和检验的费用由承包人承担。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如果监理人所要求做的试验和检验为合同未规定的或是在该材料或工程设备的制造、加工、制配场地以外的场所进行的，则检验结束后，如表明操作工艺或材料、工程设备未能符合合同规定，其费用应由承包人承担，否则，其费用应由发包人承担。</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195" w:name="_Toc234833179"/>
      <w:bookmarkStart w:id="2196" w:name="_Toc501257404"/>
      <w:bookmarkStart w:id="2197" w:name="_Toc23747823"/>
      <w:r>
        <w:rPr>
          <w:rFonts w:hint="default" w:ascii="Times New Roman" w:hAnsi="Times New Roman" w:cs="Times New Roman"/>
          <w:i w:val="0"/>
          <w:iCs w:val="0"/>
          <w:color w:val="auto"/>
          <w:szCs w:val="24"/>
          <w:highlight w:val="none"/>
        </w:rPr>
        <w:t>15. 变更</w:t>
      </w:r>
      <w:bookmarkEnd w:id="2195"/>
      <w:bookmarkEnd w:id="2196"/>
      <w:bookmarkEnd w:id="2197"/>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15.3变更程序</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第15.3.1项补充：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为完成本合同工程，除本合同第2.8款约定的发包人风险可以调整合同总价外，其它任何由于初步设计错漏、施工图设计深度不足以及设计质量问题引发的变更，以及工程施工过程中非本合同第2.8款原因造成的其他施工图设计变更，由此增加的费用均由承包人自行承担，发包人不予支付，但相关的变更手续必须按照规定办理。</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第15.3.2项补充：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发包人风险引起的变更定价原则如下：</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（1）如果取消某项工作，则该项工作的总额价不予支付。</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（2）已标价报价清单中有适用于变更工作的子目的，采用该子目的单价。</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（3）已标价报价清单中无适用于变更工作的子目，但有类似子目的，可在合理范围内参照类似子目的单价，由监理人按第3.5款商定或确定变更工作的单价。</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（4）已标价报价清单中无适用或类似子目的单价，可在综合考虑承包人在投标时所提供的单价分析表的基础上，由监理人按第3.5款商定或确定变更工作的单价。</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本款补充第 </w:t>
      </w:r>
      <w:bookmarkStart w:id="2198" w:name="_Toc501257406"/>
      <w:bookmarkStart w:id="2199" w:name="_Toc234833181"/>
      <w:r>
        <w:rPr>
          <w:rFonts w:hint="default" w:ascii="Times New Roman" w:hAnsi="Times New Roman" w:cs="Times New Roman"/>
          <w:color w:val="auto"/>
          <w:sz w:val="24"/>
          <w:highlight w:val="none"/>
        </w:rPr>
        <w:t>15.3</w:t>
      </w:r>
      <w:bookmarkEnd w:id="2198"/>
      <w:bookmarkEnd w:id="2199"/>
      <w:r>
        <w:rPr>
          <w:rFonts w:hint="default" w:ascii="Times New Roman" w:hAnsi="Times New Roman" w:cs="Times New Roman"/>
          <w:color w:val="auto"/>
          <w:sz w:val="24"/>
          <w:highlight w:val="none"/>
        </w:rPr>
        <w:t>.4 项：</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15.3.4 设计变更程序应执行《公路工程设计变更管理办法》的相关规定。本合同工程实施过程中需要设计变更的，较大变更或者重大变更应当依据有关规定报交通运输主管部门审批。一般变更应当在实施前告知监理人和发包人，发包人认为变更不合理的有权予以否定。任何设计变更不得降低初步设计批复的质量安全标准，不得降低工程质量、耐久性和安全度。</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计变更引起的工程费用变化，按照风险划分原则处理。其中，属于承包人风险范围的设计变更（含完善设计），超出原报价部分由承包人自付，低于原报价部分，按合同条款第17.1（4）项规定支付。属于发包人风险范围的设计变更，报价清单与合同总价均调整，按规定报批后执行。</w:t>
      </w:r>
    </w:p>
    <w:p>
      <w:pPr>
        <w:pageBreakBefore w:val="0"/>
        <w:kinsoku/>
        <w:wordWrap w:val="0"/>
        <w:overflowPunct/>
        <w:topLinePunct w:val="0"/>
        <w:autoSpaceDE/>
        <w:autoSpaceDN/>
        <w:bidi w:val="0"/>
        <w:adjustRightInd/>
        <w:snapToGrid/>
        <w:spacing w:line="312" w:lineRule="auto"/>
        <w:ind w:firstLine="477" w:firstLineChars="199"/>
        <w:textAlignment w:val="auto"/>
        <w:outlineLvl w:val="9"/>
        <w:rPr>
          <w:rFonts w:hint="default" w:ascii="Times New Roman" w:hAnsi="Times New Roman" w:cs="Times New Roman"/>
          <w:color w:val="auto"/>
          <w:sz w:val="24"/>
          <w:highlight w:val="none"/>
        </w:rPr>
      </w:pP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200" w:name="_Toc234833187"/>
      <w:bookmarkStart w:id="2201" w:name="_Toc501257412"/>
      <w:bookmarkStart w:id="2202" w:name="_Toc23747825"/>
      <w:r>
        <w:rPr>
          <w:rFonts w:hint="default" w:ascii="Times New Roman" w:hAnsi="Times New Roman" w:cs="Times New Roman"/>
          <w:i w:val="0"/>
          <w:iCs w:val="0"/>
          <w:color w:val="auto"/>
          <w:szCs w:val="24"/>
          <w:highlight w:val="none"/>
        </w:rPr>
        <w:t>17. 计量与支付</w:t>
      </w:r>
      <w:bookmarkEnd w:id="2200"/>
      <w:bookmarkEnd w:id="2201"/>
      <w:bookmarkEnd w:id="2202"/>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03" w:name="_Toc501257413"/>
      <w:bookmarkStart w:id="2204" w:name="_Toc234833188"/>
      <w:bookmarkStart w:id="2205" w:name="_Toc404093904"/>
      <w:r>
        <w:rPr>
          <w:rFonts w:hint="default" w:ascii="Times New Roman" w:hAnsi="Times New Roman" w:eastAsia="黑体" w:cs="Times New Roman"/>
          <w:color w:val="auto"/>
          <w:sz w:val="24"/>
          <w:highlight w:val="none"/>
        </w:rPr>
        <w:t xml:space="preserve">17.1 </w:t>
      </w:r>
      <w:bookmarkEnd w:id="2203"/>
      <w:bookmarkEnd w:id="2204"/>
      <w:r>
        <w:rPr>
          <w:rFonts w:hint="default" w:ascii="Times New Roman" w:hAnsi="Times New Roman" w:eastAsia="黑体" w:cs="Times New Roman"/>
          <w:color w:val="auto"/>
          <w:sz w:val="24"/>
          <w:highlight w:val="none"/>
        </w:rPr>
        <w:t>合同价格</w:t>
      </w:r>
      <w:bookmarkEnd w:id="2205"/>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本款补充第（4）项：</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本合同工程应当按照合同约定的计量支付办法与程序进行计量支付。承包人应当依据交通运输主管部门批准的施工图设计文件，按照各分项工程合计总价与合同总价一致的原则，调整价格清单，经发包人审定后作为支付依据；工程实施中，按照清单及合同条款约定进行计量支付；项目完成后，承包人应当根据调整后最终的报价清单编制竣工文件和工程决算。</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17.2预付款</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17.2.1预付款</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本项约定为：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预付款包括勘察设计费预付款、开工预付款和材料、设备预付款。具体额度和预付办法如下：</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（1）合同签署后28天内，发包人向承包人支付勘察设计费预付款。勘察设计费预付款的金额在项目专用合同条款数据表中约定。</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（2）开工预付款的金额在项目专用合同条款数据表中约定。在承包人签订了合同协议书且承包人承诺的主要设备进场后，监理人应在当期进度付款证书中向承包人支付开工预付款。</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承包人不得将该预付款用于与本工程无关的支出，监理人有权监督承包人对该项费用的使用，如经查实承包人滥用开工预付款，发包人有权立即向银行索赔履约保证金，并解除合同。</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（3）材料、设备预付款按项目专用合同条款数据表中所列主要材料、设备单据费用（进口的材料、设备为到岸价，国内采购的为出厂价或销售价，地方材料为堆场价）的百分比支付。其预付条件为：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 材料、设备符合规范要求并经监理人认可；</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 承包人已出具材料、设备费用凭证或支付单据；</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 材料、设备已在现场交货，且存储良好，监理人认为材料、设备的存储方法符合要求。</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则监理人应将此项金额作为材料、设备预付款计入下一次的进度付款证书中。在预计交工前 3 个月，将不再支付材料、设备预付款。</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17.2.2预付款保函</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承包人无须向发包人提交预付款保函。发包人向承包人支付的预付款，应按照本合同第 17.2.1 项规定使用，承包人提交的履约保证金对预付款的正常使用承担保证责任。</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17.2.3预付款的扣回与还清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本项约定为：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（1）本合同履行后，预付款抵作勘察设计费，不再扣回。</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（2）开工预付款在进度付款证书的累计金额未达到签约合同价的 30%之前不予扣回，在达到签约合同价 30%之后，开始按工程进度以固定比例（即每完成签约合同价的 1%，扣回开工预付款的 2%）分期从各月的进度付款证书中扣回，全部金额在进度付款证书的累计金额达到签约合同价的 80%时扣完。</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（3）当材料、设备已用于或安装在永久工程之中时，材料、设备预付款应从进度付款证书中扣回，扣回期不超过 3 个月。已经支付材料、设备预付款的材料、设备的所有权应属于发包人。</w:t>
      </w:r>
    </w:p>
    <w:p>
      <w:pPr>
        <w:pStyle w:val="16"/>
        <w:pageBreakBefore w:val="0"/>
        <w:kinsoku/>
        <w:wordWrap w:val="0"/>
        <w:overflowPunct/>
        <w:topLinePunct w:val="0"/>
        <w:bidi w:val="0"/>
        <w:adjustRightInd/>
        <w:snapToGrid/>
        <w:spacing w:before="4"/>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06" w:name="_Toc234833190"/>
      <w:bookmarkStart w:id="2207" w:name="_Toc501257415"/>
      <w:r>
        <w:rPr>
          <w:rFonts w:hint="default" w:ascii="Times New Roman" w:hAnsi="Times New Roman" w:eastAsia="黑体" w:cs="Times New Roman"/>
          <w:color w:val="auto"/>
          <w:sz w:val="24"/>
          <w:highlight w:val="none"/>
        </w:rPr>
        <w:t>17.3工程进度付款</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第17.3</w:t>
      </w:r>
      <w:bookmarkEnd w:id="2206"/>
      <w:bookmarkEnd w:id="2207"/>
      <w:r>
        <w:rPr>
          <w:rFonts w:hint="default" w:ascii="Times New Roman" w:hAnsi="Times New Roman" w:cs="Times New Roman"/>
          <w:color w:val="auto"/>
          <w:sz w:val="24"/>
          <w:highlight w:val="none"/>
        </w:rPr>
        <w:t>.2项细化为：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17.3.2费用支付方式</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除项目专用合同条款另有约定外，发包人按照以下方式支付工程进度款。</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17.3.2.1本项目施工图勘察设计费按项目专用合同条款的约定按进度分期支付。</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17.3.2.2施工费用支付</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（1）监理人应该根据《公路工程施工监理规范》（JTG G10-2016）中的要求和本合同的规定，对承包人提出的已完工程量按照总价包干、清单明细参考、进度总额支付的原则，通过核实工程量实际完成情况并对承包人进行计量支付。即以承包人施工图分项报价清单作为进度统计计算的基础，考核分项或分部工程进度比例，按对应比例的承包人所报报价清单数量及单价进行计量参考，当清单中某项支付细目达到工程量及合价的90%时即暂停计量，剩余10%支付款待该清单明细工作内容全部完成后经监理人签认且扣除应扣留款项后一次支付。</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（2）若发生合同规定的由发包人承担的费用变更时，在变更费用最终批复之前，发包人可根据监理人和发包人的初步联合审查金额，向承包人计量70％的费用。</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工程实施过程中，若发生合同规定的需由承包人自行承担风险的设计变更，并且该设计变更造成承包人施工图分项报价清单中需要新增工程细目或删减工程细目，某些工程细目工程数量大大增加或大量减少，从而导致按照承包人施工图分项报价清单进行支付远远超过或滞后于承包人实际完成的工作量时，则监理人在报经发包人批准后，可在参照承包人施工图分项报价清单的基础上，按照承包人每月实际完成的工程量调整期中付款。</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工程实施过程中，由于承包人合理的设计变更或者合理化建议，导致承包人施工图分项报价清单中某些工程细目的删减或工程数量的减少，该部分合同价款在相应扣减因承包人其他设计变更已支付的工程价款后，在交工证书中一次性支付给承包人。除按照合同规定承包人有权得到的合同价格调整外，发包人向承包人最终支付的合同价款应不超过其投标总价（扣除暂列金额）。</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17.3.4进度付款证书和支付时间</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本项（1）目补充：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果该付款周期应结算的价款经扣留和扣回后的款额少于项目专用合同条款数据表中列明的进度付款证书的最低金额，则该付款周期监理人可不核证支付，上述款额将按付款周期结转，直至累计应支付的款额达到项目专用合同条款数据表中列明的进度付款证书的最低金额为止。</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发包人应在监理人收到进度付款申请单且承包人提交了合格的增值税专用发票后的28 天内，将进度应付款支付给承包人。发包人未能在通用条款规定的期限内完成审批或给予答复的，不视为发包人同意进度付款申请。</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发包人不按期支付的，按项目专用合同条款数据表中约定的利率向承包人支付逾期付款违约金。违约金计算基数为发包人的全部未付款额，时间从应付而未付该款额之日算起（不计复利）。</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 17.3.6 项：</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17.3.6 农民工工资保证金</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（1）为确保施工过程中农民工工资实时、足额发放到位，承包人应按照项目专用合同条款约定的时间和金额缴存农民工工资保证金。</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（2）农民工工资保证金可采用银行保函或现金、支票形式。采用银行保函时，出具保函的银行须具有相应担保能力，且按照发包人批准的格式出具，所需费用由承包人承担。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（3）农民工工资保证金的扣留条件、返还时间按照项目专用合同条款的约定执行。</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08" w:name="_Toc501257416"/>
      <w:bookmarkStart w:id="2209" w:name="_Toc234833191"/>
      <w:r>
        <w:rPr>
          <w:rFonts w:hint="default" w:ascii="Times New Roman" w:hAnsi="Times New Roman" w:eastAsia="黑体" w:cs="Times New Roman"/>
          <w:color w:val="auto"/>
          <w:sz w:val="24"/>
          <w:highlight w:val="none"/>
        </w:rPr>
        <w:t>17.4质量保证金</w:t>
      </w:r>
      <w:bookmarkEnd w:id="2208"/>
      <w:bookmarkEnd w:id="2209"/>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17.4.1 项、第 17.4.2 项细化为：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17.4.1 交工验收证书签发后 14 天内，承包人应向发包人缴纳质量保证金。质量保证金可采用银行保函或现金、支票形式，金额应符合项目专用合同条款数据表的规定。采用银行保函时，出具保函的银行须具有相应担保能力，且按照发包人批准的格式出具，所需费用由承包人承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质量保证金采用现金、支票形式提交的，发包人应在项目专用合同条款数据表中明确是否计付利息以及利息的计算方式。</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17.4.2 在第 1.1.4.5 目约定的缺陷责任期满，且质量监督机构已按规定对工程质量检测鉴定合格，承包人向发包人申请到期应返还承包人剩余的质量保证金金额，发包人应在 14 天内会同承包人按照合同约定的内容核实承包人是否完成缺陷责任。如无异议，发包人应当在核实后将剩余保证金返还承包人。</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10" w:name="_Toc234833192"/>
      <w:bookmarkStart w:id="2211" w:name="_Toc501257417"/>
      <w:r>
        <w:rPr>
          <w:rFonts w:hint="default" w:ascii="Times New Roman" w:hAnsi="Times New Roman" w:eastAsia="黑体" w:cs="Times New Roman"/>
          <w:color w:val="auto"/>
          <w:sz w:val="24"/>
          <w:highlight w:val="none"/>
        </w:rPr>
        <w:t>17.5交工结算</w:t>
      </w:r>
      <w:bookmarkEnd w:id="2210"/>
      <w:bookmarkEnd w:id="2211"/>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17.5.1交工付款申请单</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本项（1）目约定为：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承包人向监理人提交交工付款申请单（包括相关证明材料）的份数在项目专用合同条款数据表中约定；期限：交工验收证书签发后 42 天内。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17.5.2 交工付款证书及支付时间</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发包人应在监理人出具交工付款证书且承包人提交了合格的增值税专用发票后的 14 天内，将应支付款支付给承包人。发包人不按期支付的，按第 17.3.3（2）目的约定，将逾期付款违约金支付给承包人。</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12" w:name="_Toc501257418"/>
      <w:bookmarkStart w:id="2213" w:name="_Toc234833193"/>
      <w:r>
        <w:rPr>
          <w:rFonts w:hint="default" w:ascii="Times New Roman" w:hAnsi="Times New Roman" w:eastAsia="黑体" w:cs="Times New Roman"/>
          <w:color w:val="auto"/>
          <w:sz w:val="24"/>
          <w:highlight w:val="none"/>
        </w:rPr>
        <w:t>17.6最终结清</w:t>
      </w:r>
      <w:bookmarkEnd w:id="2212"/>
      <w:bookmarkEnd w:id="2213"/>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17.6.1 最终结清申请单</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本项（1）目约定为：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承包人向监理人提交最终结清申请单（包括相关证明材料）的份数在项目专用合同条款数据表中约定；期限：缺陷责任期终止证书签发后 28 天内。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最终结清申请单中的总金额应认为是代表了根据合同规定应付给承包人的全部款项的最后结算。</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17.6.2 最终结清证书和支付时间</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（2）发包人应在监理人出具最终结清证书且承包人提交了合格的增值税专用发票后的 14 天内，将应支付款支付给承包人。发包人不按期支付的，按第 17.3.3（2）目的约定，将逾期付款违约金支付给承包人。</w:t>
      </w:r>
    </w:p>
    <w:p>
      <w:pPr>
        <w:pStyle w:val="16"/>
        <w:pageBreakBefore w:val="0"/>
        <w:kinsoku/>
        <w:wordWrap w:val="0"/>
        <w:overflowPunct/>
        <w:topLinePunct w:val="0"/>
        <w:bidi w:val="0"/>
        <w:adjustRightInd/>
        <w:snapToGrid/>
        <w:textAlignment w:val="auto"/>
        <w:outlineLvl w:val="9"/>
        <w:rPr>
          <w:rFonts w:hint="default" w:ascii="Times New Roman" w:hAnsi="Times New Roman" w:cs="Times New Roman"/>
          <w:color w:val="auto"/>
          <w:sz w:val="24"/>
          <w:highlight w:val="none"/>
        </w:rPr>
      </w:pP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214" w:name="_Toc23747826"/>
      <w:bookmarkStart w:id="2215" w:name="_Toc234833194"/>
      <w:bookmarkStart w:id="2216" w:name="_Toc501257419"/>
      <w:r>
        <w:rPr>
          <w:rFonts w:hint="default" w:ascii="Times New Roman" w:hAnsi="Times New Roman" w:cs="Times New Roman"/>
          <w:i w:val="0"/>
          <w:iCs w:val="0"/>
          <w:color w:val="auto"/>
          <w:szCs w:val="24"/>
          <w:highlight w:val="none"/>
        </w:rPr>
        <w:t>18. 交工验收</w:t>
      </w:r>
      <w:bookmarkEnd w:id="2214"/>
      <w:bookmarkEnd w:id="2215"/>
      <w:bookmarkEnd w:id="2216"/>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17" w:name="_Toc404093911"/>
      <w:r>
        <w:rPr>
          <w:rFonts w:hint="default" w:ascii="Times New Roman" w:hAnsi="Times New Roman" w:eastAsia="黑体" w:cs="Times New Roman"/>
          <w:color w:val="auto"/>
          <w:sz w:val="24"/>
          <w:highlight w:val="none"/>
        </w:rPr>
        <w:t>18.1竣工试验</w:t>
      </w:r>
      <w:bookmarkEnd w:id="2217"/>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本款不适用。</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18" w:name="_Toc234833195"/>
      <w:bookmarkStart w:id="2219" w:name="_Toc404093912"/>
      <w:bookmarkStart w:id="2220" w:name="_Toc501257420"/>
      <w:r>
        <w:rPr>
          <w:rFonts w:hint="default" w:ascii="Times New Roman" w:hAnsi="Times New Roman" w:eastAsia="黑体" w:cs="Times New Roman"/>
          <w:color w:val="auto"/>
          <w:sz w:val="24"/>
          <w:highlight w:val="none"/>
        </w:rPr>
        <w:t>18.2 交工验收申请报告</w:t>
      </w:r>
      <w:bookmarkEnd w:id="2218"/>
      <w:bookmarkEnd w:id="2219"/>
      <w:bookmarkEnd w:id="2220"/>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当工程具备以下条件时，承包人即可向监理人报送交工验收申请报告：</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(1)除监理人同意列入缺陷责任期内完成的尾工(甩项)工程和缺陷修补工作外，合同范围内的全部单位工程以及有关工作，包括本合同要求的试验以及检验和验收均已完成，并符合本合同要求；</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(2)承包人应按照《公路工程竣(交)工验收办法》和相关规定编制竣工资料。竣工资料的份数在专用合同条款数据表中约定；</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(3)已按监理人的要求编制了在缺陷责任期内完成的尾工(甩项)工程和缺陷修补工作清单以及相应施工计划；</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(4)监理人要求在交工验收前应完成的其他工作；</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(5)监理人要求提交的交工验收资料清单；</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(6)本合同工程的质量检测评定报告；</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(7)达到有关法律法规的规定条件，以及满足发包人、质量监督部门和交通行发包人管部门的要求。</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21" w:name="_Toc501257421"/>
      <w:bookmarkStart w:id="2222" w:name="_Toc234833196"/>
      <w:r>
        <w:rPr>
          <w:rFonts w:hint="default" w:ascii="Times New Roman" w:hAnsi="Times New Roman" w:eastAsia="黑体" w:cs="Times New Roman"/>
          <w:color w:val="auto"/>
          <w:sz w:val="24"/>
          <w:highlight w:val="none"/>
        </w:rPr>
        <w:t>18.3 验收</w:t>
      </w:r>
      <w:bookmarkEnd w:id="2221"/>
      <w:bookmarkEnd w:id="2222"/>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18.3.2 项补充：</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交工验收由发包人主持，由发包人、监理人、质监、设计、施工、运营、管理养护等有关部门代表组成交工验收小组，对本项目的工程质量进行评定，并写出交工验收报告报交通运输主管部门备案。承包人应按发包人的要求提交竣工资料，完成交工验收准备工作。</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18.3.5 项约定为：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经验收合格工程的实际交工日期，以最终提交交工验收申请报告的日期为准，并在交工验收证书中写明。</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 18.3.7 项：</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组织办理交工验收和签发交工验收证书的费用由发包人承担。但按照第 18.3.4项规定达不到合格标准的交工验收费用由承包人承担。</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23" w:name="_Toc404093914"/>
      <w:r>
        <w:rPr>
          <w:rFonts w:hint="default" w:ascii="Times New Roman" w:hAnsi="Times New Roman" w:eastAsia="黑体" w:cs="Times New Roman"/>
          <w:color w:val="auto"/>
          <w:sz w:val="24"/>
          <w:highlight w:val="none"/>
        </w:rPr>
        <w:t>18.4 竣工验收</w:t>
      </w:r>
      <w:bookmarkEnd w:id="2223"/>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本款约定为：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工程满足《公路工程竣(交)工验收办法》要求的竣工验收条件，行发包人管部门将组织竣工验收。承包人应按照《公路工程竣(交)工验收办法》的相关规定，在缺陷责任期内为竣工验收补充竣工资料，并在签发缺陷责任期终止证书之前提交。</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18.6 施工期运行和试运营</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18.6 款补充第18.6.3项和18.6.4项：</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18.6.3 除专用合同条款另有约定外，承包人应按专用合同条款约定进行工程及工程设备试运行，负责提供试运行所需的人员、器材和必要的条件，并承担全部试运行费用。</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18.6.4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18．7交工清场</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本款补充第18.7.3项和18.7.4项：</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18.7.3承包人施工场地交工清场由承包人自行负责，发包人不承担因承包人未履行交工清场及其他扫尾工作而引起的各种纠纷和索赔。</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18.7.4工程实施过程中，对地方道路、地方水系等，如有毁损，应按不低于原标准及时进行修复。否则，将由发包人委托第三方对其恢复，所发生的费用发包人可以从应付给承包人的任何款项内扣除。</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24" w:name="_Toc404093915"/>
      <w:bookmarkStart w:id="2225" w:name="_Toc234833197"/>
      <w:bookmarkStart w:id="2226" w:name="_Toc501257422"/>
      <w:r>
        <w:rPr>
          <w:rFonts w:hint="default" w:ascii="Times New Roman" w:hAnsi="Times New Roman" w:eastAsia="黑体" w:cs="Times New Roman"/>
          <w:color w:val="auto"/>
          <w:sz w:val="24"/>
          <w:highlight w:val="none"/>
        </w:rPr>
        <w:t>18.9 竣工后试验</w:t>
      </w:r>
      <w:bookmarkEnd w:id="2224"/>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本款不适用。</w:t>
      </w:r>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本条补充第 18.10 款：</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18.10 竣工文件</w:t>
      </w:r>
      <w:bookmarkEnd w:id="2225"/>
      <w:bookmarkEnd w:id="2226"/>
    </w:p>
    <w:p>
      <w:pPr>
        <w:pStyle w:val="16"/>
        <w:pageBreakBefore w:val="0"/>
        <w:kinsoku/>
        <w:wordWrap w:val="0"/>
        <w:overflowPunct/>
        <w:topLinePunct w:val="0"/>
        <w:bidi w:val="0"/>
        <w:adjustRightInd/>
        <w:snapToGrid/>
        <w:spacing w:before="1" w:line="312" w:lineRule="auto"/>
        <w:ind w:left="424" w:right="387"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承包人应按照《公路工程竣（交）工验收办法》的相关规定，在缺陷责任期内为竣工验收补充竣工资料，并在签发缺陷责任期终止证书之前提交。</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227" w:name="_Toc501257423"/>
      <w:bookmarkStart w:id="2228" w:name="_Toc23747827"/>
      <w:bookmarkStart w:id="2229" w:name="_Toc234833198"/>
      <w:r>
        <w:rPr>
          <w:rFonts w:hint="default" w:ascii="Times New Roman" w:hAnsi="Times New Roman" w:cs="Times New Roman"/>
          <w:i w:val="0"/>
          <w:iCs w:val="0"/>
          <w:color w:val="auto"/>
          <w:szCs w:val="24"/>
          <w:highlight w:val="none"/>
        </w:rPr>
        <w:t>19. 缺陷责任与保修责任</w:t>
      </w:r>
      <w:bookmarkEnd w:id="2227"/>
      <w:bookmarkEnd w:id="2228"/>
      <w:bookmarkEnd w:id="2229"/>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30" w:name="_Toc501257424"/>
      <w:bookmarkStart w:id="2231" w:name="_Toc234833199"/>
      <w:r>
        <w:rPr>
          <w:rFonts w:hint="default" w:ascii="Times New Roman" w:hAnsi="Times New Roman" w:eastAsia="黑体" w:cs="Times New Roman"/>
          <w:color w:val="auto"/>
          <w:sz w:val="24"/>
          <w:highlight w:val="none"/>
        </w:rPr>
        <w:t>19.2 缺陷责任</w:t>
      </w:r>
      <w:bookmarkEnd w:id="2230"/>
      <w:bookmarkEnd w:id="2231"/>
    </w:p>
    <w:p>
      <w:pPr>
        <w:pStyle w:val="16"/>
        <w:pageBreakBefore w:val="0"/>
        <w:kinsoku/>
        <w:wordWrap w:val="0"/>
        <w:overflowPunct/>
        <w:topLinePunct w:val="0"/>
        <w:bidi w:val="0"/>
        <w:adjustRightInd/>
        <w:snapToGrid/>
        <w:ind w:left="904"/>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w:t>
      </w:r>
      <w:r>
        <w:rPr>
          <w:rFonts w:hint="default" w:ascii="Times New Roman" w:hAnsi="Times New Roman" w:eastAsia="Times New Roman" w:cs="Times New Roman"/>
          <w:color w:val="auto"/>
          <w:sz w:val="24"/>
          <w:highlight w:val="none"/>
        </w:rPr>
        <w:t xml:space="preserve">19.2.2 </w:t>
      </w:r>
      <w:r>
        <w:rPr>
          <w:rFonts w:hint="default" w:ascii="Times New Roman" w:hAnsi="Times New Roman" w:cs="Times New Roman"/>
          <w:color w:val="auto"/>
          <w:sz w:val="24"/>
          <w:highlight w:val="none"/>
        </w:rPr>
        <w:t>项补充：</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在缺陷责任期内，承包人应尽快完成在交工验收证书中写明的未完成工作，并完成对本工程缺陷的修复或监理人指令的修补工作。</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32" w:name="_Toc501257425"/>
      <w:bookmarkStart w:id="2233" w:name="_Toc234833200"/>
      <w:r>
        <w:rPr>
          <w:rFonts w:hint="default" w:ascii="Times New Roman" w:hAnsi="Times New Roman" w:eastAsia="黑体" w:cs="Times New Roman"/>
          <w:color w:val="auto"/>
          <w:sz w:val="24"/>
          <w:highlight w:val="none"/>
        </w:rPr>
        <w:t>19.5 承包人的进入权</w:t>
      </w:r>
      <w:bookmarkEnd w:id="2232"/>
      <w:bookmarkEnd w:id="2233"/>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承包人在缺陷修复施工过程中，应服从管养单位的有关安全管理规定，由于承包人自身原因造成的人员伤亡、设备和材料的损毁及罚款等责任由承包人自负。</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34" w:name="_Toc501257426"/>
      <w:bookmarkStart w:id="2235" w:name="_Toc234833201"/>
      <w:r>
        <w:rPr>
          <w:rFonts w:hint="default" w:ascii="Times New Roman" w:hAnsi="Times New Roman" w:eastAsia="黑体" w:cs="Times New Roman"/>
          <w:color w:val="auto"/>
          <w:sz w:val="24"/>
          <w:highlight w:val="none"/>
        </w:rPr>
        <w:t>19.7 保修责任</w:t>
      </w:r>
      <w:bookmarkEnd w:id="2234"/>
      <w:bookmarkEnd w:id="2235"/>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保修期自实际交工日期起计算，具体期限在项目专用合同条款数据表中约定。保修期与缺陷责任期重叠的期间内，承包人的保修责任同缺陷责任。在缺陷责任期满后的保修期内，承包人可不在工地留有办事人员和机械设备，但必须随时与发包人保持联系，在保修期内承包人应对由于施工质量原因造成的损坏自费进行修复。</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（2）在全部工程交工验收前，已经发包人提前验收的单位工程，其保修期的起算日期相应提前。</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（3）工程保修期终止后 28 天内，监理人签发保修期终止证书。</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（4）若承包人不履行保修义务和责任，则承包人应承担由于违约造成的法律后果，并由发包人将其违约行为上报省级交通运输主管部门，作为不良记录纳入</w:t>
      </w:r>
      <w:r>
        <w:rPr>
          <w:rFonts w:hint="default" w:ascii="Times New Roman" w:hAnsi="Times New Roman" w:cs="Times New Roman"/>
          <w:color w:val="auto"/>
          <w:sz w:val="24"/>
          <w:highlight w:val="none"/>
          <w:lang w:eastAsia="zh-CN"/>
        </w:rPr>
        <w:t>全国公路建设市场监督管理系统</w:t>
      </w:r>
      <w:r>
        <w:rPr>
          <w:rFonts w:hint="default" w:ascii="Times New Roman" w:hAnsi="Times New Roman" w:cs="Times New Roman"/>
          <w:color w:val="auto"/>
          <w:sz w:val="24"/>
          <w:highlight w:val="none"/>
        </w:rPr>
        <w:t>。</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236" w:name="_Toc234833202"/>
      <w:bookmarkStart w:id="2237" w:name="_Toc501257427"/>
      <w:bookmarkStart w:id="2238" w:name="_Toc23747828"/>
      <w:r>
        <w:rPr>
          <w:rFonts w:hint="default" w:ascii="Times New Roman" w:hAnsi="Times New Roman" w:cs="Times New Roman"/>
          <w:i w:val="0"/>
          <w:iCs w:val="0"/>
          <w:color w:val="auto"/>
          <w:szCs w:val="24"/>
          <w:highlight w:val="none"/>
        </w:rPr>
        <w:t>20. 保险</w:t>
      </w:r>
      <w:bookmarkEnd w:id="2236"/>
      <w:bookmarkEnd w:id="2237"/>
      <w:bookmarkEnd w:id="2238"/>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39" w:name="_Toc404093921"/>
      <w:bookmarkStart w:id="2240" w:name="_Toc234833203"/>
      <w:bookmarkStart w:id="2241" w:name="_Toc501257428"/>
      <w:r>
        <w:rPr>
          <w:rFonts w:hint="default" w:ascii="Times New Roman" w:hAnsi="Times New Roman" w:eastAsia="黑体" w:cs="Times New Roman"/>
          <w:color w:val="auto"/>
          <w:sz w:val="24"/>
          <w:highlight w:val="none"/>
        </w:rPr>
        <w:t>20.1设计和工程保险</w:t>
      </w:r>
      <w:bookmarkEnd w:id="2239"/>
      <w:bookmarkEnd w:id="2240"/>
      <w:bookmarkEnd w:id="2241"/>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20.1.1项约定为：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20.1.1承包人应以发包人和承包人的共同名义向双方同意的保险人投保勘察设计保险、建筑工程一切险或安装工程一切险等保险。</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20.1.1.1勘察设计保险</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承包人为实施本项工程，应按规定参加有关勘察设计保险(包括但不限于勘察设计责任险、工程勘察的人身安全险和设备险等)。承包人应将全部保险费计入合同报价中，发包人将不另行支付。</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20.1.1.2建筑工程一切险</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投保内容：为本合同工程的永久工程、临时工程和设备及已运至施工工地用于永久工程的材料和设备所投的保险。</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保险金额：价格清单</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2.3 施工价格清单</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的合计金额(不含建筑工程一切险及第三者责任险的保险费)。</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保险费率：在专用合同条款数据表中约定。</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保险期限：施工开工日起直至本合同工程签发缺陷责任期终止证书止</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承包人应以发包人和承包人的共同名义投保建筑工程一切险。建筑工程一切险的保险费由承包人报价时计入施工价格清单中，由承包人包干使用。发包人在接到保险单后，按最终清单的该子目价格支付。</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20.1.2项约定为：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20.1.2施工开工日起至颁发缺陷责任期终止证书期间，承包人应以承包人和发包人的共同名义，投保第三者责任险，其保险费率、保险金额等有关内容在专用合同条款中约定。发包人在接到保险单后，按最终清单的该子目价格支付。</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补充20.1.3项：</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20.1.3施工开工日起至颁发缺陷责任期终止证书期间，承包人应以承包人和发包人的共同名义，投保安全生产责任险。</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安全生产责任险系指在保险期内，对因生产安全事故造成的第三人人身伤亡和财产损失、抢险救援、事故鉴定、法律服务等善后处理费用，以及因意外事故造成工程项目施工人员及与工程有关的所有人员的人身伤亡，由保险人进行赔付的责任保险。安全生产责任险包含在安全生产费中。发包人在接到保险单后，将按照保险单的费用直接向承包人支付。</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第20.3.2项文末补充：</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办理本款保险的一切费用由承包人承担，并包括在价格清单的单价或总额价中，发包人不单独支付。</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42" w:name="_Toc234833204"/>
      <w:bookmarkStart w:id="2243" w:name="_Toc501257429"/>
      <w:bookmarkStart w:id="2244" w:name="_Toc404093922"/>
      <w:r>
        <w:rPr>
          <w:rFonts w:hint="default" w:ascii="Times New Roman" w:hAnsi="Times New Roman" w:eastAsia="黑体" w:cs="Times New Roman"/>
          <w:color w:val="auto"/>
          <w:sz w:val="24"/>
          <w:highlight w:val="none"/>
        </w:rPr>
        <w:t xml:space="preserve">20.4 </w:t>
      </w:r>
      <w:bookmarkEnd w:id="2242"/>
      <w:bookmarkEnd w:id="2243"/>
      <w:bookmarkStart w:id="2245" w:name="_Toc501257430"/>
      <w:bookmarkStart w:id="2246" w:name="_Toc234833205"/>
      <w:r>
        <w:rPr>
          <w:rFonts w:hint="default" w:ascii="Times New Roman" w:hAnsi="Times New Roman" w:eastAsia="黑体" w:cs="Times New Roman"/>
          <w:color w:val="auto"/>
          <w:sz w:val="24"/>
          <w:highlight w:val="none"/>
        </w:rPr>
        <w:t>其他保险</w:t>
      </w:r>
      <w:bookmarkEnd w:id="2244"/>
      <w:bookmarkEnd w:id="2245"/>
      <w:bookmarkEnd w:id="2246"/>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本款约定为：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承包人应为其施工设备等办理保险，其投保金额应足以现场重置。办理本款保险的一切费用均由承包人承担，并包括在施工价格清单的报价中，发包人不单独支付。</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47" w:name="_Toc501257431"/>
      <w:bookmarkStart w:id="2248" w:name="_Toc234833206"/>
      <w:bookmarkStart w:id="2249" w:name="_Toc404093923"/>
      <w:r>
        <w:rPr>
          <w:rFonts w:hint="default" w:ascii="Times New Roman" w:hAnsi="Times New Roman" w:eastAsia="黑体" w:cs="Times New Roman"/>
          <w:color w:val="auto"/>
          <w:sz w:val="24"/>
          <w:highlight w:val="none"/>
        </w:rPr>
        <w:t>20.5 对各项保险的一般要求</w:t>
      </w:r>
      <w:bookmarkEnd w:id="2247"/>
      <w:bookmarkEnd w:id="2248"/>
      <w:bookmarkEnd w:id="2249"/>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20.5.1 保险凭证</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本项约定为：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承包人向发包人提交各项保险生效的证据和保险单副本的期限：开工后56天内。</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20.5.3 持续保险</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在整个合同期内，承包人应按合同条款规定保证足够的保险额。</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20.5.4 保险金不足的补偿</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保险金不足以补偿损失的(包括免赔额和超过赔偿限额的部分)，应由承包人和(或)发包人按合同约定负责补偿。</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20.5.5 未按约定投保的补救</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由于负有投保义务的一方当事人未按合同约定办理某项保险，或未按保险单规定的条件和期限及时向保险人报告事故情况，或未按要求的保险期限进行投保，或未按要求投保足够的保险金额，导致受益人未能或未能全部得到保险人的赔偿，原应从该项保险得到的保险金应由负有投保义务的一方当事人支付。</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250" w:name="_Toc501257432"/>
      <w:bookmarkStart w:id="2251" w:name="_Toc234833207"/>
      <w:bookmarkStart w:id="2252" w:name="_Toc23747829"/>
      <w:r>
        <w:rPr>
          <w:rFonts w:hint="default" w:ascii="Times New Roman" w:hAnsi="Times New Roman" w:cs="Times New Roman"/>
          <w:i w:val="0"/>
          <w:iCs w:val="0"/>
          <w:color w:val="auto"/>
          <w:szCs w:val="24"/>
          <w:highlight w:val="none"/>
        </w:rPr>
        <w:t>21. 不可抗力</w:t>
      </w:r>
      <w:bookmarkEnd w:id="2250"/>
      <w:bookmarkEnd w:id="2251"/>
      <w:bookmarkEnd w:id="2252"/>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53" w:name="_Toc501257433"/>
      <w:bookmarkStart w:id="2254" w:name="_Toc234833208"/>
      <w:r>
        <w:rPr>
          <w:rFonts w:hint="default" w:ascii="Times New Roman" w:hAnsi="Times New Roman" w:eastAsia="黑体" w:cs="Times New Roman"/>
          <w:color w:val="auto"/>
          <w:sz w:val="24"/>
          <w:highlight w:val="none"/>
        </w:rPr>
        <w:t>21.1不可抗力的确认</w:t>
      </w:r>
      <w:bookmarkEnd w:id="2253"/>
      <w:bookmarkEnd w:id="2254"/>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 21.1.1 项细化为：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不可抗力是指承包人和发包人在订立合同时不可预见，在工程施工过程中不可避免发生并不能克服的自然灾害和社会性突发事件。包括但不限于：</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（1）地震、海啸、火山爆发、泥石流、台风、龙卷风等自然灾害；</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（2）战争、骚乱、暴动，但纯属承包人或其分包人派遣与雇用的人员由于本合同工程施工原因引起者除外；</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（3）核反应、辐射或放射性污染；</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（4）空中飞行物体坠落或非发包人或承包人责任造成的爆炸、火灾；</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（5）瘟疫及其他重大传</w:t>
      </w:r>
      <w:r>
        <w:rPr>
          <w:rFonts w:hint="eastAsia" w:cs="Times New Roman"/>
          <w:color w:val="auto"/>
          <w:sz w:val="24"/>
          <w:highlight w:val="none"/>
          <w:lang w:val="en-US" w:eastAsia="zh-CN"/>
        </w:rPr>
        <w:t>染</w:t>
      </w:r>
      <w:r>
        <w:rPr>
          <w:rFonts w:hint="default" w:ascii="Times New Roman" w:hAnsi="Times New Roman" w:cs="Times New Roman"/>
          <w:color w:val="auto"/>
          <w:sz w:val="24"/>
          <w:highlight w:val="none"/>
        </w:rPr>
        <w:t>疾病等；</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（6）项目专用合同条款约定的其他情形。</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bookmarkStart w:id="2255" w:name="_Toc234833209"/>
      <w:bookmarkStart w:id="2256" w:name="_Toc501257434"/>
      <w:r>
        <w:rPr>
          <w:rFonts w:hint="default" w:ascii="Times New Roman" w:hAnsi="Times New Roman" w:cs="Times New Roman"/>
          <w:color w:val="auto"/>
          <w:sz w:val="24"/>
          <w:highlight w:val="none"/>
        </w:rPr>
        <w:t>21.3 不可抗力后果及其处理</w:t>
      </w:r>
      <w:bookmarkEnd w:id="2255"/>
      <w:bookmarkEnd w:id="2256"/>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21.3.4 因不可抗力解除合同</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合同一方当事人因不可抗力不能履行合同的，应当及时通知对方解除合同。合同解除后，承包人应按照第 22.2.4 项约定撤离施工场地。已经订货的材料、设备由订货方负责退货或解除订货合同，不能退还的货款和因退货、解除订货合同发生的费用，由发包人承担，因未及时退货造成的损失由责任方承担。合同解除后的付款，参照第 22.2.3项约定，由监理人按第 3.5 款商定或确定，但由于解除合同应赔偿的承包人损失不予考虑。</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257" w:name="_Toc234833210"/>
      <w:bookmarkStart w:id="2258" w:name="_Toc23747830"/>
      <w:bookmarkStart w:id="2259" w:name="_Toc501257435"/>
      <w:r>
        <w:rPr>
          <w:rFonts w:hint="default" w:ascii="Times New Roman" w:hAnsi="Times New Roman" w:cs="Times New Roman"/>
          <w:i w:val="0"/>
          <w:iCs w:val="0"/>
          <w:color w:val="auto"/>
          <w:szCs w:val="24"/>
          <w:highlight w:val="none"/>
        </w:rPr>
        <w:t>22. 违约</w:t>
      </w:r>
      <w:bookmarkEnd w:id="2257"/>
      <w:bookmarkEnd w:id="2258"/>
      <w:bookmarkEnd w:id="2259"/>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60" w:name="_Toc234833211"/>
      <w:bookmarkStart w:id="2261" w:name="_Toc501257436"/>
      <w:r>
        <w:rPr>
          <w:rFonts w:hint="default" w:ascii="Times New Roman" w:hAnsi="Times New Roman" w:eastAsia="黑体" w:cs="Times New Roman"/>
          <w:color w:val="auto"/>
          <w:sz w:val="24"/>
          <w:highlight w:val="none"/>
        </w:rPr>
        <w:t>22.1承包人违约</w:t>
      </w:r>
      <w:bookmarkEnd w:id="2260"/>
      <w:bookmarkEnd w:id="2261"/>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22.1.1承包人违约的情形</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本项（3）目细化为：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（3）承包人违反第 6.3 款或第 7.4 款的约定，未经监理人批准，私自将已按合同约定进入施工场地的施工设备、临时设施、材料或工程设备撤离施工场地；</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22.1.2对承包人违约的处理</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（4）承包人发生第 22.1.1 项约定的违约情况时，无论发包人是否解除合同，发包人均有权向承包人课以项目专用合同条款中规定的违约金，并由发包人将其违约行为上报省级交通运输主管部门，作为不良记录纳入</w:t>
      </w:r>
      <w:r>
        <w:rPr>
          <w:rFonts w:hint="default" w:ascii="Times New Roman" w:hAnsi="Times New Roman" w:cs="Times New Roman"/>
          <w:color w:val="auto"/>
          <w:sz w:val="24"/>
          <w:highlight w:val="none"/>
          <w:lang w:eastAsia="zh-CN"/>
        </w:rPr>
        <w:t>全国公路建设市场监督管理系统</w:t>
      </w:r>
      <w:r>
        <w:rPr>
          <w:rFonts w:hint="default" w:ascii="Times New Roman" w:hAnsi="Times New Roman" w:cs="Times New Roman"/>
          <w:color w:val="auto"/>
          <w:sz w:val="24"/>
          <w:highlight w:val="none"/>
        </w:rPr>
        <w:t>。</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62" w:name="_Toc501257437"/>
      <w:bookmarkStart w:id="2263" w:name="_Toc234833212"/>
      <w:r>
        <w:rPr>
          <w:rFonts w:hint="default" w:ascii="Times New Roman" w:hAnsi="Times New Roman" w:eastAsia="黑体" w:cs="Times New Roman"/>
          <w:color w:val="auto"/>
          <w:sz w:val="24"/>
          <w:highlight w:val="none"/>
        </w:rPr>
        <w:t>22.2发包人违约</w:t>
      </w:r>
      <w:bookmarkEnd w:id="2262"/>
      <w:bookmarkEnd w:id="2263"/>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22.2.1发包人违约的情形</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本项（5）目细化为：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（5）发包人无正当理由不按时返还履约保证金、质量保证金或农民工工资保证金的；</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（6）发包人不履行合同约定其他义务的。</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22.2.2因发包人违约解除合同</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发包人发生除第 22.2.1（4）、（5）目以外的违约情况时，承包人可向发包人发出通知，要求发包人采取有效措施纠正违约行为。发包人收到承包人通知后的 28 天内仍不履行合同义务，承包人有权暂停施工，并通知监理人，发包人应承担由此增加的费用和（或）工期延误，并支付承包人合理利润。</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发包人发生第 22.2.1（5）目的违约情况时，承包人可向发包人发出通知，要求发包人采取有效措施纠正违约行为。发包人收到承包人通知后的 28 天内仍不返还履约保证金、质量保证金或农民工工资保证金的，发包人应按项目专用合同条款的约定向承包人支付逾期返还保证金的违约金。</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22.2.3 解除合同后的付款</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（2）承包人为该工程施工订购并已付款的材料、工程设备和其他物品的金额。发包人付款后，该材料、工程设备和其他物品归发包人所有；</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264" w:name="_Toc501257438"/>
      <w:bookmarkStart w:id="2265" w:name="_Toc234833213"/>
      <w:bookmarkStart w:id="2266" w:name="_Toc23747831"/>
      <w:r>
        <w:rPr>
          <w:rFonts w:hint="default" w:ascii="Times New Roman" w:hAnsi="Times New Roman" w:cs="Times New Roman"/>
          <w:i w:val="0"/>
          <w:iCs w:val="0"/>
          <w:color w:val="auto"/>
          <w:szCs w:val="24"/>
          <w:highlight w:val="none"/>
        </w:rPr>
        <w:t>23. 索赔</w:t>
      </w:r>
      <w:bookmarkEnd w:id="2264"/>
      <w:bookmarkEnd w:id="2265"/>
      <w:bookmarkEnd w:id="2266"/>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67" w:name="_Toc234833214"/>
      <w:bookmarkStart w:id="2268" w:name="_Toc501257439"/>
      <w:r>
        <w:rPr>
          <w:rFonts w:hint="default" w:ascii="Times New Roman" w:hAnsi="Times New Roman" w:eastAsia="黑体" w:cs="Times New Roman"/>
          <w:color w:val="auto"/>
          <w:sz w:val="24"/>
          <w:highlight w:val="none"/>
        </w:rPr>
        <w:t>23.1承包人索赔的提出</w:t>
      </w:r>
      <w:bookmarkEnd w:id="2267"/>
      <w:bookmarkEnd w:id="2268"/>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本款第（4）项细化为：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（4）在索赔事件影响结束后的 28 天内，承包人应向监理人递交最终索赔通知书，说明最终要求索赔的追加付款金额和（或）延长的工期，并附必要的记录和证明材料。</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69" w:name="_Toc501257440"/>
      <w:bookmarkStart w:id="2270" w:name="_Toc234833215"/>
      <w:r>
        <w:rPr>
          <w:rFonts w:hint="default" w:ascii="Times New Roman" w:hAnsi="Times New Roman" w:eastAsia="黑体" w:cs="Times New Roman"/>
          <w:color w:val="auto"/>
          <w:sz w:val="24"/>
          <w:highlight w:val="none"/>
        </w:rPr>
        <w:t>23.2承包人索赔处理程序</w:t>
      </w:r>
      <w:bookmarkEnd w:id="2269"/>
      <w:bookmarkEnd w:id="2270"/>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本款第（2）项细化为：</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（2）监理人应按第 3.5 款商定或确定追加的付款和（或）延长的工期，并在收到上述索赔通知书或有关索赔的进一步证明材料后的 42 天内，将索赔处理结果报发包人批准后答复承包人。如果承包人提出的索赔要求未能遵守第 23.1（2）~（4）项的规定，则承包人只限于索赔由监理人按当时记录予以核实的那部分款额和（或）工期延长天数。</w:t>
      </w:r>
    </w:p>
    <w:p>
      <w:pPr>
        <w:pageBreakBefore w:val="0"/>
        <w:kinsoku/>
        <w:wordWrap w:val="0"/>
        <w:overflowPunct/>
        <w:topLinePunct w:val="0"/>
        <w:bidi w:val="0"/>
        <w:adjustRightInd/>
        <w:snapToGrid/>
        <w:jc w:val="left"/>
        <w:textAlignment w:val="auto"/>
        <w:outlineLvl w:val="9"/>
        <w:rPr>
          <w:rFonts w:hint="default" w:ascii="Times New Roman" w:hAnsi="Times New Roman" w:cs="Times New Roman"/>
          <w:i w:val="0"/>
          <w:iCs w:val="0"/>
          <w:color w:val="auto"/>
          <w:szCs w:val="24"/>
          <w:highlight w:val="none"/>
        </w:rPr>
      </w:pPr>
      <w:bookmarkStart w:id="2271" w:name="_Toc501257441"/>
      <w:bookmarkStart w:id="2272" w:name="_Toc23747832"/>
      <w:bookmarkStart w:id="2273" w:name="_Toc234833216"/>
      <w:r>
        <w:rPr>
          <w:rFonts w:hint="default" w:ascii="Times New Roman" w:hAnsi="Times New Roman" w:cs="Times New Roman"/>
          <w:i w:val="0"/>
          <w:iCs w:val="0"/>
          <w:color w:val="auto"/>
          <w:szCs w:val="24"/>
          <w:highlight w:val="none"/>
        </w:rPr>
        <w:t>24. 争议的解决</w:t>
      </w:r>
      <w:bookmarkEnd w:id="2271"/>
      <w:bookmarkEnd w:id="2272"/>
      <w:bookmarkEnd w:id="2273"/>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24.3争议评审</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第 </w:t>
      </w:r>
      <w:bookmarkStart w:id="2274" w:name="_Toc234833217"/>
      <w:bookmarkStart w:id="2275" w:name="_Toc501257442"/>
      <w:r>
        <w:rPr>
          <w:rFonts w:hint="default" w:ascii="Times New Roman" w:hAnsi="Times New Roman" w:cs="Times New Roman"/>
          <w:color w:val="auto"/>
          <w:sz w:val="24"/>
          <w:highlight w:val="none"/>
        </w:rPr>
        <w:t>24.3</w:t>
      </w:r>
      <w:bookmarkEnd w:id="2274"/>
      <w:bookmarkEnd w:id="2275"/>
      <w:r>
        <w:rPr>
          <w:rFonts w:hint="default" w:ascii="Times New Roman" w:hAnsi="Times New Roman" w:cs="Times New Roman"/>
          <w:color w:val="auto"/>
          <w:sz w:val="24"/>
          <w:highlight w:val="none"/>
        </w:rPr>
        <w:t>.1 项补充：</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争议评审组由 3 人或 5 人组成，专家的聘请方法可由发包人和承包人共同协商确定，亦可请政府主管部门推荐或通过合同争议调解机构聘请，并经双方认同。争议评审组成员应与合同双方均无利害关系。争议评审组的各项费用由发包人和承包人平均分担。</w:t>
      </w:r>
    </w:p>
    <w:p>
      <w:pPr>
        <w:pageBreakBefore w:val="0"/>
        <w:kinsoku/>
        <w:wordWrap w:val="0"/>
        <w:overflowPunct/>
        <w:topLinePunct w:val="0"/>
        <w:bidi w:val="0"/>
        <w:adjustRightInd/>
        <w:snapToGrid/>
        <w:spacing w:before="240" w:beforeLines="100" w:line="400" w:lineRule="atLeast"/>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本条补充第24.4 款、第24.5 款（适用于采用仲裁方式最终解决争议的项目）：</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76" w:name="_Toc234833218"/>
      <w:bookmarkStart w:id="2277" w:name="_Toc501257443"/>
      <w:r>
        <w:rPr>
          <w:rFonts w:hint="default" w:ascii="Times New Roman" w:hAnsi="Times New Roman" w:eastAsia="黑体" w:cs="Times New Roman"/>
          <w:color w:val="auto"/>
          <w:sz w:val="24"/>
          <w:highlight w:val="none"/>
        </w:rPr>
        <w:t>24.4仲裁</w:t>
      </w:r>
      <w:bookmarkEnd w:id="2276"/>
      <w:bookmarkEnd w:id="2277"/>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（1）对于未能友好解决或未能通过争议评审解决的争议，发包人或承包人任一方均有权提交给第 24.1 款约定的仲裁委员会仲裁。</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仲裁可在交工之前或之后进行，但发包人、监理人和承包人各自的义务不得因在工程实施期间进行仲裁而有所改变。如果仲裁是在终止合同的情况下进行，则对合同工程应采取保护措施，措施费由败诉方承担。</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（3）仲裁裁决是终局性的并对发包人和承包人双方具有约束力。</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（4）全部仲裁费用应由败诉方承担；或按仲裁委员会裁决的比例分担。</w:t>
      </w:r>
    </w:p>
    <w:p>
      <w:pPr>
        <w:pStyle w:val="16"/>
        <w:pageBreakBefore w:val="0"/>
        <w:kinsoku/>
        <w:wordWrap w:val="0"/>
        <w:overflowPunct/>
        <w:topLinePunct w:val="0"/>
        <w:bidi w:val="0"/>
        <w:adjustRightInd/>
        <w:snapToGrid/>
        <w:ind w:left="424"/>
        <w:textAlignment w:val="auto"/>
        <w:outlineLvl w:val="9"/>
        <w:rPr>
          <w:rFonts w:hint="default" w:ascii="Times New Roman" w:hAnsi="Times New Roman" w:eastAsia="黑体" w:cs="Times New Roman"/>
          <w:color w:val="auto"/>
          <w:sz w:val="24"/>
          <w:highlight w:val="none"/>
        </w:rPr>
      </w:pPr>
      <w:bookmarkStart w:id="2278" w:name="_Toc501257444"/>
      <w:bookmarkStart w:id="2279" w:name="_Toc234833219"/>
      <w:r>
        <w:rPr>
          <w:rFonts w:hint="default" w:ascii="Times New Roman" w:hAnsi="Times New Roman" w:eastAsia="黑体" w:cs="Times New Roman"/>
          <w:color w:val="auto"/>
          <w:sz w:val="24"/>
          <w:highlight w:val="none"/>
        </w:rPr>
        <w:t>24.5仲裁的执行</w:t>
      </w:r>
      <w:bookmarkEnd w:id="2278"/>
      <w:bookmarkEnd w:id="2279"/>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（1）任何一方不履行仲裁机构的裁决的，对方可以向有管辖权的人民法院申请执行。</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任何一方提出证据证明裁决有《中华人民共和国仲裁法》第五十八条规定情形之一的，可以向仲裁委员会所在地的中级人民法院申请撤销裁决。人民法院认定执行该裁决违背社会公共利益的，裁定不予执行。仲裁裁决被人民法院裁定不予执行的，当事人可以根据双方达成的书面仲裁协议重新申请仲裁，也可以向人民法院起诉。</w:t>
      </w:r>
    </w:p>
    <w:p>
      <w:pPr>
        <w:pStyle w:val="16"/>
        <w:pageBreakBefore w:val="0"/>
        <w:kinsoku/>
        <w:wordWrap w:val="0"/>
        <w:overflowPunct/>
        <w:topLinePunct w:val="0"/>
        <w:bidi w:val="0"/>
        <w:adjustRightInd/>
        <w:snapToGrid/>
        <w:spacing w:before="91" w:line="312" w:lineRule="auto"/>
        <w:ind w:left="424" w:right="388" w:firstLine="479"/>
        <w:textAlignment w:val="auto"/>
        <w:outlineLvl w:val="9"/>
        <w:rPr>
          <w:rFonts w:hint="default" w:ascii="Times New Roman" w:hAnsi="Times New Roman" w:cs="Times New Roman"/>
          <w:color w:val="auto"/>
          <w:sz w:val="24"/>
          <w:highlight w:val="none"/>
        </w:rPr>
        <w:sectPr>
          <w:footnotePr>
            <w:numFmt w:val="decimalEnclosedCircleChinese"/>
            <w:numRestart w:val="eachPage"/>
          </w:footnotePr>
          <w:pgSz w:w="11910" w:h="16850"/>
          <w:pgMar w:top="1480" w:right="1200" w:bottom="1040" w:left="1220" w:header="876" w:footer="853" w:gutter="0"/>
          <w:pgNumType w:fmt="decimal"/>
          <w:cols w:space="720" w:num="1"/>
        </w:sectPr>
      </w:pP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32"/>
          <w:szCs w:val="32"/>
          <w:highlight w:val="none"/>
        </w:rPr>
      </w:pPr>
      <w:bookmarkStart w:id="2280" w:name="_Toc234833220"/>
      <w:bookmarkStart w:id="2281" w:name="_Toc23747833"/>
      <w:bookmarkStart w:id="2282" w:name="_Toc501257445"/>
      <w:r>
        <w:rPr>
          <w:rFonts w:hint="default" w:ascii="Times New Roman" w:hAnsi="Times New Roman" w:eastAsia="黑体" w:cs="Times New Roman"/>
          <w:b w:val="0"/>
          <w:color w:val="auto"/>
          <w:sz w:val="32"/>
          <w:szCs w:val="32"/>
          <w:highlight w:val="none"/>
        </w:rPr>
        <w:t>B. 项目专用合同条款</w:t>
      </w:r>
      <w:bookmarkEnd w:id="2280"/>
      <w:bookmarkEnd w:id="2281"/>
      <w:bookmarkEnd w:id="2282"/>
    </w:p>
    <w:p>
      <w:pPr>
        <w:pageBreakBefore w:val="0"/>
        <w:kinsoku/>
        <w:wordWrap w:val="0"/>
        <w:overflowPunct/>
        <w:bidi w:val="0"/>
        <w:spacing w:line="440" w:lineRule="exact"/>
        <w:rPr>
          <w:rFonts w:hint="default" w:ascii="Times New Roman" w:hAnsi="Times New Roman" w:eastAsia="黑体" w:cs="Times New Roman"/>
          <w:color w:val="auto"/>
          <w:sz w:val="27"/>
          <w:szCs w:val="27"/>
          <w:highlight w:val="none"/>
        </w:rPr>
      </w:pPr>
    </w:p>
    <w:p>
      <w:pPr>
        <w:pStyle w:val="17"/>
        <w:pageBreakBefore w:val="0"/>
        <w:kinsoku/>
        <w:wordWrap w:val="0"/>
        <w:overflowPunct/>
        <w:bidi w:val="0"/>
        <w:snapToGrid w:val="0"/>
        <w:spacing w:line="400" w:lineRule="atLeast"/>
        <w:ind w:left="0" w:leftChars="0"/>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说  明：</w:t>
      </w:r>
    </w:p>
    <w:p>
      <w:pPr>
        <w:pStyle w:val="17"/>
        <w:pageBreakBefore w:val="0"/>
        <w:kinsoku/>
        <w:wordWrap w:val="0"/>
        <w:overflowPunct/>
        <w:bidi w:val="0"/>
        <w:snapToGrid w:val="0"/>
        <w:spacing w:line="400" w:lineRule="atLeast"/>
        <w:ind w:left="0" w:leftChars="0" w:firstLine="720" w:firstLineChars="300"/>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1.招标人在根据《</w:t>
      </w:r>
      <w:r>
        <w:rPr>
          <w:rFonts w:hint="default" w:ascii="Times New Roman" w:hAnsi="Times New Roman" w:eastAsia="楷体_GB2312" w:cs="Times New Roman"/>
          <w:color w:val="auto"/>
          <w:sz w:val="24"/>
          <w:highlight w:val="none"/>
          <w:lang w:val="en-US" w:eastAsia="zh-CN"/>
        </w:rPr>
        <w:t>标准文件</w:t>
      </w:r>
      <w:r>
        <w:rPr>
          <w:rFonts w:hint="default" w:ascii="Times New Roman" w:hAnsi="Times New Roman" w:eastAsia="楷体_GB2312" w:cs="Times New Roman"/>
          <w:color w:val="auto"/>
          <w:sz w:val="24"/>
          <w:highlight w:val="none"/>
        </w:rPr>
        <w:t>》编制项目招标文件中的</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时，可根据招标项目的具体特点和实际需要，对</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及</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进行补充和细化，除</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明确</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可作出不同约定以及</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明确</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可作出不同约定外，补充和细化的内容不得与</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及</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强制性规定相抵触。同时，补充、细化或约定的内容，不得违反法律、行政法规的强制性规定和平等、自愿、公平和诚实信用原则。</w:t>
      </w:r>
    </w:p>
    <w:p>
      <w:pPr>
        <w:pStyle w:val="17"/>
        <w:pageBreakBefore w:val="0"/>
        <w:kinsoku/>
        <w:wordWrap w:val="0"/>
        <w:overflowPunct/>
        <w:bidi w:val="0"/>
        <w:snapToGrid w:val="0"/>
        <w:spacing w:line="400" w:lineRule="atLeast"/>
        <w:ind w:left="0" w:leftChars="0" w:firstLine="720" w:firstLineChars="300"/>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2.项目专用合同条款的编号应与通用合同条款和公路工程专用合同条款一致。</w:t>
      </w:r>
    </w:p>
    <w:p>
      <w:pPr>
        <w:pStyle w:val="17"/>
        <w:pageBreakBefore w:val="0"/>
        <w:kinsoku/>
        <w:wordWrap w:val="0"/>
        <w:overflowPunct/>
        <w:bidi w:val="0"/>
        <w:snapToGrid w:val="0"/>
        <w:spacing w:line="400" w:lineRule="atLeast"/>
        <w:ind w:left="0" w:leftChars="0" w:firstLine="720" w:firstLineChars="300"/>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3.项目专用合同条款可对下列内容进行补充和细化：</w:t>
      </w:r>
    </w:p>
    <w:p>
      <w:pPr>
        <w:pStyle w:val="17"/>
        <w:pageBreakBefore w:val="0"/>
        <w:kinsoku/>
        <w:wordWrap w:val="0"/>
        <w:overflowPunct/>
        <w:bidi w:val="0"/>
        <w:snapToGrid w:val="0"/>
        <w:spacing w:line="400" w:lineRule="atLeast"/>
        <w:ind w:left="0" w:leftChars="0" w:firstLine="720" w:firstLineChars="300"/>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（1）</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中明确指出</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可对</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进行修改的内容（在</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中用</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应按合同约定</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应按专用合同条款约定</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除合同另有约定外</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除专用合同条款另有约定外</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在专用合同条款中约定</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等多种文字形式表达）；</w:t>
      </w:r>
    </w:p>
    <w:p>
      <w:pPr>
        <w:pStyle w:val="17"/>
        <w:pageBreakBefore w:val="0"/>
        <w:kinsoku/>
        <w:wordWrap w:val="0"/>
        <w:overflowPunct/>
        <w:bidi w:val="0"/>
        <w:snapToGrid w:val="0"/>
        <w:spacing w:line="400" w:lineRule="atLeast"/>
        <w:ind w:left="0" w:leftChars="0" w:firstLine="720" w:firstLineChars="300"/>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（2）</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中明确指出</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可对</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进行修改的内容（在</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中用</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除项目专用合同条款另有约定外</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项目专用合同条款可能约定的</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项目专用合同条款约定的其他情形</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等多种文字形式表达）。</w:t>
      </w:r>
    </w:p>
    <w:p>
      <w:pPr>
        <w:pStyle w:val="17"/>
        <w:pageBreakBefore w:val="0"/>
        <w:kinsoku/>
        <w:wordWrap w:val="0"/>
        <w:overflowPunct/>
        <w:bidi w:val="0"/>
        <w:snapToGrid w:val="0"/>
        <w:spacing w:line="400" w:lineRule="atLeast"/>
        <w:ind w:left="0" w:leftChars="0" w:firstLine="720" w:firstLineChars="300"/>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（3）其他需要补充、细化的内容。</w:t>
      </w:r>
    </w:p>
    <w:p>
      <w:pPr>
        <w:pStyle w:val="17"/>
        <w:pageBreakBefore w:val="0"/>
        <w:kinsoku/>
        <w:wordWrap w:val="0"/>
        <w:overflowPunct/>
        <w:bidi w:val="0"/>
        <w:snapToGrid w:val="0"/>
        <w:spacing w:line="400" w:lineRule="atLeast"/>
        <w:ind w:left="0" w:leftChars="0" w:firstLine="720" w:firstLineChars="300"/>
        <w:rPr>
          <w:rFonts w:hint="default" w:ascii="Times New Roman" w:hAnsi="Times New Roman" w:eastAsia="黑体" w:cs="Times New Roman"/>
          <w:color w:val="auto"/>
          <w:sz w:val="24"/>
          <w:highlight w:val="none"/>
        </w:rPr>
      </w:pP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32"/>
          <w:szCs w:val="32"/>
          <w:highlight w:val="none"/>
        </w:rPr>
      </w:pPr>
      <w:r>
        <w:rPr>
          <w:rFonts w:hint="default" w:ascii="Times New Roman" w:hAnsi="Times New Roman" w:eastAsia="黑体" w:cs="Times New Roman"/>
          <w:color w:val="auto"/>
          <w:sz w:val="28"/>
          <w:highlight w:val="none"/>
        </w:rPr>
        <w:br w:type="page"/>
      </w:r>
      <w:bookmarkStart w:id="2283" w:name="_Toc23747834"/>
      <w:bookmarkStart w:id="2284" w:name="_Toc234833221"/>
      <w:bookmarkStart w:id="2285" w:name="_Toc501257446"/>
      <w:r>
        <w:rPr>
          <w:rFonts w:hint="default" w:ascii="Times New Roman" w:hAnsi="Times New Roman" w:eastAsia="黑体" w:cs="Times New Roman"/>
          <w:b w:val="0"/>
          <w:color w:val="auto"/>
          <w:sz w:val="32"/>
          <w:szCs w:val="32"/>
          <w:highlight w:val="none"/>
        </w:rPr>
        <w:t>项目专用合同条款数据表</w:t>
      </w:r>
      <w:bookmarkEnd w:id="2283"/>
      <w:bookmarkEnd w:id="2284"/>
      <w:bookmarkEnd w:id="2285"/>
    </w:p>
    <w:p>
      <w:pPr>
        <w:pStyle w:val="17"/>
        <w:pageBreakBefore w:val="0"/>
        <w:kinsoku/>
        <w:wordWrap w:val="0"/>
        <w:overflowPunct/>
        <w:bidi w:val="0"/>
        <w:snapToGrid w:val="0"/>
        <w:spacing w:after="0" w:line="400" w:lineRule="atLeast"/>
        <w:ind w:left="660" w:leftChars="0" w:hanging="660" w:hangingChars="275"/>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说明：</w:t>
      </w:r>
      <w:r>
        <w:rPr>
          <w:rFonts w:hint="default" w:ascii="Times New Roman" w:hAnsi="Times New Roman" w:eastAsia="楷体_GB2312" w:cs="Times New Roman"/>
          <w:color w:val="auto"/>
          <w:sz w:val="24"/>
          <w:highlight w:val="none"/>
        </w:rPr>
        <w:t>本数据表是项目专用合同条款中适用于本项目的信息和数据的归纳与提示，是项目专用合同条款的组成部分。第七章</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的投标函附录中的数据（供投标人确认）与本表所列有重复。编写招标文件的单位应仔细校核，不使数据出现差错或不一致。</w:t>
      </w:r>
    </w:p>
    <w:p>
      <w:pPr>
        <w:pStyle w:val="17"/>
        <w:pageBreakBefore w:val="0"/>
        <w:kinsoku/>
        <w:wordWrap w:val="0"/>
        <w:overflowPunct/>
        <w:bidi w:val="0"/>
        <w:snapToGrid w:val="0"/>
        <w:spacing w:after="0" w:line="400" w:lineRule="atLeast"/>
        <w:ind w:left="660" w:leftChars="0" w:hanging="660" w:hangingChars="275"/>
        <w:rPr>
          <w:rFonts w:hint="default" w:ascii="Times New Roman" w:hAnsi="Times New Roman" w:cs="Times New Roman"/>
          <w:color w:val="auto"/>
          <w:sz w:val="24"/>
          <w:highlight w:val="none"/>
        </w:rPr>
      </w:pPr>
    </w:p>
    <w:tbl>
      <w:tblPr>
        <w:tblStyle w:val="37"/>
        <w:tblW w:w="50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9"/>
        <w:gridCol w:w="1111"/>
        <w:gridCol w:w="7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48" w:type="pct"/>
            <w:vAlign w:val="center"/>
          </w:tcPr>
          <w:p>
            <w:pPr>
              <w:pageBreakBefore w:val="0"/>
              <w:kinsoku/>
              <w:wordWrap w:val="0"/>
              <w:overflowPunct/>
              <w:bidi w:val="0"/>
              <w:snapToGrid w:val="0"/>
              <w:spacing w:before="100" w:beforeAutospacing="1" w:line="36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序号</w:t>
            </w:r>
          </w:p>
        </w:tc>
        <w:tc>
          <w:tcPr>
            <w:tcW w:w="614" w:type="pct"/>
            <w:vAlign w:val="center"/>
          </w:tcPr>
          <w:p>
            <w:pPr>
              <w:pageBreakBefore w:val="0"/>
              <w:kinsoku/>
              <w:wordWrap w:val="0"/>
              <w:overflowPunct/>
              <w:bidi w:val="0"/>
              <w:snapToGrid w:val="0"/>
              <w:spacing w:line="36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条目号</w:t>
            </w:r>
          </w:p>
        </w:tc>
        <w:tc>
          <w:tcPr>
            <w:tcW w:w="4038" w:type="pct"/>
            <w:vAlign w:val="center"/>
          </w:tcPr>
          <w:p>
            <w:pPr>
              <w:pageBreakBefore w:val="0"/>
              <w:kinsoku/>
              <w:wordWrap w:val="0"/>
              <w:overflowPunct/>
              <w:bidi w:val="0"/>
              <w:snapToGrid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信息或数据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1.1.2.2</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 包 人：</w:t>
            </w:r>
          </w:p>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    址：                   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1.1.2.6</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监 理 人：              </w:t>
            </w:r>
          </w:p>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地    址：                   邮政编码：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1.1.4.5</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缺陷责任期：自实际交工日期起计算</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r>
              <w:rPr>
                <w:rStyle w:val="45"/>
                <w:rFonts w:hint="default" w:ascii="Times New Roman" w:hAnsi="Times New Roman" w:cs="Times New Roman"/>
                <w:color w:val="auto"/>
                <w:szCs w:val="21"/>
                <w:highlight w:val="none"/>
              </w:rPr>
              <w:footnoteReference w:id="69"/>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1.6.3</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图纸需要修改和补充的，应由监理人取得发包人同意后，在该工程或工程相应部位施工前</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天签发图纸修改图给承包人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3.1.1</w:t>
            </w:r>
          </w:p>
        </w:tc>
        <w:tc>
          <w:tcPr>
            <w:tcW w:w="4038" w:type="pct"/>
            <w:vAlign w:val="center"/>
          </w:tcPr>
          <w:p>
            <w:pPr>
              <w:pageBreakBefore w:val="0"/>
              <w:kinsoku/>
              <w:wordWrap w:val="0"/>
              <w:overflowPunct/>
              <w:bidi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监理人在行使下列权力前需要经发包人事先批准：</w:t>
            </w:r>
          </w:p>
          <w:p>
            <w:pPr>
              <w:pageBreakBefore w:val="0"/>
              <w:kinsoku/>
              <w:wordWrap w:val="0"/>
              <w:overflowPunct/>
              <w:bidi w:val="0"/>
              <w:snapToGrid w:val="0"/>
              <w:spacing w:line="360" w:lineRule="atLeast"/>
              <w:ind w:firstLine="225" w:firstLineChars="114"/>
              <w:rPr>
                <w:rFonts w:hint="default" w:ascii="Times New Roman" w:hAnsi="Times New Roman" w:cs="Times New Roman"/>
                <w:color w:val="auto"/>
                <w:spacing w:val="-6"/>
                <w:szCs w:val="21"/>
                <w:highlight w:val="none"/>
              </w:rPr>
            </w:pPr>
            <w:r>
              <w:rPr>
                <w:rFonts w:hint="default" w:ascii="Times New Roman" w:hAnsi="Times New Roman" w:cs="Times New Roman"/>
                <w:color w:val="auto"/>
                <w:spacing w:val="-6"/>
                <w:szCs w:val="21"/>
                <w:highlight w:val="none"/>
              </w:rPr>
              <w:t>（6）根据第15.3款发出的变更指示，其单项工程变更涉及的金额超过了该单项工程签约时合同价的</w:t>
            </w:r>
            <w:r>
              <w:rPr>
                <w:rFonts w:hint="default" w:ascii="Times New Roman" w:hAnsi="Times New Roman" w:cs="Times New Roman"/>
                <w:color w:val="auto"/>
                <w:spacing w:val="-6"/>
                <w:szCs w:val="21"/>
                <w:highlight w:val="none"/>
                <w:u w:val="single"/>
              </w:rPr>
              <w:t xml:space="preserve">  </w:t>
            </w:r>
            <w:r>
              <w:rPr>
                <w:rFonts w:hint="default" w:ascii="Times New Roman" w:hAnsi="Times New Roman" w:cs="Times New Roman"/>
                <w:color w:val="auto"/>
                <w:spacing w:val="-6"/>
                <w:szCs w:val="21"/>
                <w:highlight w:val="none"/>
              </w:rPr>
              <w:t>%或累计变更超过了签约合同价的</w:t>
            </w:r>
            <w:r>
              <w:rPr>
                <w:rFonts w:hint="default" w:ascii="Times New Roman" w:hAnsi="Times New Roman" w:cs="Times New Roman"/>
                <w:color w:val="auto"/>
                <w:spacing w:val="-6"/>
                <w:szCs w:val="21"/>
                <w:highlight w:val="none"/>
                <w:u w:val="single"/>
              </w:rPr>
              <w:t xml:space="preserve">  </w:t>
            </w:r>
            <w:r>
              <w:rPr>
                <w:rFonts w:hint="default" w:ascii="Times New Roman" w:hAnsi="Times New Roman" w:cs="Times New Roman"/>
                <w:color w:val="auto"/>
                <w:spacing w:val="-6"/>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5.2.1</w:t>
            </w:r>
          </w:p>
        </w:tc>
        <w:tc>
          <w:tcPr>
            <w:tcW w:w="4038" w:type="pct"/>
            <w:tcBorders>
              <w:bottom w:val="single" w:color="auto" w:sz="4" w:space="0"/>
            </w:tcBorders>
            <w:vAlign w:val="center"/>
          </w:tcPr>
          <w:p>
            <w:pPr>
              <w:pageBreakBefore w:val="0"/>
              <w:kinsoku/>
              <w:wordWrap w:val="0"/>
              <w:overflowPunct/>
              <w:bidi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发包人是否提供材料或工程设备：</w:t>
            </w:r>
            <w:r>
              <w:rPr>
                <w:rFonts w:hint="default" w:ascii="Times New Roman" w:hAnsi="Times New Roman" w:cs="Times New Roman"/>
                <w:color w:val="auto"/>
                <w:szCs w:val="21"/>
                <w:highlight w:val="none"/>
                <w:u w:val="single"/>
              </w:rPr>
              <w:t xml:space="preserve"> 是或否  </w:t>
            </w:r>
          </w:p>
          <w:p>
            <w:pPr>
              <w:pageBreakBefore w:val="0"/>
              <w:kinsoku/>
              <w:wordWrap w:val="0"/>
              <w:overflowPunct/>
              <w:bidi w:val="0"/>
              <w:spacing w:line="360" w:lineRule="atLeast"/>
              <w:ind w:firstLine="239" w:firstLineChars="114"/>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如发包人负责提供部分材料或工程设备，相关规定如下：</w:t>
            </w:r>
            <w:r>
              <w:rPr>
                <w:rFonts w:hint="default" w:ascii="Times New Roman" w:hAnsi="Times New Roman" w:cs="Times New Roman"/>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6.2</w:t>
            </w:r>
          </w:p>
        </w:tc>
        <w:tc>
          <w:tcPr>
            <w:tcW w:w="4038" w:type="pct"/>
            <w:tcBorders>
              <w:bottom w:val="single" w:color="auto" w:sz="4" w:space="0"/>
            </w:tcBorders>
            <w:vAlign w:val="center"/>
          </w:tcPr>
          <w:p>
            <w:pPr>
              <w:pageBreakBefore w:val="0"/>
              <w:kinsoku/>
              <w:wordWrap w:val="0"/>
              <w:overflowPunct/>
              <w:bidi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发包人是否提供施工设备和临时设施：</w:t>
            </w:r>
            <w:r>
              <w:rPr>
                <w:rFonts w:hint="default" w:ascii="Times New Roman" w:hAnsi="Times New Roman" w:cs="Times New Roman"/>
                <w:color w:val="auto"/>
                <w:szCs w:val="21"/>
                <w:highlight w:val="none"/>
                <w:u w:val="single"/>
              </w:rPr>
              <w:t xml:space="preserve"> 是或否  </w:t>
            </w:r>
          </w:p>
          <w:p>
            <w:pPr>
              <w:pageBreakBefore w:val="0"/>
              <w:kinsoku/>
              <w:wordWrap w:val="0"/>
              <w:overflowPunct/>
              <w:bidi w:val="0"/>
              <w:spacing w:line="360" w:lineRule="atLeast"/>
              <w:ind w:firstLine="239" w:firstLineChars="114"/>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如发包人负责提供部分施工设备和临时设施，相关规定如下：</w:t>
            </w:r>
            <w:r>
              <w:rPr>
                <w:rFonts w:hint="default" w:ascii="Times New Roman" w:hAnsi="Times New Roman" w:cs="Times New Roman"/>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8.1.1</w:t>
            </w:r>
          </w:p>
        </w:tc>
        <w:tc>
          <w:tcPr>
            <w:tcW w:w="4038" w:type="pct"/>
            <w:tcBorders>
              <w:bottom w:val="single" w:color="auto" w:sz="4" w:space="0"/>
            </w:tcBorders>
            <w:vAlign w:val="center"/>
          </w:tcPr>
          <w:p>
            <w:pPr>
              <w:pageBreakBefore w:val="0"/>
              <w:kinsoku/>
              <w:wordWrap w:val="0"/>
              <w:overflowPunct/>
              <w:bidi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发包人提供测量基准点、基准线和水准点及其书面资料的期限：</w:t>
            </w:r>
            <w:r>
              <w:rPr>
                <w:rFonts w:hint="default" w:ascii="Times New Roman" w:hAnsi="Times New Roman" w:cs="Times New Roman"/>
                <w:color w:val="auto"/>
                <w:szCs w:val="21"/>
                <w:highlight w:val="none"/>
                <w:u w:val="single"/>
              </w:rPr>
              <w:t xml:space="preserve">              </w:t>
            </w:r>
          </w:p>
          <w:p>
            <w:pPr>
              <w:pageBreakBefore w:val="0"/>
              <w:kinsoku/>
              <w:wordWrap w:val="0"/>
              <w:overflowPunct/>
              <w:bidi w:val="0"/>
              <w:spacing w:line="360" w:lineRule="atLeast"/>
              <w:ind w:firstLine="239" w:firstLineChars="114"/>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承包人将施工控制网资料报送监理人审批的期限：</w:t>
            </w:r>
            <w:r>
              <w:rPr>
                <w:rFonts w:hint="default" w:ascii="Times New Roman" w:hAnsi="Times New Roman" w:cs="Times New Roman"/>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11.5（3）</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逾期交工违约金：</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11.5（3）</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逾期交工违约金限额：</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w:t>
            </w:r>
            <w:r>
              <w:rPr>
                <w:rStyle w:val="45"/>
                <w:rFonts w:hint="default" w:ascii="Times New Roman" w:hAnsi="Times New Roman" w:cs="Times New Roman"/>
                <w:color w:val="auto"/>
                <w:szCs w:val="21"/>
                <w:highlight w:val="none"/>
              </w:rPr>
              <w:footnoteReference w:id="70"/>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11.6</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提前交工的奖金：</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11.6</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提前交工的奖金限额：</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15.2.2</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承包人提出的合理化建议降低了合同价格或者提高了工程经济效益的，发包人按所节约成本的</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%或增加收益的</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%给予奖励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16.1</w:t>
            </w:r>
          </w:p>
        </w:tc>
        <w:tc>
          <w:tcPr>
            <w:tcW w:w="4038" w:type="pct"/>
            <w:vAlign w:val="center"/>
          </w:tcPr>
          <w:p>
            <w:pPr>
              <w:pageBreakBefore w:val="0"/>
              <w:kinsoku/>
              <w:wordWrap w:val="0"/>
              <w:overflowPunct/>
              <w:bidi w:val="0"/>
              <w:snapToGrid w:val="0"/>
              <w:spacing w:line="360" w:lineRule="atLeast"/>
              <w:ind w:firstLine="364" w:firstLineChars="114"/>
              <w:rPr>
                <w:rFonts w:hint="default" w:ascii="Times New Roman" w:hAnsi="Times New Roman" w:cs="Times New Roman"/>
                <w:color w:val="auto"/>
                <w:szCs w:val="21"/>
                <w:highlight w:val="none"/>
              </w:rPr>
            </w:pPr>
            <w:r>
              <w:rPr>
                <w:rFonts w:hint="default" w:ascii="Times New Roman" w:hAnsi="Times New Roman" w:cs="Times New Roman"/>
                <w:color w:val="auto"/>
                <w:sz w:val="32"/>
                <w:highlight w:val="none"/>
              </w:rPr>
              <w:t>□</w:t>
            </w:r>
            <w:r>
              <w:rPr>
                <w:rFonts w:hint="default" w:ascii="Times New Roman" w:hAnsi="Times New Roman" w:cs="Times New Roman"/>
                <w:color w:val="auto"/>
                <w:szCs w:val="21"/>
                <w:highlight w:val="none"/>
              </w:rPr>
              <w:t>因物价波动引起的价格调整按照</w:t>
            </w:r>
            <w:r>
              <w:rPr>
                <w:rFonts w:hint="default" w:ascii="Times New Roman" w:hAnsi="Times New Roman" w:cs="Times New Roman"/>
                <w:color w:val="auto"/>
                <w:szCs w:val="21"/>
                <w:highlight w:val="none"/>
                <w:u w:val="single"/>
              </w:rPr>
              <w:t xml:space="preserve"> 第16.1.1项或第16.1.2项 </w:t>
            </w:r>
            <w:r>
              <w:rPr>
                <w:rFonts w:hint="default" w:ascii="Times New Roman" w:hAnsi="Times New Roman" w:cs="Times New Roman"/>
                <w:color w:val="auto"/>
                <w:szCs w:val="21"/>
                <w:highlight w:val="none"/>
              </w:rPr>
              <w:t>约定的原则处理</w:t>
            </w:r>
          </w:p>
          <w:p>
            <w:pPr>
              <w:pageBreakBefore w:val="0"/>
              <w:kinsoku/>
              <w:wordWrap w:val="0"/>
              <w:overflowPunct/>
              <w:bidi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若按第16.1.1项的约定采用价格调整公式进行调价，</w:t>
            </w:r>
            <w:r>
              <w:rPr>
                <w:rFonts w:hint="default" w:ascii="Times New Roman" w:hAnsi="Times New Roman" w:cs="Times New Roman"/>
                <w:color w:val="auto"/>
                <w:szCs w:val="21"/>
                <w:highlight w:val="none"/>
                <w:u w:val="single"/>
              </w:rPr>
              <w:t>每半年或一年</w:t>
            </w:r>
            <w:r>
              <w:rPr>
                <w:rFonts w:hint="default" w:ascii="Times New Roman" w:hAnsi="Times New Roman" w:cs="Times New Roman"/>
                <w:color w:val="auto"/>
                <w:szCs w:val="21"/>
                <w:highlight w:val="none"/>
              </w:rPr>
              <w:t>按价格调整公式进行一次调整</w:t>
            </w:r>
          </w:p>
          <w:p>
            <w:pPr>
              <w:pStyle w:val="24"/>
              <w:pageBreakBefore w:val="0"/>
              <w:tabs>
                <w:tab w:val="clear" w:pos="4153"/>
                <w:tab w:val="clear" w:pos="8306"/>
              </w:tabs>
              <w:kinsoku/>
              <w:wordWrap w:val="0"/>
              <w:overflowPunct/>
              <w:bidi w:val="0"/>
              <w:spacing w:line="360" w:lineRule="atLeast"/>
              <w:ind w:firstLine="364" w:firstLineChars="114"/>
              <w:rPr>
                <w:rFonts w:hint="default" w:ascii="Times New Roman" w:hAnsi="Times New Roman" w:cs="Times New Roman"/>
                <w:color w:val="auto"/>
                <w:sz w:val="21"/>
                <w:szCs w:val="21"/>
                <w:highlight w:val="none"/>
              </w:rPr>
            </w:pPr>
            <w:r>
              <w:rPr>
                <w:rFonts w:hint="default" w:ascii="Times New Roman" w:hAnsi="Times New Roman" w:cs="Times New Roman"/>
                <w:color w:val="auto"/>
                <w:sz w:val="32"/>
                <w:highlight w:val="none"/>
              </w:rPr>
              <w:t>□</w:t>
            </w:r>
            <w:r>
              <w:rPr>
                <w:rFonts w:hint="default" w:ascii="Times New Roman" w:hAnsi="Times New Roman" w:cs="Times New Roman"/>
                <w:color w:val="auto"/>
                <w:sz w:val="21"/>
                <w:szCs w:val="21"/>
                <w:highlight w:val="none"/>
              </w:rPr>
              <w:t>合同期内不调价</w:t>
            </w:r>
            <w:r>
              <w:rPr>
                <w:rStyle w:val="45"/>
                <w:rFonts w:hint="default" w:ascii="Times New Roman" w:hAnsi="Times New Roman" w:cs="Times New Roman"/>
                <w:color w:val="auto"/>
                <w:sz w:val="21"/>
                <w:szCs w:val="21"/>
                <w:highlight w:val="none"/>
              </w:rPr>
              <w:footnoteReference w:id="71"/>
            </w:r>
            <w:r>
              <w:rPr>
                <w:rStyle w:val="45"/>
                <w:rFonts w:hint="default" w:ascii="Times New Roman" w:hAnsi="Times New Roman" w:cs="Times New Roman"/>
                <w:color w:val="auto"/>
                <w:sz w:val="21"/>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17.2.1（1）</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勘察设计费预付款金额：</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%勘察设计费</w:t>
            </w:r>
            <w:r>
              <w:rPr>
                <w:rStyle w:val="45"/>
                <w:rFonts w:hint="default" w:ascii="Times New Roman" w:hAnsi="Times New Roman" w:cs="Times New Roman"/>
                <w:color w:val="auto"/>
                <w:szCs w:val="21"/>
                <w:highlight w:val="none"/>
              </w:rPr>
              <w:footnoteReference w:id="7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17.2.1（2）</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开工预付款金额：</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w:t>
            </w:r>
            <w:r>
              <w:rPr>
                <w:rStyle w:val="45"/>
                <w:rFonts w:hint="default" w:ascii="Times New Roman" w:hAnsi="Times New Roman" w:cs="Times New Roman"/>
                <w:color w:val="auto"/>
                <w:szCs w:val="21"/>
                <w:highlight w:val="none"/>
              </w:rPr>
              <w:footnoteReference w:id="7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17.2.1（3）</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材料、设备预付款比例：</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等主要材料、设备单据所列费用的</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w:t>
            </w:r>
            <w:r>
              <w:rPr>
                <w:rStyle w:val="45"/>
                <w:rFonts w:hint="default" w:ascii="Times New Roman" w:hAnsi="Times New Roman" w:cs="Times New Roman"/>
                <w:color w:val="auto"/>
                <w:szCs w:val="21"/>
                <w:highlight w:val="none"/>
              </w:rPr>
              <w:t xml:space="preserve"> </w:t>
            </w:r>
            <w:r>
              <w:rPr>
                <w:rStyle w:val="45"/>
                <w:rFonts w:hint="default" w:ascii="Times New Roman" w:hAnsi="Times New Roman" w:cs="Times New Roman"/>
                <w:color w:val="auto"/>
                <w:szCs w:val="21"/>
                <w:highlight w:val="none"/>
              </w:rPr>
              <w:footnoteReference w:id="74"/>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18</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17.3.2</w:t>
            </w:r>
          </w:p>
        </w:tc>
        <w:tc>
          <w:tcPr>
            <w:tcW w:w="4038" w:type="pct"/>
            <w:vAlign w:val="center"/>
          </w:tcPr>
          <w:p>
            <w:pPr>
              <w:pageBreakBefore w:val="0"/>
              <w:kinsoku/>
              <w:wordWrap w:val="0"/>
              <w:overflowPunct/>
              <w:bidi w:val="0"/>
              <w:snapToGrid w:val="0"/>
              <w:spacing w:line="360" w:lineRule="atLeast"/>
              <w:ind w:firstLine="234" w:firstLineChars="114"/>
              <w:rPr>
                <w:rFonts w:hint="default" w:ascii="Times New Roman" w:hAnsi="Times New Roman" w:cs="Times New Roman"/>
                <w:color w:val="auto"/>
                <w:spacing w:val="-2"/>
                <w:szCs w:val="21"/>
                <w:highlight w:val="none"/>
              </w:rPr>
            </w:pPr>
            <w:r>
              <w:rPr>
                <w:rFonts w:hint="default" w:ascii="Times New Roman" w:hAnsi="Times New Roman" w:cs="Times New Roman"/>
                <w:color w:val="auto"/>
                <w:spacing w:val="-2"/>
                <w:szCs w:val="21"/>
                <w:highlight w:val="none"/>
              </w:rPr>
              <w:t>承包人在每个付款周期末向监理人提交进度付款申请单的份数：</w:t>
            </w:r>
            <w:r>
              <w:rPr>
                <w:rFonts w:hint="default" w:ascii="Times New Roman" w:hAnsi="Times New Roman" w:cs="Times New Roman"/>
                <w:color w:val="auto"/>
                <w:spacing w:val="-2"/>
                <w:szCs w:val="21"/>
                <w:highlight w:val="none"/>
                <w:u w:val="single"/>
              </w:rPr>
              <w:t xml:space="preserve">  </w:t>
            </w:r>
            <w:r>
              <w:rPr>
                <w:rFonts w:hint="default" w:ascii="Times New Roman" w:hAnsi="Times New Roman" w:cs="Times New Roman"/>
                <w:color w:val="auto"/>
                <w:spacing w:val="-2"/>
                <w:szCs w:val="21"/>
                <w:highlight w:val="none"/>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17.3.4（1）</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进度付款证书最低限额：</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%签约合同价或</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万元</w:t>
            </w:r>
            <w:r>
              <w:rPr>
                <w:rStyle w:val="45"/>
                <w:rFonts w:hint="default" w:ascii="Times New Roman" w:hAnsi="Times New Roman" w:cs="Times New Roman"/>
                <w:color w:val="auto"/>
                <w:szCs w:val="21"/>
                <w:highlight w:val="none"/>
              </w:rPr>
              <w:footnoteReference w:id="75"/>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17.3.4（2）</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逾期付款违约金的利率：</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‰/天</w:t>
            </w:r>
            <w:r>
              <w:rPr>
                <w:rStyle w:val="45"/>
                <w:rFonts w:hint="default" w:ascii="Times New Roman" w:hAnsi="Times New Roman" w:cs="Times New Roman"/>
                <w:color w:val="auto"/>
                <w:szCs w:val="21"/>
                <w:highlight w:val="none"/>
              </w:rPr>
              <w:footnoteReference w:id="76"/>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17.4.1</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质量保证金金额：</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%合同价格，若交工验收时承包人具备被招标项目所在地省级交通运输主管部门评定的最高信用等级，发包人给予</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%合同价格质量保证金的优惠。</w:t>
            </w:r>
            <w:r>
              <w:rPr>
                <w:rStyle w:val="45"/>
                <w:rFonts w:hint="default" w:ascii="Times New Roman" w:hAnsi="Times New Roman" w:cs="Times New Roman"/>
                <w:color w:val="auto"/>
                <w:szCs w:val="21"/>
                <w:highlight w:val="none"/>
              </w:rPr>
              <w:footnoteReference w:id="77"/>
            </w:r>
          </w:p>
          <w:p>
            <w:pPr>
              <w:pageBreakBefore w:val="0"/>
              <w:kinsoku/>
              <w:wordWrap w:val="0"/>
              <w:overflowPunct/>
              <w:bidi w:val="0"/>
              <w:snapToGrid w:val="0"/>
              <w:spacing w:line="360" w:lineRule="atLeast"/>
              <w:ind w:firstLine="239" w:firstLineChars="114"/>
              <w:rPr>
                <w:rFonts w:hint="default" w:ascii="Times New Roman" w:hAnsi="Times New Roman" w:eastAsia="宋体 ，Arial" w:cs="Times New Roman"/>
                <w:color w:val="auto"/>
                <w:kern w:val="0"/>
                <w:szCs w:val="21"/>
                <w:highlight w:val="none"/>
              </w:rPr>
            </w:pPr>
            <w:r>
              <w:rPr>
                <w:rFonts w:hint="default" w:ascii="Times New Roman" w:hAnsi="Times New Roman" w:cs="Times New Roman"/>
                <w:color w:val="auto"/>
                <w:szCs w:val="21"/>
                <w:highlight w:val="none"/>
              </w:rPr>
              <w:t>质量保证金是否</w:t>
            </w:r>
            <w:r>
              <w:rPr>
                <w:rFonts w:hint="default" w:ascii="Times New Roman" w:hAnsi="Times New Roman" w:eastAsia="宋体 ，Arial" w:cs="Times New Roman"/>
                <w:color w:val="auto"/>
                <w:kern w:val="0"/>
                <w:szCs w:val="21"/>
                <w:highlight w:val="none"/>
              </w:rPr>
              <w:t xml:space="preserve">计付利息：   </w:t>
            </w:r>
          </w:p>
          <w:p>
            <w:pPr>
              <w:pageBreakBefore w:val="0"/>
              <w:kinsoku/>
              <w:wordWrap w:val="0"/>
              <w:overflowPunct/>
              <w:bidi w:val="0"/>
              <w:snapToGrid w:val="0"/>
              <w:spacing w:line="360" w:lineRule="atLeast"/>
              <w:ind w:firstLine="364" w:firstLineChars="114"/>
              <w:rPr>
                <w:rFonts w:hint="default" w:ascii="Times New Roman" w:hAnsi="Times New Roman" w:eastAsia="宋体 ，Arial" w:cs="Times New Roman"/>
                <w:color w:val="auto"/>
                <w:kern w:val="0"/>
                <w:szCs w:val="21"/>
                <w:highlight w:val="none"/>
              </w:rPr>
            </w:pPr>
            <w:r>
              <w:rPr>
                <w:rFonts w:hint="default" w:ascii="Times New Roman" w:hAnsi="Times New Roman" w:cs="Times New Roman"/>
                <w:color w:val="auto"/>
                <w:sz w:val="32"/>
                <w:highlight w:val="none"/>
              </w:rPr>
              <w:t>□</w:t>
            </w:r>
            <w:r>
              <w:rPr>
                <w:rFonts w:hint="default" w:ascii="Times New Roman" w:hAnsi="Times New Roman" w:cs="Times New Roman"/>
                <w:color w:val="auto"/>
                <w:szCs w:val="21"/>
                <w:highlight w:val="none"/>
              </w:rPr>
              <w:t>是，</w:t>
            </w:r>
            <w:r>
              <w:rPr>
                <w:rFonts w:hint="default" w:ascii="Times New Roman" w:hAnsi="Times New Roman" w:eastAsia="宋体 ，Arial" w:cs="Times New Roman"/>
                <w:color w:val="auto"/>
                <w:kern w:val="0"/>
                <w:szCs w:val="21"/>
                <w:highlight w:val="none"/>
              </w:rPr>
              <w:t>利息的计算方式：</w:t>
            </w:r>
            <w:r>
              <w:rPr>
                <w:rFonts w:hint="default" w:ascii="Times New Roman" w:hAnsi="Times New Roman" w:eastAsia="宋体 ，Arial" w:cs="Times New Roman"/>
                <w:color w:val="auto"/>
                <w:kern w:val="0"/>
                <w:szCs w:val="21"/>
                <w:highlight w:val="none"/>
                <w:u w:val="single"/>
              </w:rPr>
              <w:t xml:space="preserve">              </w:t>
            </w:r>
          </w:p>
          <w:p>
            <w:pPr>
              <w:pageBreakBefore w:val="0"/>
              <w:kinsoku/>
              <w:wordWrap w:val="0"/>
              <w:overflowPunct/>
              <w:bidi w:val="0"/>
              <w:snapToGrid w:val="0"/>
              <w:spacing w:line="360" w:lineRule="atLeast"/>
              <w:ind w:firstLine="364" w:firstLineChars="114"/>
              <w:rPr>
                <w:rFonts w:hint="default" w:ascii="Times New Roman" w:hAnsi="Times New Roman" w:cs="Times New Roman"/>
                <w:color w:val="auto"/>
                <w:szCs w:val="21"/>
                <w:highlight w:val="none"/>
              </w:rPr>
            </w:pPr>
            <w:r>
              <w:rPr>
                <w:rFonts w:hint="default" w:ascii="Times New Roman" w:hAnsi="Times New Roman" w:cs="Times New Roman"/>
                <w:color w:val="auto"/>
                <w:sz w:val="32"/>
                <w:highlight w:val="none"/>
              </w:rPr>
              <w:t>□</w:t>
            </w:r>
            <w:r>
              <w:rPr>
                <w:rFonts w:hint="default" w:ascii="Times New Roman" w:hAnsi="Times New Roman" w:cs="Times New Roman"/>
                <w:color w:val="auto"/>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17.5.1（1）</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承包人向监理人提交交工付款申请单（包括相关证明材料）的份数：</w:t>
            </w:r>
          </w:p>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8" w:type="pct"/>
            <w:tcBorders>
              <w:bottom w:val="single" w:color="auto" w:sz="4" w:space="0"/>
            </w:tcBorders>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23</w:t>
            </w:r>
          </w:p>
        </w:tc>
        <w:tc>
          <w:tcPr>
            <w:tcW w:w="614" w:type="pct"/>
            <w:tcBorders>
              <w:bottom w:val="single" w:color="auto" w:sz="4" w:space="0"/>
            </w:tcBorders>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17.6.1（1）</w:t>
            </w:r>
          </w:p>
        </w:tc>
        <w:tc>
          <w:tcPr>
            <w:tcW w:w="4038" w:type="pct"/>
            <w:tcBorders>
              <w:bottom w:val="single" w:color="auto" w:sz="4" w:space="0"/>
            </w:tcBorders>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承包人向监理人提交最终结清申请单（包括相关证明材料）的份数：</w:t>
            </w:r>
          </w:p>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24</w:t>
            </w:r>
          </w:p>
        </w:tc>
        <w:tc>
          <w:tcPr>
            <w:tcW w:w="61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18.2（2）</w:t>
            </w:r>
          </w:p>
        </w:tc>
        <w:tc>
          <w:tcPr>
            <w:tcW w:w="40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竣工资料的份数：</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25</w:t>
            </w:r>
          </w:p>
        </w:tc>
        <w:tc>
          <w:tcPr>
            <w:tcW w:w="61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18.5.1</w:t>
            </w:r>
          </w:p>
        </w:tc>
        <w:tc>
          <w:tcPr>
            <w:tcW w:w="40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ind w:firstLine="239" w:firstLineChars="114"/>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单位工程或工程设备是否需投入施工期运行：</w:t>
            </w:r>
            <w:r>
              <w:rPr>
                <w:rFonts w:hint="default" w:ascii="Times New Roman" w:hAnsi="Times New Roman" w:cs="Times New Roman"/>
                <w:color w:val="auto"/>
                <w:szCs w:val="21"/>
                <w:highlight w:val="none"/>
                <w:u w:val="single"/>
              </w:rPr>
              <w:t xml:space="preserve"> 是或否 </w:t>
            </w:r>
          </w:p>
          <w:p>
            <w:pPr>
              <w:pageBreakBefore w:val="0"/>
              <w:kinsoku/>
              <w:wordWrap w:val="0"/>
              <w:overflowPunct/>
              <w:bidi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如单位工程或工程设备需要进行施工期运行，需要施工期运行的单位工程或工程设备规定如下：</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26</w:t>
            </w:r>
          </w:p>
        </w:tc>
        <w:tc>
          <w:tcPr>
            <w:tcW w:w="61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18.6.1</w:t>
            </w:r>
          </w:p>
        </w:tc>
        <w:tc>
          <w:tcPr>
            <w:tcW w:w="403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ind w:firstLine="239" w:firstLineChars="114"/>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本工程及工程设备是否进行试运行：</w:t>
            </w:r>
            <w:r>
              <w:rPr>
                <w:rFonts w:hint="default" w:ascii="Times New Roman" w:hAnsi="Times New Roman" w:cs="Times New Roman"/>
                <w:color w:val="auto"/>
                <w:szCs w:val="21"/>
                <w:highlight w:val="none"/>
                <w:u w:val="single"/>
              </w:rPr>
              <w:t xml:space="preserve"> 是或否 </w:t>
            </w:r>
          </w:p>
          <w:p>
            <w:pPr>
              <w:pageBreakBefore w:val="0"/>
              <w:kinsoku/>
              <w:wordWrap w:val="0"/>
              <w:overflowPunct/>
              <w:bidi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如本工程及工程设备需要进行试运行，试运行的具体规定如下：</w:t>
            </w:r>
            <w:r>
              <w:rPr>
                <w:rFonts w:hint="default" w:ascii="Times New Roman" w:hAnsi="Times New Roman" w:cs="Times New Roman"/>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27</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19.7（1）</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保修期：自实际交工日期起计算</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r>
              <w:rPr>
                <w:rStyle w:val="45"/>
                <w:rFonts w:hint="default" w:ascii="Times New Roman" w:hAnsi="Times New Roman" w:cs="Times New Roman"/>
                <w:color w:val="auto"/>
                <w:szCs w:val="21"/>
                <w:highlight w:val="none"/>
              </w:rPr>
              <w:footnoteReference w:id="7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28</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20.1</w:t>
            </w:r>
          </w:p>
        </w:tc>
        <w:tc>
          <w:tcPr>
            <w:tcW w:w="4038" w:type="pct"/>
            <w:vAlign w:val="center"/>
          </w:tcPr>
          <w:p>
            <w:pPr>
              <w:pageBreakBefore w:val="0"/>
              <w:kinsoku/>
              <w:wordWrap w:val="0"/>
              <w:overflowPunct/>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建筑工程一切险的保险费率：</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29</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20.4.2</w:t>
            </w:r>
          </w:p>
        </w:tc>
        <w:tc>
          <w:tcPr>
            <w:tcW w:w="4038" w:type="pct"/>
            <w:vAlign w:val="center"/>
          </w:tcPr>
          <w:p>
            <w:pPr>
              <w:pageBreakBefore w:val="0"/>
              <w:kinsoku/>
              <w:wordWrap w:val="0"/>
              <w:overflowPunct/>
              <w:bidi w:val="0"/>
              <w:snapToGrid w:val="0"/>
              <w:spacing w:line="360" w:lineRule="atLeast"/>
              <w:ind w:firstLine="237" w:firstLineChars="11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第三者责任险的最低投保金额：</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万元，事故次数不限（不计免赔额）</w:t>
            </w:r>
          </w:p>
          <w:p>
            <w:pPr>
              <w:pageBreakBefore w:val="0"/>
              <w:kinsoku/>
              <w:wordWrap w:val="0"/>
              <w:overflowPunct/>
              <w:bidi w:val="0"/>
              <w:snapToGrid w:val="0"/>
              <w:spacing w:line="360" w:lineRule="atLeast"/>
              <w:ind w:firstLine="237" w:firstLineChars="11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保险费率：</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w:t>
            </w:r>
          </w:p>
        </w:tc>
        <w:tc>
          <w:tcPr>
            <w:tcW w:w="614" w:type="pct"/>
            <w:vAlign w:val="center"/>
          </w:tcPr>
          <w:p>
            <w:pPr>
              <w:pageBreakBefore w:val="0"/>
              <w:kinsoku/>
              <w:wordWrap w:val="0"/>
              <w:overflowPunct/>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24.1</w:t>
            </w:r>
          </w:p>
        </w:tc>
        <w:tc>
          <w:tcPr>
            <w:tcW w:w="4038" w:type="pct"/>
            <w:vAlign w:val="center"/>
          </w:tcPr>
          <w:p>
            <w:pPr>
              <w:pageBreakBefore w:val="0"/>
              <w:kinsoku/>
              <w:wordWrap w:val="0"/>
              <w:overflowPunct/>
              <w:bidi w:val="0"/>
              <w:spacing w:line="360" w:lineRule="atLeast"/>
              <w:ind w:left="-17" w:leftChars="-8" w:firstLine="237" w:firstLineChars="11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争议的最终解决方式：</w:t>
            </w:r>
            <w:r>
              <w:rPr>
                <w:rFonts w:hint="default" w:ascii="Times New Roman" w:hAnsi="Times New Roman" w:cs="Times New Roman"/>
                <w:color w:val="auto"/>
                <w:szCs w:val="21"/>
                <w:highlight w:val="none"/>
                <w:u w:val="single"/>
              </w:rPr>
              <w:t xml:space="preserve">  仲裁或诉讼  </w:t>
            </w:r>
          </w:p>
          <w:p>
            <w:pPr>
              <w:pStyle w:val="24"/>
              <w:pageBreakBefore w:val="0"/>
              <w:tabs>
                <w:tab w:val="clear" w:pos="4153"/>
                <w:tab w:val="clear" w:pos="8306"/>
              </w:tabs>
              <w:kinsoku/>
              <w:wordWrap w:val="0"/>
              <w:overflowPunct/>
              <w:bidi w:val="0"/>
              <w:spacing w:line="360" w:lineRule="atLeast"/>
              <w:ind w:firstLine="237" w:firstLineChars="113"/>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如采用仲裁，仲裁委员会名称：</w:t>
            </w:r>
            <w:r>
              <w:rPr>
                <w:rFonts w:hint="default" w:ascii="Times New Roman" w:hAnsi="Times New Roman" w:cs="Times New Roman"/>
                <w:color w:val="auto"/>
                <w:sz w:val="21"/>
                <w:szCs w:val="21"/>
                <w:highlight w:val="none"/>
                <w:u w:val="single"/>
              </w:rPr>
              <w:t xml:space="preserve">                           </w:t>
            </w:r>
          </w:p>
        </w:tc>
      </w:tr>
    </w:tbl>
    <w:p>
      <w:pPr>
        <w:pageBreakBefore w:val="0"/>
        <w:kinsoku/>
        <w:wordWrap w:val="0"/>
        <w:overflowPunct/>
        <w:bidi w:val="0"/>
        <w:spacing w:line="380" w:lineRule="atLeast"/>
        <w:jc w:val="left"/>
        <w:rPr>
          <w:rFonts w:hint="default" w:ascii="Times New Roman" w:hAnsi="Times New Roman" w:eastAsia="黑体" w:cs="Times New Roman"/>
          <w:color w:val="auto"/>
          <w:sz w:val="20"/>
          <w:szCs w:val="20"/>
          <w:highlight w:val="none"/>
        </w:rPr>
      </w:pPr>
    </w:p>
    <w:p>
      <w:pPr>
        <w:pageBreakBefore w:val="0"/>
        <w:kinsoku/>
        <w:wordWrap w:val="0"/>
        <w:overflowPunct/>
        <w:bidi w:val="0"/>
        <w:spacing w:line="380" w:lineRule="atLeast"/>
        <w:jc w:val="lef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br w:type="page"/>
      </w: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32"/>
          <w:szCs w:val="32"/>
          <w:highlight w:val="none"/>
        </w:rPr>
      </w:pPr>
      <w:bookmarkStart w:id="2286" w:name="_Toc234833222"/>
      <w:bookmarkStart w:id="2287" w:name="_Toc23747835"/>
      <w:bookmarkStart w:id="2288" w:name="_Toc501257447"/>
      <w:r>
        <w:rPr>
          <w:rFonts w:hint="default" w:ascii="Times New Roman" w:hAnsi="Times New Roman" w:eastAsia="黑体" w:cs="Times New Roman"/>
          <w:b w:val="0"/>
          <w:color w:val="auto"/>
          <w:sz w:val="32"/>
          <w:szCs w:val="32"/>
          <w:highlight w:val="none"/>
        </w:rPr>
        <w:t>项目专用合同条款</w:t>
      </w:r>
      <w:bookmarkEnd w:id="2286"/>
      <w:bookmarkEnd w:id="2287"/>
      <w:bookmarkEnd w:id="2288"/>
      <w:r>
        <w:rPr>
          <w:rFonts w:hint="default" w:ascii="Times New Roman" w:hAnsi="Times New Roman" w:eastAsia="黑体" w:cs="Times New Roman"/>
          <w:b w:val="0"/>
          <w:color w:val="auto"/>
          <w:sz w:val="32"/>
          <w:szCs w:val="32"/>
          <w:highlight w:val="none"/>
          <w:vertAlign w:val="superscript"/>
        </w:rPr>
        <w:footnoteReference w:id="79"/>
      </w:r>
    </w:p>
    <w:p>
      <w:pPr>
        <w:pageBreakBefore w:val="0"/>
        <w:kinsoku/>
        <w:wordWrap w:val="0"/>
        <w:overflowPunct/>
        <w:bidi w:val="0"/>
        <w:rPr>
          <w:rFonts w:hint="default" w:ascii="Times New Roman" w:hAnsi="Times New Roman" w:cs="Times New Roman"/>
          <w:color w:val="auto"/>
          <w:highlight w:val="none"/>
        </w:rPr>
      </w:pPr>
    </w:p>
    <w:p>
      <w:pPr>
        <w:pStyle w:val="17"/>
        <w:pageBreakBefore w:val="0"/>
        <w:kinsoku/>
        <w:wordWrap w:val="0"/>
        <w:overflowPunct/>
        <w:bidi w:val="0"/>
        <w:snapToGrid w:val="0"/>
        <w:spacing w:after="0" w:line="400" w:lineRule="atLeast"/>
        <w:ind w:left="660" w:leftChars="0" w:hanging="660" w:hangingChars="275"/>
        <w:rPr>
          <w:rFonts w:hint="default" w:ascii="Times New Roman" w:hAnsi="Times New Roman" w:eastAsia="楷体_GB2312" w:cs="Times New Roman"/>
          <w:color w:val="auto"/>
          <w:sz w:val="24"/>
          <w:highlight w:val="none"/>
        </w:rPr>
      </w:pPr>
      <w:r>
        <w:rPr>
          <w:rFonts w:hint="default" w:ascii="Times New Roman" w:hAnsi="Times New Roman" w:eastAsia="黑体" w:cs="Times New Roman"/>
          <w:color w:val="auto"/>
          <w:sz w:val="24"/>
          <w:highlight w:val="none"/>
        </w:rPr>
        <w:t>说明：</w:t>
      </w:r>
      <w:r>
        <w:rPr>
          <w:rFonts w:hint="default" w:ascii="Times New Roman" w:hAnsi="Times New Roman" w:eastAsia="楷体_GB2312" w:cs="Times New Roman"/>
          <w:color w:val="auto"/>
          <w:sz w:val="24"/>
          <w:highlight w:val="none"/>
        </w:rPr>
        <w:t>本部分所列的项目专用合同条款是对</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中规定必须在项目专用合同条款中明确的内容的集中，招标人编制的</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不限于本部分所列内容。</w:t>
      </w:r>
    </w:p>
    <w:p>
      <w:pPr>
        <w:pStyle w:val="17"/>
        <w:pageBreakBefore w:val="0"/>
        <w:kinsoku/>
        <w:wordWrap w:val="0"/>
        <w:overflowPunct/>
        <w:bidi w:val="0"/>
        <w:snapToGrid w:val="0"/>
        <w:spacing w:after="0" w:line="400" w:lineRule="atLeast"/>
        <w:ind w:left="660" w:leftChars="0" w:hanging="660" w:hangingChars="275"/>
        <w:rPr>
          <w:rFonts w:hint="default" w:ascii="Times New Roman" w:hAnsi="Times New Roman" w:eastAsia="楷体_GB2312" w:cs="Times New Roman"/>
          <w:color w:val="auto"/>
          <w:sz w:val="24"/>
          <w:highlight w:val="none"/>
        </w:rPr>
      </w:pPr>
    </w:p>
    <w:p>
      <w:pPr>
        <w:keepNext/>
        <w:keepLines/>
        <w:pageBreakBefore w:val="0"/>
        <w:widowControl w:val="0"/>
        <w:kinsoku/>
        <w:wordWrap w:val="0"/>
        <w:overflowPunct/>
        <w:topLinePunct w:val="0"/>
        <w:autoSpaceDE/>
        <w:autoSpaceDN/>
        <w:bidi w:val="0"/>
        <w:adjustRightInd/>
        <w:snapToGrid/>
        <w:spacing w:before="240" w:after="240" w:line="380" w:lineRule="atLeast"/>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b w:val="0"/>
          <w:color w:val="auto"/>
          <w:sz w:val="24"/>
          <w:szCs w:val="24"/>
          <w:highlight w:val="none"/>
        </w:rPr>
        <w:t>2.8发包人风险</w:t>
      </w:r>
    </w:p>
    <w:p>
      <w:pPr>
        <w:pageBreakBefore w:val="0"/>
        <w:kinsoku/>
        <w:wordWrap w:val="0"/>
        <w:overflowPunct/>
        <w:autoSpaceDE/>
        <w:autoSpaceDN/>
        <w:bidi w:val="0"/>
        <w:spacing w:line="420" w:lineRule="atLeast"/>
        <w:ind w:firstLine="470" w:firstLineChars="196"/>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 xml:space="preserve">2.8.4 施工图勘察设计时发现的在初步设计阶段难以预见的滑坡、泥石流、突泥、涌水、溶洞、采空区、有毒气体等重大地质变化，其损失与处治费用的承担方式：  </w:t>
      </w:r>
    </w:p>
    <w:p>
      <w:pPr>
        <w:keepNext/>
        <w:keepLines/>
        <w:pageBreakBefore w:val="0"/>
        <w:widowControl w:val="0"/>
        <w:kinsoku/>
        <w:wordWrap w:val="0"/>
        <w:overflowPunct/>
        <w:topLinePunct w:val="0"/>
        <w:autoSpaceDE/>
        <w:autoSpaceDN/>
        <w:bidi w:val="0"/>
        <w:adjustRightInd/>
        <w:snapToGrid/>
        <w:spacing w:before="240" w:after="240" w:line="380" w:lineRule="atLeast"/>
        <w:textAlignment w:val="auto"/>
        <w:outlineLvl w:val="9"/>
        <w:rPr>
          <w:rFonts w:hint="default" w:ascii="Times New Roman" w:hAnsi="Times New Roman" w:eastAsia="黑体" w:cs="Times New Roman"/>
          <w:b w:val="0"/>
          <w:color w:val="auto"/>
          <w:sz w:val="24"/>
          <w:szCs w:val="24"/>
          <w:highlight w:val="none"/>
        </w:rPr>
      </w:pPr>
      <w:bookmarkStart w:id="2289" w:name="_Toc234833223"/>
      <w:bookmarkStart w:id="2290" w:name="_Toc23747836"/>
      <w:bookmarkStart w:id="2291" w:name="_Toc501257448"/>
      <w:r>
        <w:rPr>
          <w:rFonts w:hint="default" w:ascii="Times New Roman" w:hAnsi="Times New Roman" w:eastAsia="黑体" w:cs="Times New Roman"/>
          <w:b w:val="0"/>
          <w:color w:val="auto"/>
          <w:sz w:val="24"/>
          <w:szCs w:val="24"/>
          <w:highlight w:val="none"/>
        </w:rPr>
        <w:t>4.1 承包人的一般义务</w:t>
      </w:r>
      <w:bookmarkEnd w:id="2289"/>
      <w:bookmarkEnd w:id="2290"/>
      <w:bookmarkEnd w:id="2291"/>
    </w:p>
    <w:p>
      <w:pPr>
        <w:pageBreakBefore w:val="0"/>
        <w:kinsoku/>
        <w:wordWrap w:val="0"/>
        <w:overflowPunct/>
        <w:autoSpaceDE/>
        <w:autoSpaceDN/>
        <w:bidi w:val="0"/>
        <w:spacing w:line="400" w:lineRule="atLeast"/>
        <w:ind w:firstLine="470" w:firstLineChars="196"/>
        <w:textAlignment w:val="auto"/>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4.1.10 </w:t>
      </w:r>
      <w:r>
        <w:rPr>
          <w:rFonts w:hint="default" w:ascii="Times New Roman" w:hAnsi="Times New Roman" w:eastAsia="黑体" w:cs="Times New Roman"/>
          <w:color w:val="auto"/>
          <w:sz w:val="24"/>
          <w:highlight w:val="none"/>
        </w:rPr>
        <w:t>其他义务</w:t>
      </w:r>
    </w:p>
    <w:p>
      <w:pPr>
        <w:pageBreakBefore w:val="0"/>
        <w:kinsoku/>
        <w:wordWrap w:val="0"/>
        <w:overflowPunct/>
        <w:autoSpaceDE/>
        <w:autoSpaceDN/>
        <w:bidi w:val="0"/>
        <w:spacing w:line="400" w:lineRule="atLeast"/>
        <w:ind w:firstLine="39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4.1.10.13承包人应履行的其他义务：</w:t>
      </w:r>
      <w:r>
        <w:rPr>
          <w:rFonts w:hint="default" w:ascii="Times New Roman" w:hAnsi="Times New Roman" w:cs="Times New Roman"/>
          <w:color w:val="auto"/>
          <w:sz w:val="24"/>
          <w:highlight w:val="none"/>
          <w:u w:val="single"/>
        </w:rPr>
        <w:t xml:space="preserve">                       </w:t>
      </w:r>
    </w:p>
    <w:p>
      <w:pPr>
        <w:keepNext/>
        <w:keepLines/>
        <w:pageBreakBefore w:val="0"/>
        <w:widowControl w:val="0"/>
        <w:kinsoku/>
        <w:wordWrap w:val="0"/>
        <w:overflowPunct/>
        <w:topLinePunct w:val="0"/>
        <w:autoSpaceDE/>
        <w:autoSpaceDN/>
        <w:bidi w:val="0"/>
        <w:adjustRightInd/>
        <w:snapToGrid/>
        <w:spacing w:before="240" w:after="240" w:line="380" w:lineRule="atLeast"/>
        <w:textAlignment w:val="auto"/>
        <w:outlineLvl w:val="9"/>
        <w:rPr>
          <w:rFonts w:hint="eastAsia" w:eastAsia="黑体" w:cs="Times New Roman"/>
          <w:b w:val="0"/>
          <w:color w:val="auto"/>
          <w:sz w:val="24"/>
          <w:szCs w:val="24"/>
          <w:highlight w:val="none"/>
          <w:lang w:val="en-US" w:eastAsia="zh-CN"/>
        </w:rPr>
      </w:pPr>
      <w:bookmarkStart w:id="2292" w:name="_Toc501257449"/>
      <w:bookmarkStart w:id="2293" w:name="_Toc234833224"/>
      <w:bookmarkStart w:id="2294" w:name="_Toc23747837"/>
      <w:bookmarkStart w:id="2295" w:name="_Toc8234"/>
      <w:r>
        <w:rPr>
          <w:rFonts w:hint="eastAsia" w:eastAsia="黑体" w:cs="Times New Roman"/>
          <w:b w:val="0"/>
          <w:color w:val="auto"/>
          <w:sz w:val="24"/>
          <w:szCs w:val="24"/>
          <w:highlight w:val="none"/>
          <w:lang w:val="en-US" w:eastAsia="zh-CN"/>
        </w:rPr>
        <w:t xml:space="preserve">4.6 </w:t>
      </w:r>
      <w:r>
        <w:rPr>
          <w:rFonts w:hint="default" w:ascii="Times New Roman" w:hAnsi="Times New Roman" w:eastAsia="黑体" w:cs="Times New Roman"/>
          <w:b w:val="0"/>
          <w:color w:val="auto"/>
          <w:sz w:val="24"/>
          <w:szCs w:val="24"/>
          <w:highlight w:val="none"/>
        </w:rPr>
        <w:t>承包人</w:t>
      </w:r>
      <w:r>
        <w:rPr>
          <w:rFonts w:hint="eastAsia" w:eastAsia="黑体" w:cs="Times New Roman"/>
          <w:b w:val="0"/>
          <w:color w:val="auto"/>
          <w:sz w:val="24"/>
          <w:szCs w:val="24"/>
          <w:highlight w:val="none"/>
          <w:lang w:val="en-US" w:eastAsia="zh-CN"/>
        </w:rPr>
        <w:t>人员的管理</w:t>
      </w:r>
    </w:p>
    <w:p>
      <w:pPr>
        <w:pageBreakBefore w:val="0"/>
        <w:kinsoku/>
        <w:wordWrap w:val="0"/>
        <w:overflowPunct/>
        <w:autoSpaceDE/>
        <w:autoSpaceDN/>
        <w:bidi w:val="0"/>
        <w:spacing w:line="400" w:lineRule="atLeast"/>
        <w:ind w:firstLine="390"/>
        <w:textAlignment w:val="auto"/>
        <w:outlineLvl w:val="9"/>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 xml:space="preserve">4.6.7 </w:t>
      </w:r>
      <w:r>
        <w:rPr>
          <w:rFonts w:hint="default" w:ascii="Times New Roman" w:hAnsi="Times New Roman" w:cs="Times New Roman"/>
          <w:color w:val="auto"/>
          <w:sz w:val="24"/>
          <w:highlight w:val="none"/>
          <w:lang w:val="en-US" w:eastAsia="zh-CN"/>
        </w:rPr>
        <w:t>承包人</w:t>
      </w:r>
      <w:r>
        <w:rPr>
          <w:rFonts w:hint="eastAsia" w:cs="Times New Roman"/>
          <w:color w:val="auto"/>
          <w:sz w:val="24"/>
          <w:highlight w:val="none"/>
          <w:lang w:val="en-US" w:eastAsia="zh-CN"/>
        </w:rPr>
        <w:t>（总承包单位和分包单位）</w:t>
      </w:r>
      <w:r>
        <w:rPr>
          <w:rFonts w:hint="default" w:ascii="Times New Roman" w:hAnsi="Times New Roman" w:cs="Times New Roman"/>
          <w:color w:val="auto"/>
          <w:sz w:val="24"/>
          <w:highlight w:val="none"/>
          <w:lang w:val="en-US" w:eastAsia="zh-CN"/>
        </w:rPr>
        <w:t>应严格执行辽宁省交通运输厅关于印发《辽宁省公路工程施工现场主要人员履约监督管理办法》的通知（辽交公路规﹝2025﹞3号）中关于主要人员履约考核管理的规定</w:t>
      </w:r>
      <w:r>
        <w:rPr>
          <w:rFonts w:hint="eastAsia" w:cs="Times New Roman"/>
          <w:color w:val="auto"/>
          <w:sz w:val="24"/>
          <w:highlight w:val="none"/>
          <w:lang w:val="en-US" w:eastAsia="zh-CN"/>
        </w:rPr>
        <w:t>。</w:t>
      </w:r>
    </w:p>
    <w:p>
      <w:pPr>
        <w:keepNext/>
        <w:keepLines/>
        <w:pageBreakBefore w:val="0"/>
        <w:widowControl w:val="0"/>
        <w:kinsoku/>
        <w:wordWrap w:val="0"/>
        <w:overflowPunct/>
        <w:topLinePunct w:val="0"/>
        <w:autoSpaceDE/>
        <w:autoSpaceDN/>
        <w:bidi w:val="0"/>
        <w:adjustRightInd/>
        <w:snapToGrid/>
        <w:spacing w:before="240" w:after="240" w:line="38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4.11 不利物质条件</w:t>
      </w:r>
      <w:bookmarkEnd w:id="2292"/>
      <w:bookmarkEnd w:id="2293"/>
      <w:bookmarkEnd w:id="2294"/>
      <w:bookmarkEnd w:id="2295"/>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4.11.1 不利物质条件的范围：</w:t>
      </w:r>
      <w:r>
        <w:rPr>
          <w:rFonts w:hint="default" w:ascii="Times New Roman" w:hAnsi="Times New Roman" w:cs="Times New Roman"/>
          <w:color w:val="auto"/>
          <w:sz w:val="24"/>
          <w:highlight w:val="none"/>
          <w:u w:val="single"/>
        </w:rPr>
        <w:t xml:space="preserve">                       </w:t>
      </w:r>
    </w:p>
    <w:p>
      <w:pPr>
        <w:keepNext/>
        <w:keepLines/>
        <w:pageBreakBefore w:val="0"/>
        <w:widowControl w:val="0"/>
        <w:kinsoku/>
        <w:wordWrap w:val="0"/>
        <w:overflowPunct/>
        <w:topLinePunct w:val="0"/>
        <w:autoSpaceDE/>
        <w:autoSpaceDN/>
        <w:bidi w:val="0"/>
        <w:adjustRightInd/>
        <w:snapToGrid/>
        <w:spacing w:before="240" w:after="240" w:line="380" w:lineRule="atLeast"/>
        <w:textAlignment w:val="auto"/>
        <w:outlineLvl w:val="9"/>
        <w:rPr>
          <w:rFonts w:hint="default" w:ascii="Times New Roman" w:hAnsi="Times New Roman" w:eastAsia="黑体" w:cs="Times New Roman"/>
          <w:b w:val="0"/>
          <w:color w:val="auto"/>
          <w:sz w:val="24"/>
          <w:szCs w:val="24"/>
          <w:highlight w:val="none"/>
        </w:rPr>
      </w:pPr>
      <w:bookmarkStart w:id="2296" w:name="_Toc2223"/>
      <w:bookmarkStart w:id="2297" w:name="_Toc23747838"/>
      <w:bookmarkStart w:id="2298" w:name="_Toc234833225"/>
      <w:bookmarkStart w:id="2299" w:name="_Toc501257450"/>
      <w:r>
        <w:rPr>
          <w:rFonts w:hint="default" w:ascii="Times New Roman" w:hAnsi="Times New Roman" w:eastAsia="黑体" w:cs="Times New Roman"/>
          <w:b w:val="0"/>
          <w:color w:val="auto"/>
          <w:sz w:val="24"/>
          <w:szCs w:val="24"/>
          <w:highlight w:val="none"/>
        </w:rPr>
        <w:t>10.1 合同进度计划</w:t>
      </w:r>
      <w:bookmarkEnd w:id="2296"/>
      <w:bookmarkEnd w:id="2297"/>
      <w:bookmarkEnd w:id="2298"/>
      <w:bookmarkEnd w:id="2299"/>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承包人编制施工方案的内容：</w:t>
      </w:r>
      <w:r>
        <w:rPr>
          <w:rFonts w:hint="default" w:ascii="Times New Roman" w:hAnsi="Times New Roman" w:cs="Times New Roman"/>
          <w:color w:val="auto"/>
          <w:sz w:val="24"/>
          <w:highlight w:val="none"/>
          <w:u w:val="single"/>
        </w:rPr>
        <w:t xml:space="preserve">              </w:t>
      </w:r>
    </w:p>
    <w:p>
      <w:pPr>
        <w:keepNext/>
        <w:keepLines/>
        <w:pageBreakBefore w:val="0"/>
        <w:widowControl w:val="0"/>
        <w:kinsoku/>
        <w:wordWrap w:val="0"/>
        <w:overflowPunct/>
        <w:topLinePunct w:val="0"/>
        <w:autoSpaceDE/>
        <w:autoSpaceDN/>
        <w:bidi w:val="0"/>
        <w:adjustRightInd/>
        <w:snapToGrid/>
        <w:spacing w:before="240" w:after="240" w:line="380" w:lineRule="atLeast"/>
        <w:textAlignment w:val="auto"/>
        <w:outlineLvl w:val="9"/>
        <w:rPr>
          <w:rFonts w:hint="default" w:ascii="Times New Roman" w:hAnsi="Times New Roman" w:eastAsia="黑体" w:cs="Times New Roman"/>
          <w:b w:val="0"/>
          <w:color w:val="auto"/>
          <w:sz w:val="24"/>
          <w:szCs w:val="24"/>
          <w:highlight w:val="none"/>
        </w:rPr>
      </w:pPr>
      <w:bookmarkStart w:id="2300" w:name="_Toc234833226"/>
      <w:bookmarkStart w:id="2301" w:name="_Toc23747839"/>
      <w:bookmarkStart w:id="2302" w:name="_Toc501257451"/>
      <w:bookmarkStart w:id="2303" w:name="_Toc12964"/>
      <w:r>
        <w:rPr>
          <w:rFonts w:hint="default" w:ascii="Times New Roman" w:hAnsi="Times New Roman" w:eastAsia="黑体" w:cs="Times New Roman"/>
          <w:b w:val="0"/>
          <w:color w:val="auto"/>
          <w:sz w:val="24"/>
          <w:szCs w:val="24"/>
          <w:highlight w:val="none"/>
        </w:rPr>
        <w:t>11.4异常恶劣的气候条件</w:t>
      </w:r>
      <w:bookmarkEnd w:id="2300"/>
      <w:bookmarkEnd w:id="2301"/>
      <w:bookmarkEnd w:id="2302"/>
      <w:bookmarkEnd w:id="2303"/>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异常恶劣的气候条件的范围：</w:t>
      </w:r>
      <w:r>
        <w:rPr>
          <w:rFonts w:hint="default" w:ascii="Times New Roman" w:hAnsi="Times New Roman" w:cs="Times New Roman"/>
          <w:color w:val="auto"/>
          <w:sz w:val="24"/>
          <w:highlight w:val="none"/>
          <w:u w:val="single"/>
        </w:rPr>
        <w:t xml:space="preserve">              </w:t>
      </w:r>
    </w:p>
    <w:p>
      <w:pPr>
        <w:keepNext/>
        <w:keepLines/>
        <w:pageBreakBefore w:val="0"/>
        <w:widowControl w:val="0"/>
        <w:kinsoku/>
        <w:wordWrap w:val="0"/>
        <w:overflowPunct/>
        <w:topLinePunct w:val="0"/>
        <w:autoSpaceDE/>
        <w:autoSpaceDN/>
        <w:bidi w:val="0"/>
        <w:adjustRightInd/>
        <w:snapToGrid/>
        <w:spacing w:before="240" w:after="240" w:line="380" w:lineRule="atLeast"/>
        <w:textAlignment w:val="auto"/>
        <w:outlineLvl w:val="9"/>
        <w:rPr>
          <w:rFonts w:hint="default" w:ascii="Times New Roman" w:hAnsi="Times New Roman" w:eastAsia="黑体" w:cs="Times New Roman"/>
          <w:b w:val="0"/>
          <w:color w:val="auto"/>
          <w:sz w:val="24"/>
          <w:szCs w:val="24"/>
          <w:highlight w:val="none"/>
        </w:rPr>
      </w:pPr>
      <w:bookmarkStart w:id="2304" w:name="_Toc4012"/>
      <w:bookmarkStart w:id="2305" w:name="_Toc501257452"/>
      <w:bookmarkStart w:id="2306" w:name="_Toc234833227"/>
      <w:bookmarkStart w:id="2307" w:name="_Toc23747840"/>
      <w:r>
        <w:rPr>
          <w:rFonts w:hint="default" w:ascii="Times New Roman" w:hAnsi="Times New Roman" w:eastAsia="黑体" w:cs="Times New Roman"/>
          <w:b w:val="0"/>
          <w:color w:val="auto"/>
          <w:sz w:val="24"/>
          <w:szCs w:val="24"/>
          <w:highlight w:val="none"/>
        </w:rPr>
        <w:t>12.1 承包人暂停施工的责任</w:t>
      </w:r>
      <w:bookmarkEnd w:id="2304"/>
      <w:bookmarkEnd w:id="2305"/>
      <w:bookmarkEnd w:id="2306"/>
      <w:bookmarkEnd w:id="2307"/>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12.1 （6）由承包人承担的其他暂停施工：</w:t>
      </w:r>
      <w:r>
        <w:rPr>
          <w:rFonts w:hint="default" w:ascii="Times New Roman" w:hAnsi="Times New Roman" w:cs="Times New Roman"/>
          <w:color w:val="auto"/>
          <w:sz w:val="24"/>
          <w:highlight w:val="none"/>
          <w:u w:val="single"/>
        </w:rPr>
        <w:t xml:space="preserve">                       </w:t>
      </w:r>
    </w:p>
    <w:p>
      <w:pPr>
        <w:keepNext/>
        <w:keepLines/>
        <w:pageBreakBefore w:val="0"/>
        <w:widowControl w:val="0"/>
        <w:kinsoku/>
        <w:wordWrap w:val="0"/>
        <w:overflowPunct/>
        <w:topLinePunct w:val="0"/>
        <w:autoSpaceDE/>
        <w:autoSpaceDN/>
        <w:bidi w:val="0"/>
        <w:adjustRightInd/>
        <w:snapToGrid/>
        <w:spacing w:before="240" w:after="240" w:line="380" w:lineRule="atLeast"/>
        <w:textAlignment w:val="auto"/>
        <w:outlineLvl w:val="9"/>
        <w:rPr>
          <w:rFonts w:hint="default" w:ascii="Times New Roman" w:hAnsi="Times New Roman" w:eastAsia="黑体" w:cs="Times New Roman"/>
          <w:b w:val="0"/>
          <w:color w:val="auto"/>
          <w:sz w:val="24"/>
          <w:szCs w:val="24"/>
          <w:highlight w:val="none"/>
        </w:rPr>
      </w:pPr>
      <w:bookmarkStart w:id="2308" w:name="_Toc23747841"/>
      <w:bookmarkStart w:id="2309" w:name="_Toc6027"/>
      <w:r>
        <w:rPr>
          <w:rFonts w:hint="default" w:ascii="Times New Roman" w:hAnsi="Times New Roman" w:eastAsia="黑体" w:cs="Times New Roman"/>
          <w:b w:val="0"/>
          <w:color w:val="auto"/>
          <w:sz w:val="24"/>
          <w:szCs w:val="24"/>
          <w:highlight w:val="none"/>
        </w:rPr>
        <w:t>17.1 计量</w:t>
      </w:r>
      <w:bookmarkEnd w:id="2308"/>
      <w:bookmarkEnd w:id="2309"/>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17.1.5 本项目价格清单中总额价子目的支付原则和支付进度：</w:t>
      </w:r>
      <w:r>
        <w:rPr>
          <w:rFonts w:hint="default" w:ascii="Times New Roman" w:hAnsi="Times New Roman" w:cs="Times New Roman"/>
          <w:color w:val="auto"/>
          <w:sz w:val="24"/>
          <w:highlight w:val="none"/>
          <w:u w:val="single"/>
        </w:rPr>
        <w:t xml:space="preserve">            </w:t>
      </w:r>
    </w:p>
    <w:p>
      <w:pPr>
        <w:keepNext/>
        <w:keepLines/>
        <w:pageBreakBefore w:val="0"/>
        <w:widowControl w:val="0"/>
        <w:kinsoku/>
        <w:wordWrap w:val="0"/>
        <w:overflowPunct/>
        <w:topLinePunct w:val="0"/>
        <w:autoSpaceDE/>
        <w:autoSpaceDN/>
        <w:bidi w:val="0"/>
        <w:adjustRightInd/>
        <w:snapToGrid/>
        <w:spacing w:before="240" w:after="240" w:line="380" w:lineRule="atLeast"/>
        <w:textAlignment w:val="auto"/>
        <w:outlineLvl w:val="9"/>
        <w:rPr>
          <w:rFonts w:hint="default" w:ascii="Times New Roman" w:hAnsi="Times New Roman" w:eastAsia="黑体" w:cs="Times New Roman"/>
          <w:b w:val="0"/>
          <w:color w:val="auto"/>
          <w:sz w:val="24"/>
          <w:szCs w:val="24"/>
          <w:highlight w:val="none"/>
        </w:rPr>
      </w:pPr>
      <w:bookmarkStart w:id="2310" w:name="_Toc23747842"/>
      <w:bookmarkStart w:id="2311" w:name="_Toc501257453"/>
      <w:bookmarkStart w:id="2312" w:name="_Toc21495"/>
      <w:bookmarkStart w:id="2313" w:name="_Toc234833228"/>
      <w:r>
        <w:rPr>
          <w:rFonts w:hint="default" w:ascii="Times New Roman" w:hAnsi="Times New Roman" w:eastAsia="黑体" w:cs="Times New Roman"/>
          <w:b w:val="0"/>
          <w:color w:val="auto"/>
          <w:sz w:val="24"/>
          <w:szCs w:val="24"/>
          <w:highlight w:val="none"/>
        </w:rPr>
        <w:t>17.3 工程进度付款</w:t>
      </w:r>
      <w:bookmarkEnd w:id="2310"/>
      <w:bookmarkEnd w:id="2311"/>
      <w:bookmarkEnd w:id="2312"/>
    </w:p>
    <w:p>
      <w:pPr>
        <w:pageBreakBefore w:val="0"/>
        <w:kinsoku/>
        <w:wordWrap w:val="0"/>
        <w:overflowPunct/>
        <w:autoSpaceDE/>
        <w:autoSpaceDN/>
        <w:bidi w:val="0"/>
        <w:spacing w:line="420" w:lineRule="atLeast"/>
        <w:ind w:firstLine="470" w:firstLineChars="196"/>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17.3.2费用支付方式</w:t>
      </w:r>
    </w:p>
    <w:p>
      <w:pPr>
        <w:pageBreakBefore w:val="0"/>
        <w:kinsoku/>
        <w:wordWrap w:val="0"/>
        <w:overflowPunct/>
        <w:autoSpaceDE/>
        <w:autoSpaceDN/>
        <w:bidi w:val="0"/>
        <w:spacing w:line="420" w:lineRule="atLeast"/>
        <w:ind w:firstLine="470" w:firstLineChars="196"/>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17.3.2.1本项目施工图勘察设计费用支付阶段如下：</w:t>
      </w:r>
      <w:r>
        <w:rPr>
          <w:rFonts w:hint="default" w:ascii="Times New Roman" w:hAnsi="Times New Roman" w:cs="Times New Roman"/>
          <w:color w:val="auto"/>
          <w:sz w:val="24"/>
          <w:highlight w:val="none"/>
          <w:u w:val="single"/>
        </w:rPr>
        <w:t xml:space="preserve">             </w:t>
      </w:r>
    </w:p>
    <w:p>
      <w:pPr>
        <w:pageBreakBefore w:val="0"/>
        <w:kinsoku/>
        <w:wordWrap w:val="0"/>
        <w:overflowPunct/>
        <w:bidi w:val="0"/>
        <w:spacing w:line="420" w:lineRule="atLeast"/>
        <w:ind w:firstLine="470" w:firstLineChars="196"/>
        <w:rPr>
          <w:rFonts w:hint="default" w:ascii="Times New Roman" w:hAnsi="Times New Roman" w:cs="Times New Roman"/>
          <w:color w:val="auto"/>
          <w:sz w:val="24"/>
          <w:highlight w:val="none"/>
          <w:u w:val="single"/>
        </w:rPr>
      </w:pPr>
    </w:p>
    <w:p>
      <w:pPr>
        <w:pageBreakBefore w:val="0"/>
        <w:kinsoku/>
        <w:wordWrap w:val="0"/>
        <w:overflowPunct/>
        <w:autoSpaceDE/>
        <w:autoSpaceDN/>
        <w:bidi w:val="0"/>
        <w:spacing w:line="420" w:lineRule="atLeast"/>
        <w:ind w:firstLine="470" w:firstLineChars="196"/>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17.3.5 农民工工资保证金的缴存时间：</w:t>
      </w:r>
      <w:r>
        <w:rPr>
          <w:rFonts w:hint="default" w:ascii="Times New Roman" w:hAnsi="Times New Roman" w:cs="Times New Roman"/>
          <w:color w:val="auto"/>
          <w:sz w:val="24"/>
          <w:highlight w:val="none"/>
          <w:u w:val="single"/>
        </w:rPr>
        <w:t xml:space="preserve">                       </w:t>
      </w:r>
    </w:p>
    <w:p>
      <w:pPr>
        <w:pageBreakBefore w:val="0"/>
        <w:kinsoku/>
        <w:wordWrap w:val="0"/>
        <w:overflowPunct/>
        <w:autoSpaceDE/>
        <w:autoSpaceDN/>
        <w:bidi w:val="0"/>
        <w:spacing w:line="420" w:lineRule="atLeast"/>
        <w:ind w:firstLine="470" w:firstLineChars="196"/>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农民工工资保证金的缴存金额：</w:t>
      </w:r>
      <w:r>
        <w:rPr>
          <w:rFonts w:hint="default" w:ascii="Times New Roman" w:hAnsi="Times New Roman" w:cs="Times New Roman"/>
          <w:color w:val="auto"/>
          <w:sz w:val="24"/>
          <w:highlight w:val="none"/>
          <w:u w:val="single"/>
        </w:rPr>
        <w:t xml:space="preserve">                       </w:t>
      </w:r>
    </w:p>
    <w:p>
      <w:pPr>
        <w:pageBreakBefore w:val="0"/>
        <w:kinsoku/>
        <w:wordWrap w:val="0"/>
        <w:overflowPunct/>
        <w:autoSpaceDE/>
        <w:autoSpaceDN/>
        <w:bidi w:val="0"/>
        <w:spacing w:line="420" w:lineRule="atLeast"/>
        <w:ind w:firstLine="470" w:firstLineChars="196"/>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农民工工资保证金的扣留条件：</w:t>
      </w:r>
      <w:r>
        <w:rPr>
          <w:rFonts w:hint="default" w:ascii="Times New Roman" w:hAnsi="Times New Roman" w:cs="Times New Roman"/>
          <w:color w:val="auto"/>
          <w:sz w:val="24"/>
          <w:highlight w:val="none"/>
          <w:u w:val="single"/>
        </w:rPr>
        <w:t xml:space="preserve">                       </w:t>
      </w:r>
    </w:p>
    <w:p>
      <w:pPr>
        <w:pageBreakBefore w:val="0"/>
        <w:widowControl/>
        <w:kinsoku/>
        <w:wordWrap w:val="0"/>
        <w:overflowPunct/>
        <w:autoSpaceDE/>
        <w:autoSpaceDN/>
        <w:bidi w:val="0"/>
        <w:spacing w:line="420" w:lineRule="atLeast"/>
        <w:ind w:firstLine="480" w:firstLineChars="200"/>
        <w:textAlignment w:val="auto"/>
        <w:outlineLvl w:val="9"/>
        <w:rPr>
          <w:rFonts w:hint="default" w:ascii="Times New Roman" w:hAnsi="Times New Roman" w:eastAsia="黑体" w:cs="Times New Roman"/>
          <w:b/>
          <w:color w:val="auto"/>
          <w:sz w:val="24"/>
          <w:highlight w:val="none"/>
        </w:rPr>
      </w:pPr>
      <w:r>
        <w:rPr>
          <w:rFonts w:hint="default" w:ascii="Times New Roman" w:hAnsi="Times New Roman" w:cs="Times New Roman"/>
          <w:color w:val="auto"/>
          <w:sz w:val="24"/>
          <w:highlight w:val="none"/>
        </w:rPr>
        <w:t>农民工工资保证金的返还时间：</w:t>
      </w:r>
      <w:r>
        <w:rPr>
          <w:rFonts w:hint="default" w:ascii="Times New Roman" w:hAnsi="Times New Roman" w:cs="Times New Roman"/>
          <w:color w:val="auto"/>
          <w:sz w:val="24"/>
          <w:highlight w:val="none"/>
          <w:u w:val="single"/>
        </w:rPr>
        <w:t xml:space="preserve">                       </w:t>
      </w:r>
    </w:p>
    <w:p>
      <w:pPr>
        <w:keepNext/>
        <w:keepLines/>
        <w:pageBreakBefore w:val="0"/>
        <w:widowControl w:val="0"/>
        <w:kinsoku/>
        <w:wordWrap w:val="0"/>
        <w:overflowPunct/>
        <w:topLinePunct w:val="0"/>
        <w:autoSpaceDE/>
        <w:autoSpaceDN/>
        <w:bidi w:val="0"/>
        <w:adjustRightInd/>
        <w:snapToGrid/>
        <w:spacing w:before="240" w:after="240" w:line="380" w:lineRule="atLeast"/>
        <w:textAlignment w:val="auto"/>
        <w:outlineLvl w:val="9"/>
        <w:rPr>
          <w:rFonts w:hint="default" w:ascii="Times New Roman" w:hAnsi="Times New Roman" w:eastAsia="黑体" w:cs="Times New Roman"/>
          <w:b w:val="0"/>
          <w:color w:val="auto"/>
          <w:sz w:val="24"/>
          <w:szCs w:val="24"/>
          <w:highlight w:val="none"/>
        </w:rPr>
      </w:pPr>
      <w:bookmarkStart w:id="2314" w:name="_Toc20425"/>
      <w:bookmarkStart w:id="2315" w:name="_Toc501257454"/>
      <w:bookmarkStart w:id="2316" w:name="_Toc23747843"/>
      <w:r>
        <w:rPr>
          <w:rFonts w:hint="default" w:ascii="Times New Roman" w:hAnsi="Times New Roman" w:eastAsia="黑体" w:cs="Times New Roman"/>
          <w:b w:val="0"/>
          <w:color w:val="auto"/>
          <w:sz w:val="24"/>
          <w:szCs w:val="24"/>
          <w:highlight w:val="none"/>
        </w:rPr>
        <w:t>21.1 不可抗力的确认</w:t>
      </w:r>
      <w:bookmarkEnd w:id="2313"/>
      <w:bookmarkEnd w:id="2314"/>
      <w:bookmarkEnd w:id="2315"/>
      <w:bookmarkEnd w:id="2316"/>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21.1.1 （6）不可抗力的其他情形：</w:t>
      </w:r>
      <w:r>
        <w:rPr>
          <w:rFonts w:hint="default" w:ascii="Times New Roman" w:hAnsi="Times New Roman" w:cs="Times New Roman"/>
          <w:color w:val="auto"/>
          <w:sz w:val="24"/>
          <w:highlight w:val="none"/>
          <w:u w:val="single"/>
        </w:rPr>
        <w:t xml:space="preserve">                            </w:t>
      </w:r>
    </w:p>
    <w:p>
      <w:pPr>
        <w:keepNext/>
        <w:keepLines/>
        <w:pageBreakBefore w:val="0"/>
        <w:widowControl w:val="0"/>
        <w:kinsoku/>
        <w:wordWrap w:val="0"/>
        <w:overflowPunct/>
        <w:topLinePunct w:val="0"/>
        <w:autoSpaceDE/>
        <w:autoSpaceDN/>
        <w:bidi w:val="0"/>
        <w:adjustRightInd/>
        <w:snapToGrid/>
        <w:spacing w:before="240" w:after="240" w:line="380" w:lineRule="atLeast"/>
        <w:textAlignment w:val="auto"/>
        <w:outlineLvl w:val="9"/>
        <w:rPr>
          <w:rFonts w:hint="default" w:ascii="Times New Roman" w:hAnsi="Times New Roman" w:eastAsia="黑体" w:cs="Times New Roman"/>
          <w:b w:val="0"/>
          <w:color w:val="auto"/>
          <w:sz w:val="24"/>
          <w:szCs w:val="24"/>
          <w:highlight w:val="none"/>
        </w:rPr>
      </w:pPr>
      <w:bookmarkStart w:id="2317" w:name="_Toc234833229"/>
      <w:bookmarkStart w:id="2318" w:name="_Toc23747844"/>
      <w:bookmarkStart w:id="2319" w:name="_Toc392"/>
      <w:bookmarkStart w:id="2320" w:name="_Toc501257455"/>
      <w:r>
        <w:rPr>
          <w:rFonts w:hint="default" w:ascii="Times New Roman" w:hAnsi="Times New Roman" w:eastAsia="黑体" w:cs="Times New Roman"/>
          <w:b w:val="0"/>
          <w:color w:val="auto"/>
          <w:sz w:val="24"/>
          <w:szCs w:val="24"/>
          <w:highlight w:val="none"/>
        </w:rPr>
        <w:t>22.1 承包人违约</w:t>
      </w:r>
      <w:bookmarkEnd w:id="2317"/>
      <w:bookmarkEnd w:id="2318"/>
      <w:bookmarkEnd w:id="2319"/>
      <w:bookmarkEnd w:id="2320"/>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22.1.2 当承包人发生第22.1.1项约定的违约情况时，发包人有权向承包人课以违约金，具体约定如下：</w:t>
      </w:r>
      <w:r>
        <w:rPr>
          <w:rFonts w:hint="default" w:ascii="Times New Roman" w:hAnsi="Times New Roman" w:cs="Times New Roman"/>
          <w:color w:val="auto"/>
          <w:sz w:val="24"/>
          <w:highlight w:val="none"/>
          <w:u w:val="single"/>
        </w:rPr>
        <w:t xml:space="preserve">                               </w:t>
      </w:r>
    </w:p>
    <w:p>
      <w:pPr>
        <w:keepNext/>
        <w:keepLines/>
        <w:pageBreakBefore w:val="0"/>
        <w:widowControl w:val="0"/>
        <w:kinsoku/>
        <w:wordWrap w:val="0"/>
        <w:overflowPunct/>
        <w:topLinePunct w:val="0"/>
        <w:autoSpaceDE/>
        <w:autoSpaceDN/>
        <w:bidi w:val="0"/>
        <w:adjustRightInd/>
        <w:snapToGrid/>
        <w:spacing w:before="240" w:after="240" w:line="380" w:lineRule="atLeast"/>
        <w:textAlignment w:val="auto"/>
        <w:outlineLvl w:val="9"/>
        <w:rPr>
          <w:rFonts w:hint="default" w:ascii="Times New Roman" w:hAnsi="Times New Roman" w:eastAsia="黑体" w:cs="Times New Roman"/>
          <w:b w:val="0"/>
          <w:color w:val="auto"/>
          <w:sz w:val="24"/>
          <w:szCs w:val="24"/>
          <w:highlight w:val="none"/>
        </w:rPr>
      </w:pPr>
      <w:bookmarkStart w:id="2321" w:name="_Toc23747845"/>
      <w:bookmarkStart w:id="2322" w:name="_Toc501257456"/>
      <w:bookmarkStart w:id="2323" w:name="_Toc4952"/>
      <w:r>
        <w:rPr>
          <w:rFonts w:hint="default" w:ascii="Times New Roman" w:hAnsi="Times New Roman" w:eastAsia="黑体" w:cs="Times New Roman"/>
          <w:b w:val="0"/>
          <w:color w:val="auto"/>
          <w:sz w:val="24"/>
          <w:szCs w:val="24"/>
          <w:highlight w:val="none"/>
        </w:rPr>
        <w:t>22.2 发包人违约</w:t>
      </w:r>
      <w:bookmarkEnd w:id="2321"/>
      <w:bookmarkEnd w:id="2322"/>
      <w:bookmarkEnd w:id="2323"/>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22.2.2发包人无正当理由不按时返还履约保证金、质量保证金或农民工工资保证金的，发包人应向承包人支付的违约金如下：</w:t>
      </w:r>
      <w:r>
        <w:rPr>
          <w:rFonts w:hint="default" w:ascii="Times New Roman" w:hAnsi="Times New Roman" w:cs="Times New Roman"/>
          <w:color w:val="auto"/>
          <w:sz w:val="24"/>
          <w:highlight w:val="none"/>
          <w:u w:val="single"/>
        </w:rPr>
        <w:t xml:space="preserve">                               </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p>
      <w:pPr>
        <w:pageBreakBefore w:val="0"/>
        <w:kinsoku/>
        <w:wordWrap w:val="0"/>
        <w:overflowPunct/>
        <w:bidi w:val="0"/>
        <w:spacing w:line="380" w:lineRule="atLeas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4"/>
          <w:highlight w:val="none"/>
        </w:rPr>
        <w:br w:type="page"/>
      </w: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bookmarkStart w:id="2324" w:name="_Toc501257457"/>
      <w:bookmarkStart w:id="2325" w:name="_Toc23747846"/>
      <w:bookmarkStart w:id="2326" w:name="_Toc234833230"/>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p>
    <w:p>
      <w:pPr>
        <w:keepNext/>
        <w:keepLines/>
        <w:pageBreakBefore w:val="0"/>
        <w:widowControl w:val="0"/>
        <w:kinsoku/>
        <w:wordWrap w:val="0"/>
        <w:overflowPunct/>
        <w:topLinePunct w:val="0"/>
        <w:autoSpaceDE/>
        <w:autoSpaceDN/>
        <w:bidi w:val="0"/>
        <w:adjustRightInd/>
        <w:snapToGrid/>
        <w:spacing w:before="240" w:after="240" w:line="380" w:lineRule="atLeast"/>
        <w:jc w:val="center"/>
        <w:textAlignment w:val="auto"/>
        <w:outlineLvl w:val="9"/>
        <w:rPr>
          <w:rFonts w:hint="default" w:ascii="Times New Roman" w:hAnsi="Times New Roman" w:eastAsia="黑体" w:cs="Times New Roman"/>
          <w:b w:val="0"/>
          <w:color w:val="auto"/>
          <w:sz w:val="42"/>
          <w:szCs w:val="42"/>
          <w:highlight w:val="none"/>
        </w:rPr>
      </w:pPr>
    </w:p>
    <w:p>
      <w:pPr>
        <w:pStyle w:val="2"/>
        <w:pageBreakBefore w:val="0"/>
        <w:kinsoku/>
        <w:wordWrap w:val="0"/>
        <w:overflowPunct/>
        <w:bidi w:val="0"/>
        <w:spacing w:before="240" w:after="240" w:line="380" w:lineRule="atLeast"/>
        <w:jc w:val="center"/>
        <w:outlineLvl w:val="1"/>
        <w:rPr>
          <w:rFonts w:hint="default" w:ascii="Times New Roman" w:hAnsi="Times New Roman" w:eastAsia="黑体" w:cs="Times New Roman"/>
          <w:b w:val="0"/>
          <w:color w:val="auto"/>
          <w:sz w:val="42"/>
          <w:szCs w:val="42"/>
          <w:highlight w:val="none"/>
        </w:rPr>
      </w:pPr>
      <w:bookmarkStart w:id="2327" w:name="_Toc23986"/>
      <w:bookmarkStart w:id="2328" w:name="_Toc28483"/>
      <w:bookmarkStart w:id="2329" w:name="_Toc2170"/>
      <w:r>
        <w:rPr>
          <w:rFonts w:hint="default" w:ascii="Times New Roman" w:hAnsi="Times New Roman" w:eastAsia="黑体" w:cs="Times New Roman"/>
          <w:b w:val="0"/>
          <w:color w:val="auto"/>
          <w:sz w:val="42"/>
          <w:szCs w:val="42"/>
          <w:highlight w:val="none"/>
        </w:rPr>
        <w:t>第三节  合同附件格式</w:t>
      </w:r>
      <w:bookmarkEnd w:id="2324"/>
      <w:bookmarkEnd w:id="2325"/>
      <w:bookmarkEnd w:id="2326"/>
      <w:bookmarkEnd w:id="2327"/>
      <w:bookmarkEnd w:id="2328"/>
      <w:bookmarkEnd w:id="2329"/>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0"/>
          <w:szCs w:val="20"/>
          <w:highlight w:val="none"/>
        </w:rPr>
        <w:br w:type="page"/>
      </w:r>
      <w:bookmarkStart w:id="2330" w:name="_Toc501257458"/>
      <w:bookmarkStart w:id="2331" w:name="_Toc234833231"/>
      <w:bookmarkStart w:id="2332" w:name="_Toc23747847"/>
      <w:r>
        <w:rPr>
          <w:rFonts w:hint="default" w:ascii="Times New Roman" w:hAnsi="Times New Roman" w:eastAsia="黑体" w:cs="Times New Roman"/>
          <w:b w:val="0"/>
          <w:color w:val="auto"/>
          <w:sz w:val="24"/>
          <w:szCs w:val="24"/>
          <w:highlight w:val="none"/>
        </w:rPr>
        <w:t>附件一 合同协议书</w:t>
      </w:r>
      <w:bookmarkEnd w:id="2330"/>
      <w:bookmarkEnd w:id="2331"/>
      <w:bookmarkEnd w:id="2332"/>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合 同 协 议 书</w:t>
      </w:r>
    </w:p>
    <w:p>
      <w:pPr>
        <w:pageBreakBefore w:val="0"/>
        <w:kinsoku/>
        <w:wordWrap w:val="0"/>
        <w:overflowPunct/>
        <w:bidi w:val="0"/>
        <w:spacing w:line="440" w:lineRule="exact"/>
        <w:ind w:firstLine="480" w:firstLineChars="200"/>
        <w:rPr>
          <w:rFonts w:hint="default" w:ascii="Times New Roman" w:hAnsi="Times New Roman" w:cs="Times New Roman"/>
          <w:color w:val="auto"/>
          <w:sz w:val="24"/>
          <w:highlight w:val="none"/>
          <w:u w:val="single"/>
        </w:rPr>
      </w:pPr>
    </w:p>
    <w:p>
      <w:pPr>
        <w:pageBreakBefore w:val="0"/>
        <w:kinsoku/>
        <w:wordWrap w:val="0"/>
        <w:overflowPunct/>
        <w:autoSpaceDE/>
        <w:autoSpaceDN/>
        <w:bidi w:val="0"/>
        <w:spacing w:line="44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）为实施</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（项目名称），已接受</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（承包人名称，以下简称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承包人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）对该项目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标段设计施工总承包的投标。发包人和承包人共同达成如下协议。</w:t>
      </w:r>
    </w:p>
    <w:p>
      <w:pPr>
        <w:pageBreakBefore w:val="0"/>
        <w:kinsoku/>
        <w:wordWrap w:val="0"/>
        <w:overflowPunct/>
        <w:autoSpaceDE/>
        <w:autoSpaceDN/>
        <w:bidi w:val="0"/>
        <w:spacing w:line="440" w:lineRule="exac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标段由K</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至K</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，长约</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km，公路等级为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，设计速度为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路面，有</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立交</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处；特大桥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m；大中桥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m；隧道</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m以及其他构造物工程等。</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下列文件应视为构成合同文件的组成部分：</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（1）本协议书及各种合同附件（含评标期间和合同谈判过程中的澄清文件和补充资料）；</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（2）中标通知书；</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（3）投标函及投标函附录；</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（4）项目专用合同条款；</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（5）公路工程专用合同条款；</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（6）通用合同条款；</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（7）发包人要求；</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（8）承包人建议书； </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（9）价格清单；</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（10）其他合同文件。</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上述合同文件互相补充和解释。如果合同文件之间存在矛盾或不一致之处，以上述文件的排列顺序在先者为准。</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根据价格清单所列的预计数量和单价或总额价计算的签约合同价：人民币（大写）________元（¥________）。</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4. 承包人项目负责人：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。承包人设计负责人：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。承包人施工负责人：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工程质量符合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标准。工程安全目标：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承包人承诺按合同约定承担工程的实施、完成及缺陷修复。</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 发包人承诺按合同约定的条件、时间和方式向承包人支付合同价款。</w:t>
      </w:r>
    </w:p>
    <w:p>
      <w:pPr>
        <w:pageBreakBefore w:val="0"/>
        <w:kinsoku/>
        <w:wordWrap w:val="0"/>
        <w:overflowPunct/>
        <w:autoSpaceDE/>
        <w:autoSpaceDN/>
        <w:bidi w:val="0"/>
        <w:spacing w:line="440" w:lineRule="exact"/>
        <w:ind w:right="34" w:rightChars="16"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 承包人应按照监理人指示开工，工期为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日历天。</w:t>
      </w:r>
    </w:p>
    <w:p>
      <w:pPr>
        <w:pageBreakBefore w:val="0"/>
        <w:kinsoku/>
        <w:wordWrap w:val="0"/>
        <w:overflowPunct/>
        <w:autoSpaceDE/>
        <w:autoSpaceDN/>
        <w:bidi w:val="0"/>
        <w:spacing w:line="440" w:lineRule="exac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 本协议书在承包人提供履约保证金后，由双方法定代表人或其委托代理人签署并加盖单位章后生效。全部工程完工后经交工验收合格、缺陷责任期满签发缺陷责任终止证书后失效。</w:t>
      </w:r>
    </w:p>
    <w:p>
      <w:pPr>
        <w:pageBreakBefore w:val="0"/>
        <w:kinsoku/>
        <w:wordWrap w:val="0"/>
        <w:overflowPunct/>
        <w:autoSpaceDE/>
        <w:autoSpaceDN/>
        <w:bidi w:val="0"/>
        <w:spacing w:line="440" w:lineRule="exac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 本协议书正本二份、副本____份，合同双方各执正本一份，副本____份，当正本与副本的内容不一致时，以正本为准。</w:t>
      </w:r>
    </w:p>
    <w:p>
      <w:pPr>
        <w:pageBreakBefore w:val="0"/>
        <w:kinsoku/>
        <w:wordWrap w:val="0"/>
        <w:overflowPunct/>
        <w:autoSpaceDE/>
        <w:autoSpaceDN/>
        <w:bidi w:val="0"/>
        <w:spacing w:line="440" w:lineRule="exac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 合同未尽事宜，双方另行签订补充协议。补充协议是合同的组成部分。</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     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  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pPr>
        <w:pageBreakBefore w:val="0"/>
        <w:kinsoku/>
        <w:wordWrap w:val="0"/>
        <w:overflowPunct/>
        <w:autoSpaceDE/>
        <w:autoSpaceDN/>
        <w:bidi w:val="0"/>
        <w:spacing w:line="440" w:lineRule="exact"/>
        <w:ind w:firstLine="840" w:firstLineChars="35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日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p>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b w:val="0"/>
          <w:color w:val="auto"/>
          <w:sz w:val="24"/>
          <w:szCs w:val="24"/>
          <w:highlight w:val="none"/>
          <w:lang w:val="en-US"/>
        </w:rPr>
      </w:pPr>
      <w:r>
        <w:rPr>
          <w:rFonts w:hint="default" w:ascii="Times New Roman" w:hAnsi="Times New Roman" w:eastAsia="黑体" w:cs="Times New Roman"/>
          <w:color w:val="auto"/>
          <w:sz w:val="24"/>
          <w:highlight w:val="none"/>
          <w:lang w:val="en-US"/>
        </w:rPr>
        <w:br w:type="page"/>
      </w:r>
      <w:bookmarkStart w:id="2333" w:name="_Toc501257459"/>
      <w:bookmarkStart w:id="2334" w:name="_Toc23747848"/>
      <w:bookmarkStart w:id="2335" w:name="_Toc234833232"/>
      <w:r>
        <w:rPr>
          <w:rFonts w:hint="default" w:ascii="Times New Roman" w:hAnsi="Times New Roman" w:eastAsia="黑体" w:cs="Times New Roman"/>
          <w:b w:val="0"/>
          <w:color w:val="auto"/>
          <w:sz w:val="24"/>
          <w:szCs w:val="24"/>
          <w:highlight w:val="none"/>
        </w:rPr>
        <w:t>附件二</w:t>
      </w:r>
      <w:r>
        <w:rPr>
          <w:rFonts w:hint="default" w:ascii="Times New Roman" w:hAnsi="Times New Roman" w:eastAsia="黑体" w:cs="Times New Roman"/>
          <w:b w:val="0"/>
          <w:color w:val="auto"/>
          <w:sz w:val="24"/>
          <w:szCs w:val="24"/>
          <w:highlight w:val="none"/>
          <w:lang w:val="en-US"/>
        </w:rPr>
        <w:t xml:space="preserve"> </w:t>
      </w:r>
      <w:r>
        <w:rPr>
          <w:rFonts w:hint="default" w:ascii="Times New Roman" w:hAnsi="Times New Roman" w:eastAsia="黑体" w:cs="Times New Roman"/>
          <w:b w:val="0"/>
          <w:color w:val="auto"/>
          <w:sz w:val="24"/>
          <w:szCs w:val="24"/>
          <w:highlight w:val="none"/>
        </w:rPr>
        <w:t>廉政合同</w:t>
      </w:r>
      <w:bookmarkEnd w:id="2333"/>
      <w:bookmarkEnd w:id="2334"/>
      <w:bookmarkEnd w:id="2335"/>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廉 政 合 同</w:t>
      </w:r>
    </w:p>
    <w:p>
      <w:pPr>
        <w:pageBreakBefore w:val="0"/>
        <w:kinsoku/>
        <w:wordWrap w:val="0"/>
        <w:overflowPunct/>
        <w:bidi w:val="0"/>
        <w:spacing w:line="400" w:lineRule="atLeast"/>
        <w:rPr>
          <w:rFonts w:hint="default" w:ascii="Times New Roman" w:hAnsi="Times New Roman" w:eastAsia="黑体" w:cs="Times New Roman"/>
          <w:b/>
          <w:color w:val="auto"/>
          <w:spacing w:val="30"/>
          <w:sz w:val="24"/>
          <w:highlight w:val="none"/>
        </w:rPr>
      </w:pP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（项目名称）的项目法人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（项目法人名称，以下简称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）与该项目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标段的施工单位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（施工单位名称，以下简称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承包人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），特订立如下合同。</w:t>
      </w:r>
    </w:p>
    <w:p>
      <w:pPr>
        <w:pageBreakBefore w:val="0"/>
        <w:kinsoku/>
        <w:wordWrap w:val="0"/>
        <w:overflowPunct/>
        <w:bidi w:val="0"/>
        <w:spacing w:line="400" w:lineRule="atLeast"/>
        <w:ind w:firstLine="616" w:firstLineChars="257"/>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 发包人和承包人双方的权利和义务</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（1）严格遵守党的政策规定和国家有关法律法规及交通运输部的有关规定。</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（2）严格执行</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标段设计施工总承包合同文件，自觉按合同办事。</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（3）双方的业务活动坚持公开、公正、诚信、透明的原则（法律认定的商业秘密和合同文件另有规定除外），不得损害国家和集体利益，不得违反工程建设管理规章制度。</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（4）建立健全廉政制度，开展廉政教育，设立廉政告示牌，公布举报电话，监督并认真查处违法违纪行为。</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（5）发现对方在业务活动中有违反廉政规定的行为，有及时提醒对方纠正的权利和义务。</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（6）发现对方严重违反本合同义务条款的行为，有向其上级有关部门举报、建议给予处理并要求告知处理结果的权利。</w:t>
      </w:r>
    </w:p>
    <w:p>
      <w:pPr>
        <w:pageBreakBefore w:val="0"/>
        <w:kinsoku/>
        <w:wordWrap w:val="0"/>
        <w:overflowPunct/>
        <w:bidi w:val="0"/>
        <w:spacing w:line="400" w:lineRule="atLeast"/>
        <w:ind w:firstLine="616" w:firstLineChars="257"/>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 发包人的义务</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（1）发包人及其工作人员不得索要或接受承包人的礼金、有价证券和贵重物品，不得让承包人报销任何应由发包人或发包人工作人员个人支付的费用等。</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（2）发包人工作人员不得参加承包人安排的超标准宴请和娱乐活动；不得接受承包人提供的通信工具、交通工具和高档办公用品等。</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（3）发包人及其工作人员不得要求或者接受承包人为其住房装修、婚丧嫁娶活动、配偶子女的工作安排以及出国出境、旅游等提供方便等。</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（4）发包人工作人员及其配偶、子女不得从事与发包人工程有关的材料设备供应、工程分包、劳务等经济活动等。</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（5）发包人及其工作人员不得以任何理由向承包人推荐分包单位或推销材料，不得要求承包人购买合同规定外的材料和设备。</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（6）发包人工作人员要秉公办事，不准营私舞弊，不准利用职权从事各种个人有偿中介活动和安排个人施工队伍。</w:t>
      </w:r>
    </w:p>
    <w:p>
      <w:pPr>
        <w:pageBreakBefore w:val="0"/>
        <w:kinsoku/>
        <w:wordWrap w:val="0"/>
        <w:overflowPunct/>
        <w:bidi w:val="0"/>
        <w:spacing w:line="400" w:lineRule="atLeast"/>
        <w:ind w:firstLine="616" w:firstLineChars="257"/>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3. 承包人的义务</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（1）承包人不得以任何理由向发包人及其工作人员行贿或馈赠礼金、有价证券、贵重礼品。</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（2）承包人不得以任何名义为发包人及其工作人员报销应由发包人单位或个人支付的任何费用。</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（3）承包人不得以任何理由安排发包人工作人员参加超标准宴请及娱乐活动。</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（4）承包人不得为发包人单位和个人购置或提供通信工具、交通工具和高档办公用品等。</w:t>
      </w:r>
    </w:p>
    <w:p>
      <w:pPr>
        <w:pageBreakBefore w:val="0"/>
        <w:kinsoku/>
        <w:wordWrap w:val="0"/>
        <w:overflowPunct/>
        <w:bidi w:val="0"/>
        <w:spacing w:line="400" w:lineRule="atLeast"/>
        <w:ind w:firstLine="616" w:firstLineChars="257"/>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4. 违约责任</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（1）发包人及其工作人员违反本合同第1、2条，按管理权限，依据有关规定给予党纪、政纪或组织处理；涉嫌犯罪的，移交司法机关追究刑事责任；给承包人单位造成经济损失的，应予以赔偿。</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及其工作人员违反本合同第1、3条，按管理权限，依据有关规定给予党纪、政纪或组织处理；给发包人单位造成经济损失的，应予以赔偿；情节严重的，发包人建议交通运输主管部门给予承包人一至三年内不得进入其主管的公路建设市场的处罚。</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5.</w:t>
      </w:r>
      <w:r>
        <w:rPr>
          <w:rFonts w:hint="default" w:ascii="Times New Roman" w:hAnsi="Times New Roman" w:cs="Times New Roman"/>
          <w:color w:val="auto"/>
          <w:sz w:val="24"/>
          <w:highlight w:val="none"/>
        </w:rPr>
        <w:t xml:space="preserve"> 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 xml:space="preserve">6. </w:t>
      </w:r>
      <w:r>
        <w:rPr>
          <w:rFonts w:hint="default" w:ascii="Times New Roman" w:hAnsi="Times New Roman" w:cs="Times New Roman"/>
          <w:color w:val="auto"/>
          <w:sz w:val="24"/>
          <w:highlight w:val="none"/>
        </w:rPr>
        <w:t>本合同有效期为发包人和承包人签署之日起至该工程项目竣工验收后止。</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 xml:space="preserve">7. </w:t>
      </w:r>
      <w:r>
        <w:rPr>
          <w:rFonts w:hint="default" w:ascii="Times New Roman" w:hAnsi="Times New Roman" w:cs="Times New Roman"/>
          <w:color w:val="auto"/>
          <w:sz w:val="24"/>
          <w:highlight w:val="none"/>
        </w:rPr>
        <w:t>本合同作为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标段施工合同的附件，与工程施工合同具有同等的法律效力，经合同双方签署后立即生效。</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8.</w:t>
      </w:r>
      <w:r>
        <w:rPr>
          <w:rFonts w:hint="default" w:ascii="Times New Roman" w:hAnsi="Times New Roman" w:cs="Times New Roman"/>
          <w:color w:val="auto"/>
          <w:sz w:val="24"/>
          <w:highlight w:val="none"/>
        </w:rPr>
        <w:t xml:space="preserve"> 本合同一式四份，由发包人和承包人各执一份，送交发包人和承包人的监督单位各一份。</w:t>
      </w:r>
    </w:p>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     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  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pPr>
        <w:pageBreakBefore w:val="0"/>
        <w:kinsoku/>
        <w:wordWrap w:val="0"/>
        <w:overflowPunct/>
        <w:autoSpaceDE/>
        <w:autoSpaceDN/>
        <w:bidi w:val="0"/>
        <w:spacing w:line="440" w:lineRule="exact"/>
        <w:ind w:firstLine="840" w:firstLineChars="35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日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autoSpaceDE/>
        <w:autoSpaceDN/>
        <w:bidi w:val="0"/>
        <w:spacing w:line="440" w:lineRule="exact"/>
        <w:ind w:firstLine="360" w:firstLineChars="150"/>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发包人监督单位：</w:t>
      </w:r>
      <w:r>
        <w:rPr>
          <w:rFonts w:hint="default" w:ascii="Times New Roman" w:hAnsi="Times New Roman" w:cs="Times New Roman"/>
          <w:color w:val="auto"/>
          <w:sz w:val="24"/>
          <w:highlight w:val="none"/>
          <w:u w:val="single"/>
        </w:rPr>
        <w:t>（全称）（盖单位章）</w:t>
      </w:r>
      <w:r>
        <w:rPr>
          <w:rFonts w:hint="default" w:ascii="Times New Roman" w:hAnsi="Times New Roman" w:cs="Times New Roman"/>
          <w:color w:val="auto"/>
          <w:sz w:val="24"/>
          <w:highlight w:val="none"/>
        </w:rPr>
        <w:t xml:space="preserve">     承包人监督单位：</w:t>
      </w:r>
      <w:r>
        <w:rPr>
          <w:rFonts w:hint="default" w:ascii="Times New Roman" w:hAnsi="Times New Roman" w:cs="Times New Roman"/>
          <w:color w:val="auto"/>
          <w:sz w:val="24"/>
          <w:highlight w:val="none"/>
          <w:u w:val="single"/>
        </w:rPr>
        <w:t>（全称）（盖单位章）</w:t>
      </w:r>
    </w:p>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4"/>
          <w:highlight w:val="none"/>
        </w:rPr>
        <w:br w:type="page"/>
      </w:r>
      <w:bookmarkStart w:id="2336" w:name="_Toc23747849"/>
      <w:bookmarkStart w:id="2337" w:name="_Toc501257460"/>
      <w:bookmarkStart w:id="2338" w:name="_Toc234833233"/>
      <w:r>
        <w:rPr>
          <w:rFonts w:hint="default" w:ascii="Times New Roman" w:hAnsi="Times New Roman" w:eastAsia="黑体" w:cs="Times New Roman"/>
          <w:b w:val="0"/>
          <w:color w:val="auto"/>
          <w:sz w:val="24"/>
          <w:szCs w:val="24"/>
          <w:highlight w:val="none"/>
        </w:rPr>
        <w:t>附件三 安全生产合同</w:t>
      </w:r>
      <w:bookmarkEnd w:id="2336"/>
      <w:bookmarkEnd w:id="2337"/>
      <w:bookmarkEnd w:id="2338"/>
    </w:p>
    <w:p>
      <w:pPr>
        <w:pageBreakBefore w:val="0"/>
        <w:kinsoku/>
        <w:wordWrap w:val="0"/>
        <w:overflowPunct/>
        <w:bidi w:val="0"/>
        <w:spacing w:line="39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安全生产合同</w:t>
      </w:r>
    </w:p>
    <w:p>
      <w:pPr>
        <w:pageBreakBefore w:val="0"/>
        <w:kinsoku/>
        <w:wordWrap w:val="0"/>
        <w:overflowPunct/>
        <w:bidi w:val="0"/>
        <w:spacing w:line="390" w:lineRule="atLeast"/>
        <w:rPr>
          <w:rFonts w:hint="default" w:ascii="Times New Roman" w:hAnsi="Times New Roman" w:eastAsia="黑体" w:cs="Times New Roman"/>
          <w:b/>
          <w:color w:val="auto"/>
          <w:sz w:val="24"/>
          <w:highlight w:val="none"/>
        </w:rPr>
      </w:pP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标段设计施工总承包合同的实施过程中创造安全、高效的施工环境，切实搞好本项目的安全管理工作，本项目发包人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）与承包人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（承包人名称，以下简称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承包人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）特此签订安全生产合同。</w:t>
      </w:r>
    </w:p>
    <w:p>
      <w:pPr>
        <w:pageBreakBefore w:val="0"/>
        <w:kinsoku/>
        <w:wordWrap w:val="0"/>
        <w:overflowPunct/>
        <w:bidi w:val="0"/>
        <w:spacing w:line="390" w:lineRule="atLeast"/>
        <w:ind w:firstLine="616" w:firstLineChars="257"/>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1.发包人职责</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（1）严格遵守国家有关安全生产的法律法规，认真执行工程承包合同中的有关安全要求。</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（2）按照</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安全第一、预防为主、综合治理</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和坚持</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管生产必须管安全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的原则进行安全生产管理，做到生产与安全工作同时计划、布置、检查、总结和评比。</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（3）重要的安全设施必须坚持与主体工程</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三同时</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的原则，即：同时设计、审批，同时施工，同时验收，投入使用。</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（4）定期召开安全生产调度会，及时传达中央及地方有关安全生产的精神。</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（5）组织对承包人施工现场进行安全生产检查，监督承包人及时处理发现的各种安全隐患。</w:t>
      </w:r>
    </w:p>
    <w:p>
      <w:pPr>
        <w:pageBreakBefore w:val="0"/>
        <w:kinsoku/>
        <w:wordWrap w:val="0"/>
        <w:overflowPunct/>
        <w:bidi w:val="0"/>
        <w:spacing w:line="390" w:lineRule="atLeast"/>
        <w:ind w:firstLine="616" w:firstLineChars="257"/>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2.承包人职责</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严格遵守《中华人民共和国安全生产法》《建设工程安全生产管理条例》等国家有关安全生产的法律法规、《公路水运工程安全生产监督管理办法》和《公路工程施工安全技术规范》等有关安全生产的规定。认真执行工程承包合同中的有关安全要求。</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（2）坚持</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安全第一、预防为主、综合治理</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和</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管生产必须管安全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建立健全安全生产责任制。从派往项目实施的项目负责人到生产工人（包括临时雇请的民工）的安全生产管理系统必须做到纵向到底，一环不漏；各职能部门、人员的安全生产责任制做到横向到边，人人有责。项目负责人是安全生产的第一责任人。现场设置的安全机构，应按《公路水运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（4）承包人在任何时候都应采取各种合理的预防措施，防止其员工发生任何违法、违禁、暴力或妨碍治安的行为。</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负责人必须承担管理责任。</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（7）操作人员上岗，必须按规定穿戴防护用品。施工负责人和安全检查员应随时检查劳动防护用品的穿戴情况，不按规定穿戴防护用品的人员不得上岗。</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（8）所有施工机具设备和高空作业的设备均应定期检查，并有安全员的签字记录，保证其经常处于完好状态；不合格的机具、设备和劳动保护用品严禁使用。</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（9）施工中采用新技术、新工艺、新设备、新材料时，必须制定相应的安全技术措施，施工现场必须具有相关的安全标志牌。</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四不放过</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的原则，严肃处理相关责任人。</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（11）安全生产费用按照</w:t>
      </w:r>
      <w:bookmarkStart w:id="2339" w:name="_Toc187470650"/>
      <w:r>
        <w:rPr>
          <w:rFonts w:hint="default" w:ascii="Times New Roman" w:hAnsi="Times New Roman" w:cs="Times New Roman"/>
          <w:color w:val="auto"/>
          <w:sz w:val="24"/>
          <w:highlight w:val="none"/>
        </w:rPr>
        <w:t>《公路水运工程安全生产监督管理办法</w:t>
      </w:r>
      <w:bookmarkEnd w:id="2339"/>
      <w:r>
        <w:rPr>
          <w:rFonts w:hint="default" w:ascii="Times New Roman" w:hAnsi="Times New Roman" w:cs="Times New Roman"/>
          <w:color w:val="auto"/>
          <w:sz w:val="24"/>
          <w:highlight w:val="none"/>
        </w:rPr>
        <w:t>》的相关规定使用和管理。</w:t>
      </w:r>
    </w:p>
    <w:p>
      <w:pPr>
        <w:pageBreakBefore w:val="0"/>
        <w:kinsoku/>
        <w:wordWrap w:val="0"/>
        <w:overflowPunct/>
        <w:bidi w:val="0"/>
        <w:spacing w:line="390" w:lineRule="atLeast"/>
        <w:ind w:firstLine="616" w:firstLineChars="257"/>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3.违约责任</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如因发包人或承包人违约造成安全事故，将依法追究责任。</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本合同由双方法定代表人或其授权的代理人签署并加盖单位章后生效，全部工程竣工验收后失效。</w:t>
      </w:r>
    </w:p>
    <w:p>
      <w:pPr>
        <w:pageBreakBefore w:val="0"/>
        <w:kinsoku/>
        <w:wordWrap w:val="0"/>
        <w:overflowPunct/>
        <w:autoSpaceDE/>
        <w:autoSpaceDN/>
        <w:bidi w:val="0"/>
        <w:spacing w:line="39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本合同正本二份、副本____份，合同双方各执正本一份，副本____份，当正本与副本的内容不一致时，以正本为准。</w:t>
      </w:r>
    </w:p>
    <w:p>
      <w:pPr>
        <w:pageBreakBefore w:val="0"/>
        <w:kinsoku/>
        <w:wordWrap w:val="0"/>
        <w:overflowPunct/>
        <w:autoSpaceDE/>
        <w:autoSpaceDN/>
        <w:bidi w:val="0"/>
        <w:spacing w:line="400" w:lineRule="atLeast"/>
        <w:ind w:firstLine="525"/>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atLeast"/>
        <w:ind w:firstLine="525"/>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     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  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pPr>
        <w:pageBreakBefore w:val="0"/>
        <w:kinsoku/>
        <w:wordWrap w:val="0"/>
        <w:overflowPunct/>
        <w:autoSpaceDE/>
        <w:autoSpaceDN/>
        <w:bidi w:val="0"/>
        <w:spacing w:line="440" w:lineRule="exact"/>
        <w:ind w:firstLine="840" w:firstLineChars="35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日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2340" w:name="_Toc234833234"/>
      <w:bookmarkStart w:id="2341" w:name="_Toc23747850"/>
      <w:bookmarkStart w:id="2342" w:name="_Toc501257461"/>
      <w:r>
        <w:rPr>
          <w:rFonts w:hint="default" w:ascii="Times New Roman" w:hAnsi="Times New Roman" w:eastAsia="黑体" w:cs="Times New Roman"/>
          <w:b w:val="0"/>
          <w:color w:val="auto"/>
          <w:sz w:val="24"/>
          <w:szCs w:val="24"/>
          <w:highlight w:val="none"/>
        </w:rPr>
        <w:t xml:space="preserve">附件四 其他管理和技术人员最低要求 </w:t>
      </w:r>
      <w:r>
        <w:rPr>
          <w:rFonts w:hint="default" w:ascii="Times New Roman" w:hAnsi="Times New Roman" w:cs="Times New Roman"/>
          <w:color w:val="auto"/>
          <w:kern w:val="2"/>
          <w:sz w:val="24"/>
          <w:szCs w:val="24"/>
          <w:highlight w:val="none"/>
          <w:vertAlign w:val="superscript"/>
        </w:rPr>
        <w:footnoteReference w:id="80"/>
      </w:r>
      <w:bookmarkEnd w:id="2340"/>
      <w:bookmarkEnd w:id="2341"/>
      <w:bookmarkEnd w:id="2342"/>
    </w:p>
    <w:p>
      <w:pPr>
        <w:pageBreakBefore w:val="0"/>
        <w:kinsoku/>
        <w:wordWrap w:val="0"/>
        <w:overflowPunct/>
        <w:autoSpaceDE/>
        <w:autoSpaceDN/>
        <w:bidi w:val="0"/>
        <w:adjustRightInd w:val="0"/>
        <w:snapToGrid w:val="0"/>
        <w:spacing w:line="400" w:lineRule="atLeast"/>
        <w:textAlignment w:val="auto"/>
        <w:outlineLvl w:val="9"/>
        <w:rPr>
          <w:rFonts w:hint="default" w:ascii="Times New Roman" w:hAnsi="Times New Roman" w:cs="Times New Roman"/>
          <w:color w:val="auto"/>
          <w:sz w:val="24"/>
          <w:highlight w:val="none"/>
        </w:rPr>
      </w:pP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8"/>
        <w:gridCol w:w="2161"/>
        <w:gridCol w:w="4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377"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  员</w:t>
            </w: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  量</w:t>
            </w:r>
          </w:p>
        </w:tc>
        <w:tc>
          <w:tcPr>
            <w:tcW w:w="2408"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资 格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77" w:type="pct"/>
            <w:vAlign w:val="center"/>
          </w:tcPr>
          <w:p>
            <w:pPr>
              <w:pageBreakBefore w:val="0"/>
              <w:kinsoku/>
              <w:wordWrap w:val="0"/>
              <w:overflowPunct/>
              <w:autoSpaceDE/>
              <w:autoSpaceDN/>
              <w:bidi w:val="0"/>
              <w:spacing w:line="400" w:lineRule="atLeast"/>
              <w:jc w:val="center"/>
              <w:textAlignment w:val="auto"/>
              <w:outlineLvl w:val="9"/>
              <w:rPr>
                <w:rFonts w:hint="default" w:ascii="Times New Roman" w:hAnsi="Times New Roman" w:cs="Times New Roman"/>
                <w:color w:val="auto"/>
                <w:sz w:val="24"/>
                <w:highlight w:val="none"/>
              </w:rPr>
            </w:pPr>
          </w:p>
        </w:tc>
        <w:tc>
          <w:tcPr>
            <w:tcW w:w="1215"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2408"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bl>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2343" w:name="_Toc23747851"/>
      <w:bookmarkStart w:id="2344" w:name="_Toc234833235"/>
      <w:bookmarkStart w:id="2345" w:name="_Toc501257462"/>
      <w:r>
        <w:rPr>
          <w:rFonts w:hint="default" w:ascii="Times New Roman" w:hAnsi="Times New Roman" w:eastAsia="黑体" w:cs="Times New Roman"/>
          <w:b w:val="0"/>
          <w:color w:val="auto"/>
          <w:sz w:val="24"/>
          <w:szCs w:val="24"/>
          <w:highlight w:val="none"/>
        </w:rPr>
        <w:t>附件五 主要机械设备和试验检测设备最低要求</w:t>
      </w:r>
      <w:r>
        <w:rPr>
          <w:rFonts w:hint="default" w:ascii="Times New Roman" w:hAnsi="Times New Roman" w:cs="Times New Roman"/>
          <w:color w:val="auto"/>
          <w:sz w:val="24"/>
          <w:szCs w:val="24"/>
          <w:highlight w:val="none"/>
          <w:vertAlign w:val="superscript"/>
        </w:rPr>
        <w:footnoteReference w:id="81"/>
      </w:r>
      <w:bookmarkEnd w:id="2343"/>
      <w:bookmarkEnd w:id="2344"/>
      <w:bookmarkEnd w:id="2345"/>
    </w:p>
    <w:p>
      <w:pPr>
        <w:pageBreakBefore w:val="0"/>
        <w:kinsoku/>
        <w:wordWrap w:val="0"/>
        <w:overflowPunct/>
        <w:bidi w:val="0"/>
        <w:adjustRightInd w:val="0"/>
        <w:snapToGrid w:val="0"/>
        <w:spacing w:line="400" w:lineRule="atLeast"/>
        <w:rPr>
          <w:rFonts w:hint="default" w:ascii="Times New Roman" w:hAnsi="Times New Roman" w:cs="Times New Roman"/>
          <w:bCs/>
          <w:color w:val="auto"/>
          <w:highlight w:val="none"/>
        </w:rPr>
      </w:pPr>
    </w:p>
    <w:tbl>
      <w:tblPr>
        <w:tblStyle w:val="37"/>
        <w:tblW w:w="48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2"/>
        <w:gridCol w:w="2745"/>
        <w:gridCol w:w="1386"/>
        <w:gridCol w:w="2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设备名称</w:t>
            </w:r>
          </w:p>
        </w:tc>
        <w:tc>
          <w:tcPr>
            <w:tcW w:w="160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规格、功率及容量</w:t>
            </w:r>
          </w:p>
        </w:tc>
        <w:tc>
          <w:tcPr>
            <w:tcW w:w="810"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单位</w:t>
            </w:r>
          </w:p>
        </w:tc>
        <w:tc>
          <w:tcPr>
            <w:tcW w:w="1282"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最低数量要求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3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604"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c>
          <w:tcPr>
            <w:tcW w:w="810"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adjustRightInd w:val="0"/>
              <w:snapToGrid w:val="0"/>
              <w:spacing w:line="400" w:lineRule="atLeast"/>
              <w:jc w:val="center"/>
              <w:textAlignment w:val="auto"/>
              <w:outlineLvl w:val="9"/>
              <w:rPr>
                <w:rFonts w:hint="default" w:ascii="Times New Roman" w:hAnsi="Times New Roman" w:cs="Times New Roman"/>
                <w:color w:val="auto"/>
                <w:sz w:val="24"/>
                <w:highlight w:val="none"/>
              </w:rPr>
            </w:pPr>
          </w:p>
        </w:tc>
        <w:tc>
          <w:tcPr>
            <w:tcW w:w="1282"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c>
      </w:tr>
    </w:tbl>
    <w:p>
      <w:pPr>
        <w:pageBreakBefore w:val="0"/>
        <w:kinsoku/>
        <w:wordWrap w:val="0"/>
        <w:overflowPunct/>
        <w:bidi w:val="0"/>
        <w:spacing w:line="400" w:lineRule="atLeast"/>
        <w:rPr>
          <w:rFonts w:hint="default" w:ascii="Times New Roman" w:hAnsi="Times New Roman" w:eastAsia="黑体" w:cs="Times New Roman"/>
          <w:color w:val="auto"/>
          <w:sz w:val="24"/>
          <w:highlight w:val="none"/>
        </w:rPr>
      </w:pPr>
    </w:p>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b w:val="0"/>
          <w:color w:val="auto"/>
          <w:sz w:val="24"/>
          <w:szCs w:val="24"/>
          <w:highlight w:val="none"/>
        </w:rPr>
      </w:pPr>
      <w:bookmarkStart w:id="2346" w:name="_Toc234833236"/>
      <w:bookmarkStart w:id="2347" w:name="_Toc501257463"/>
      <w:bookmarkStart w:id="2348" w:name="_Toc23747852"/>
      <w:r>
        <w:rPr>
          <w:rFonts w:hint="default" w:ascii="Times New Roman" w:hAnsi="Times New Roman" w:eastAsia="黑体" w:cs="Times New Roman"/>
          <w:b w:val="0"/>
          <w:color w:val="auto"/>
          <w:sz w:val="24"/>
          <w:szCs w:val="24"/>
          <w:highlight w:val="none"/>
        </w:rPr>
        <w:t>附件六 项目负责人委任书</w:t>
      </w:r>
      <w:bookmarkEnd w:id="2346"/>
      <w:bookmarkEnd w:id="2347"/>
      <w:bookmarkEnd w:id="2348"/>
    </w:p>
    <w:p>
      <w:pPr>
        <w:pageBreakBefore w:val="0"/>
        <w:kinsoku/>
        <w:wordWrap w:val="0"/>
        <w:overflowPunct/>
        <w:bidi w:val="0"/>
        <w:snapToGrid w:val="0"/>
        <w:spacing w:line="400" w:lineRule="atLeast"/>
        <w:jc w:val="center"/>
        <w:rPr>
          <w:rFonts w:hint="default" w:ascii="Times New Roman" w:hAnsi="Times New Roman" w:eastAsia="黑体" w:cs="Times New Roman"/>
          <w:color w:val="auto"/>
          <w:sz w:val="28"/>
          <w:szCs w:val="28"/>
          <w:highlight w:val="none"/>
          <w:u w:val="single"/>
        </w:rPr>
      </w:pPr>
      <w:r>
        <w:rPr>
          <w:rFonts w:hint="default" w:ascii="Times New Roman" w:hAnsi="Times New Roman" w:eastAsia="黑体" w:cs="Times New Roman"/>
          <w:color w:val="auto"/>
          <w:sz w:val="28"/>
          <w:szCs w:val="28"/>
          <w:highlight w:val="none"/>
          <w:u w:val="single"/>
        </w:rPr>
        <w:t>（承包人全称）</w:t>
      </w:r>
    </w:p>
    <w:p>
      <w:pPr>
        <w:pageBreakBefore w:val="0"/>
        <w:kinsoku/>
        <w:wordWrap w:val="0"/>
        <w:overflowPunct/>
        <w:bidi w:val="0"/>
        <w:snapToGrid w:val="0"/>
        <w:spacing w:line="40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（合同工程名称） </w:t>
      </w:r>
      <w:r>
        <w:rPr>
          <w:rFonts w:hint="default" w:ascii="Times New Roman" w:hAnsi="Times New Roman" w:eastAsia="黑体" w:cs="Times New Roman"/>
          <w:color w:val="auto"/>
          <w:sz w:val="28"/>
          <w:szCs w:val="28"/>
          <w:highlight w:val="none"/>
        </w:rPr>
        <w:t>项目负责人委任书</w:t>
      </w:r>
    </w:p>
    <w:p>
      <w:pPr>
        <w:pageBreakBefore w:val="0"/>
        <w:kinsoku/>
        <w:wordWrap w:val="0"/>
        <w:overflowPunct/>
        <w:bidi w:val="0"/>
        <w:snapToGrid w:val="0"/>
        <w:spacing w:line="400" w:lineRule="atLeast"/>
        <w:rPr>
          <w:rFonts w:hint="default" w:ascii="Times New Roman" w:hAnsi="Times New Roman" w:eastAsia="黑体" w:cs="Times New Roman"/>
          <w:color w:val="auto"/>
          <w:sz w:val="24"/>
          <w:highlight w:val="none"/>
        </w:rPr>
      </w:pPr>
    </w:p>
    <w:p>
      <w:pPr>
        <w:pageBreakBefore w:val="0"/>
        <w:kinsoku/>
        <w:wordWrap w:val="0"/>
        <w:overflowPunct/>
        <w:bidi w:val="0"/>
        <w:snapToGrid w:val="0"/>
        <w:spacing w:line="400" w:lineRule="atLeast"/>
        <w:rPr>
          <w:rFonts w:hint="default" w:ascii="Times New Roman" w:hAnsi="Times New Roman" w:eastAsia="黑体" w:cs="Times New Roman"/>
          <w:color w:val="auto"/>
          <w:sz w:val="24"/>
          <w:highlight w:val="none"/>
        </w:rPr>
      </w:pPr>
    </w:p>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致：</w:t>
      </w:r>
      <w:r>
        <w:rPr>
          <w:rFonts w:hint="default" w:ascii="Times New Roman" w:hAnsi="Times New Roman" w:cs="Times New Roman"/>
          <w:color w:val="auto"/>
          <w:sz w:val="24"/>
          <w:highlight w:val="none"/>
          <w:u w:val="single"/>
        </w:rPr>
        <w:t>（发包人全称）</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（承包人全称） </w:t>
      </w: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（职务、姓名） </w:t>
      </w:r>
      <w:r>
        <w:rPr>
          <w:rFonts w:hint="default" w:ascii="Times New Roman" w:hAnsi="Times New Roman" w:cs="Times New Roman"/>
          <w:color w:val="auto"/>
          <w:sz w:val="24"/>
          <w:highlight w:val="none"/>
        </w:rPr>
        <w:t>代表本单位委任</w:t>
      </w:r>
      <w:r>
        <w:rPr>
          <w:rFonts w:hint="default" w:ascii="Times New Roman" w:hAnsi="Times New Roman" w:cs="Times New Roman"/>
          <w:color w:val="auto"/>
          <w:sz w:val="24"/>
          <w:highlight w:val="none"/>
          <w:u w:val="single"/>
        </w:rPr>
        <w:t xml:space="preserve"> （职务、姓名） </w:t>
      </w:r>
      <w:r>
        <w:rPr>
          <w:rFonts w:hint="default" w:ascii="Times New Roman" w:hAnsi="Times New Roman" w:cs="Times New Roman"/>
          <w:color w:val="auto"/>
          <w:sz w:val="24"/>
          <w:highlight w:val="none"/>
        </w:rPr>
        <w:t>为</w:t>
      </w:r>
      <w:r>
        <w:rPr>
          <w:rFonts w:hint="default" w:ascii="Times New Roman" w:hAnsi="Times New Roman" w:cs="Times New Roman"/>
          <w:color w:val="auto"/>
          <w:sz w:val="24"/>
          <w:highlight w:val="none"/>
          <w:u w:val="single"/>
        </w:rPr>
        <w:t>（合同工程名称）</w:t>
      </w:r>
      <w:r>
        <w:rPr>
          <w:rFonts w:hint="default" w:ascii="Times New Roman" w:hAnsi="Times New Roman" w:cs="Times New Roman"/>
          <w:color w:val="auto"/>
          <w:sz w:val="24"/>
          <w:highlight w:val="none"/>
        </w:rPr>
        <w:t>的项目负责人。凡本合同执行中的有关技术、工程进度、现场管理、质量检验、结算与支付等方面工作，由</w:t>
      </w:r>
      <w:r>
        <w:rPr>
          <w:rFonts w:hint="default" w:ascii="Times New Roman" w:hAnsi="Times New Roman" w:cs="Times New Roman"/>
          <w:color w:val="auto"/>
          <w:sz w:val="24"/>
          <w:highlight w:val="none"/>
          <w:u w:val="single"/>
        </w:rPr>
        <w:t xml:space="preserve">  （姓名） </w:t>
      </w:r>
      <w:r>
        <w:rPr>
          <w:rFonts w:hint="default" w:ascii="Times New Roman" w:hAnsi="Times New Roman" w:cs="Times New Roman"/>
          <w:color w:val="auto"/>
          <w:sz w:val="24"/>
          <w:highlight w:val="none"/>
        </w:rPr>
        <w:t>代表本单位全面负责。</w:t>
      </w:r>
    </w:p>
    <w:p>
      <w:pPr>
        <w:pageBreakBefore w:val="0"/>
        <w:kinsoku/>
        <w:wordWrap w:val="0"/>
        <w:overflowPunct/>
        <w:autoSpaceDE/>
        <w:autoSpaceDN/>
        <w:bidi w:val="0"/>
        <w:spacing w:line="400" w:lineRule="atLeast"/>
        <w:ind w:firstLine="616" w:firstLineChars="257"/>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napToGrid w:val="0"/>
        <w:spacing w:line="40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overflowPunct/>
        <w:autoSpaceDE/>
        <w:autoSpaceDN/>
        <w:bidi w:val="0"/>
        <w:snapToGrid w:val="0"/>
        <w:spacing w:line="400" w:lineRule="atLeast"/>
        <w:ind w:firstLine="4603" w:firstLineChars="1918"/>
        <w:jc w:val="left"/>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（职务）        </w:t>
      </w:r>
    </w:p>
    <w:p>
      <w:pPr>
        <w:pageBreakBefore w:val="0"/>
        <w:kinsoku/>
        <w:wordWrap w:val="0"/>
        <w:overflowPunct/>
        <w:autoSpaceDE/>
        <w:autoSpaceDN/>
        <w:bidi w:val="0"/>
        <w:snapToGrid w:val="0"/>
        <w:spacing w:line="400" w:lineRule="atLeast"/>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（姓名）       </w:t>
      </w:r>
    </w:p>
    <w:p>
      <w:pPr>
        <w:pageBreakBefore w:val="0"/>
        <w:kinsoku/>
        <w:wordWrap w:val="0"/>
        <w:overflowPunct/>
        <w:autoSpaceDE/>
        <w:autoSpaceDN/>
        <w:bidi w:val="0"/>
        <w:snapToGrid w:val="0"/>
        <w:spacing w:line="400" w:lineRule="atLeast"/>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（签字）       </w:t>
      </w:r>
    </w:p>
    <w:p>
      <w:pPr>
        <w:pageBreakBefore w:val="0"/>
        <w:kinsoku/>
        <w:wordWrap w:val="0"/>
        <w:overflowPunct/>
        <w:autoSpaceDE/>
        <w:autoSpaceDN/>
        <w:bidi w:val="0"/>
        <w:snapToGrid w:val="0"/>
        <w:spacing w:line="40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5"/>
        <w:pageBreakBefore w:val="0"/>
        <w:tabs>
          <w:tab w:val="clear" w:pos="4153"/>
          <w:tab w:val="clear" w:pos="8306"/>
        </w:tabs>
        <w:kinsoku/>
        <w:wordWrap w:val="0"/>
        <w:overflowPunct/>
        <w:bidi w:val="0"/>
        <w:spacing w:line="40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  </w:t>
      </w:r>
    </w:p>
    <w:p>
      <w:pPr>
        <w:pStyle w:val="25"/>
        <w:pageBreakBefore w:val="0"/>
        <w:tabs>
          <w:tab w:val="clear" w:pos="4153"/>
          <w:tab w:val="clear" w:pos="8306"/>
        </w:tabs>
        <w:kinsoku/>
        <w:wordWrap w:val="0"/>
        <w:overflowPunct/>
        <w:bidi w:val="0"/>
        <w:spacing w:line="400" w:lineRule="atLeast"/>
        <w:rPr>
          <w:rFonts w:hint="default" w:ascii="Times New Roman" w:hAnsi="Times New Roman" w:cs="Times New Roman"/>
          <w:color w:val="auto"/>
          <w:sz w:val="24"/>
          <w:szCs w:val="24"/>
          <w:highlight w:val="none"/>
        </w:rPr>
      </w:pPr>
    </w:p>
    <w:p>
      <w:pPr>
        <w:pageBreakBefore w:val="0"/>
        <w:kinsoku/>
        <w:wordWrap w:val="0"/>
        <w:overflowPunct/>
        <w:autoSpaceDE/>
        <w:autoSpaceDN/>
        <w:bidi w:val="0"/>
        <w:snapToGrid w:val="0"/>
        <w:spacing w:line="400" w:lineRule="atLeas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napToGrid w:val="0"/>
        <w:spacing w:line="400" w:lineRule="atLeast"/>
        <w:textAlignment w:val="auto"/>
        <w:outlineLvl w:val="9"/>
        <w:rPr>
          <w:rFonts w:hint="default" w:ascii="Times New Roman" w:hAnsi="Times New Roman" w:eastAsia="黑体" w:cs="Times New Roman"/>
          <w:bCs/>
          <w:color w:val="auto"/>
          <w:kern w:val="44"/>
          <w:sz w:val="24"/>
          <w:highlight w:val="none"/>
        </w:rPr>
      </w:pPr>
      <w:r>
        <w:rPr>
          <w:rFonts w:hint="default" w:ascii="Times New Roman" w:hAnsi="Times New Roman" w:cs="Times New Roman"/>
          <w:color w:val="auto"/>
          <w:sz w:val="24"/>
          <w:highlight w:val="none"/>
        </w:rPr>
        <w:t>抄送：</w:t>
      </w:r>
      <w:r>
        <w:rPr>
          <w:rFonts w:hint="default" w:ascii="Times New Roman" w:hAnsi="Times New Roman" w:cs="Times New Roman"/>
          <w:color w:val="auto"/>
          <w:sz w:val="24"/>
          <w:highlight w:val="none"/>
          <w:u w:val="single"/>
        </w:rPr>
        <w:t xml:space="preserve">  （监理人）  </w:t>
      </w:r>
      <w:r>
        <w:rPr>
          <w:rFonts w:hint="default" w:ascii="Times New Roman" w:hAnsi="Times New Roman" w:cs="Times New Roman"/>
          <w:color w:val="auto"/>
          <w:sz w:val="24"/>
          <w:highlight w:val="none"/>
        </w:rPr>
        <w:br w:type="page"/>
      </w:r>
      <w:r>
        <w:rPr>
          <w:rFonts w:hint="default" w:ascii="Times New Roman" w:hAnsi="Times New Roman" w:eastAsia="黑体" w:cs="Times New Roman"/>
          <w:bCs/>
          <w:color w:val="auto"/>
          <w:kern w:val="44"/>
          <w:sz w:val="24"/>
          <w:highlight w:val="none"/>
        </w:rPr>
        <w:t>附件七 履约保证金格式</w:t>
      </w:r>
    </w:p>
    <w:p>
      <w:pPr>
        <w:pageBreakBefore w:val="0"/>
        <w:kinsoku/>
        <w:wordWrap w:val="0"/>
        <w:overflowPunct/>
        <w:autoSpaceDE/>
        <w:autoSpaceDN/>
        <w:bidi w:val="0"/>
        <w:spacing w:line="400" w:lineRule="atLeast"/>
        <w:textAlignment w:val="auto"/>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如采用银行保函，格式如下。</w:t>
      </w:r>
    </w:p>
    <w:p>
      <w:pPr>
        <w:pageBreakBefore w:val="0"/>
        <w:kinsoku/>
        <w:wordWrap w:val="0"/>
        <w:overflowPunct/>
        <w:bidi w:val="0"/>
        <w:spacing w:line="400" w:lineRule="atLeast"/>
        <w:ind w:firstLine="3360" w:firstLineChars="1200"/>
        <w:rPr>
          <w:rFonts w:hint="default" w:ascii="Times New Roman" w:hAnsi="Times New Roman" w:eastAsia="黑体" w:cs="Times New Roman"/>
          <w:color w:val="auto"/>
          <w:sz w:val="28"/>
          <w:szCs w:val="28"/>
          <w:highlight w:val="none"/>
        </w:rPr>
      </w:pPr>
    </w:p>
    <w:p>
      <w:pPr>
        <w:pageBreakBefore w:val="0"/>
        <w:kinsoku/>
        <w:wordWrap w:val="0"/>
        <w:overflowPunct/>
        <w:bidi w:val="0"/>
        <w:spacing w:line="40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履约保证金</w:t>
      </w:r>
    </w:p>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w:t>
      </w:r>
    </w:p>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atLeast"/>
        <w:ind w:firstLine="600" w:firstLineChars="25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）接受</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（承包人名称，以下简称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承包人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标段设计施工总承包的投标。我方愿意无条件地、不可撤销地就承包人履行与你方订立的合同，向你方提供担保。</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担保金额人民币（大写）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元（¥</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担保有效期自发包人与承包人签订的合同生效之日起至发包人签发交工验收证书且承包人按照合同约定缴纳质量保证金之日止。</w:t>
      </w:r>
      <w:r>
        <w:rPr>
          <w:rStyle w:val="45"/>
          <w:rFonts w:hint="default" w:ascii="Times New Roman" w:hAnsi="Times New Roman" w:eastAsia="黑体" w:cs="Times New Roman"/>
          <w:color w:val="auto"/>
          <w:sz w:val="28"/>
          <w:szCs w:val="28"/>
          <w:highlight w:val="none"/>
        </w:rPr>
        <w:footnoteReference w:id="82"/>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在本担保有效期内，因承包人违反合同约定的义务给你方造成经济损失时，我方在收到你方以书面形式提出的在担保金额内的赔偿要求后，在7日内无条件支付，无须你方出具证明或陈述理由。</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发包人和承包人按合同条款第15条变更合同时，无论我方是否收到该变更，我方承担本担保规定的义务不变。</w:t>
      </w:r>
    </w:p>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atLeast"/>
        <w:ind w:firstLine="3496" w:firstLineChars="14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担保人名称：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overflowPunct/>
        <w:autoSpaceDE/>
        <w:autoSpaceDN/>
        <w:bidi w:val="0"/>
        <w:spacing w:line="400" w:lineRule="atLeast"/>
        <w:ind w:firstLine="3496" w:firstLineChars="14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pPr>
        <w:pageBreakBefore w:val="0"/>
        <w:kinsoku/>
        <w:wordWrap w:val="0"/>
        <w:overflowPunct/>
        <w:autoSpaceDE/>
        <w:autoSpaceDN/>
        <w:bidi w:val="0"/>
        <w:spacing w:line="400" w:lineRule="atLeast"/>
        <w:ind w:firstLine="3496" w:firstLineChars="14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p>
    <w:p>
      <w:pPr>
        <w:pageBreakBefore w:val="0"/>
        <w:kinsoku/>
        <w:wordWrap w:val="0"/>
        <w:overflowPunct/>
        <w:autoSpaceDE/>
        <w:autoSpaceDN/>
        <w:bidi w:val="0"/>
        <w:spacing w:line="400" w:lineRule="atLeast"/>
        <w:ind w:firstLine="3496" w:firstLineChars="14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p>
    <w:p>
      <w:pPr>
        <w:pageBreakBefore w:val="0"/>
        <w:kinsoku/>
        <w:wordWrap w:val="0"/>
        <w:overflowPunct/>
        <w:autoSpaceDE/>
        <w:autoSpaceDN/>
        <w:bidi w:val="0"/>
        <w:spacing w:line="400" w:lineRule="atLeast"/>
        <w:ind w:firstLine="3496" w:firstLineChars="14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pageBreakBefore w:val="0"/>
        <w:kinsoku/>
        <w:wordWrap w:val="0"/>
        <w:overflowPunct/>
        <w:autoSpaceDE/>
        <w:autoSpaceDN/>
        <w:bidi w:val="0"/>
        <w:spacing w:line="400" w:lineRule="atLeast"/>
        <w:ind w:firstLine="3496" w:firstLineChars="1457"/>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pageBreakBefore w:val="0"/>
        <w:kinsoku/>
        <w:wordWrap w:val="0"/>
        <w:overflowPunct/>
        <w:autoSpaceDE/>
        <w:autoSpaceDN/>
        <w:bidi w:val="0"/>
        <w:spacing w:line="400" w:lineRule="atLeast"/>
        <w:ind w:firstLine="4216" w:firstLineChars="1757"/>
        <w:jc w:val="righ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p>
      <w:pPr>
        <w:pageBreakBefore w:val="0"/>
        <w:kinsoku/>
        <w:wordWrap w:val="0"/>
        <w:overflowPunct/>
        <w:bidi w:val="0"/>
        <w:spacing w:line="400" w:lineRule="atLeast"/>
        <w:rPr>
          <w:rFonts w:hint="default" w:ascii="Times New Roman" w:hAnsi="Times New Roman" w:eastAsia="黑体" w:cs="Times New Roman"/>
          <w:color w:val="auto"/>
          <w:sz w:val="24"/>
          <w:highlight w:val="none"/>
        </w:rPr>
      </w:pPr>
    </w:p>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2349" w:name="_Toc23747853"/>
      <w:bookmarkStart w:id="2350" w:name="_Toc501257464"/>
      <w:bookmarkStart w:id="2351" w:name="_Toc234833238"/>
      <w:r>
        <w:rPr>
          <w:rFonts w:hint="default" w:ascii="Times New Roman" w:hAnsi="Times New Roman" w:eastAsia="黑体" w:cs="Times New Roman"/>
          <w:b w:val="0"/>
          <w:color w:val="auto"/>
          <w:sz w:val="24"/>
          <w:szCs w:val="24"/>
          <w:highlight w:val="none"/>
        </w:rPr>
        <w:t>附件八 工程资金监管协议格式</w:t>
      </w:r>
      <w:bookmarkEnd w:id="2349"/>
      <w:bookmarkEnd w:id="2350"/>
      <w:bookmarkEnd w:id="2351"/>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（发包人与承包人签订合同协议书时应与发包人指定的银行签署工程资金监管协议，工程资金监管协议内容在保证本项目资金有效监管的前提下由三方共同商定）</w:t>
      </w:r>
    </w:p>
    <w:p>
      <w:pPr>
        <w:pageBreakBefore w:val="0"/>
        <w:kinsoku/>
        <w:wordWrap w:val="0"/>
        <w:overflowPunct/>
        <w:bidi w:val="0"/>
        <w:spacing w:line="380" w:lineRule="atLeast"/>
        <w:rPr>
          <w:rFonts w:hint="default" w:ascii="Times New Roman" w:hAnsi="Times New Roman" w:eastAsia="黑体" w:cs="Times New Roman"/>
          <w:color w:val="auto"/>
          <w:sz w:val="24"/>
          <w:highlight w:val="none"/>
        </w:rPr>
      </w:pPr>
    </w:p>
    <w:p>
      <w:pPr>
        <w:pageBreakBefore w:val="0"/>
        <w:kinsoku/>
        <w:wordWrap w:val="0"/>
        <w:overflowPunct/>
        <w:bidi w:val="0"/>
        <w:spacing w:line="38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工程资金监管协议</w:t>
      </w:r>
    </w:p>
    <w:p>
      <w:pPr>
        <w:pageBreakBefore w:val="0"/>
        <w:kinsoku/>
        <w:wordWrap w:val="0"/>
        <w:overflowPunct/>
        <w:bidi w:val="0"/>
        <w:spacing w:line="380" w:lineRule="atLeast"/>
        <w:jc w:val="center"/>
        <w:rPr>
          <w:rFonts w:hint="default" w:ascii="Times New Roman" w:hAnsi="Times New Roman" w:eastAsia="黑体" w:cs="Times New Roman"/>
          <w:color w:val="auto"/>
          <w:sz w:val="28"/>
          <w:szCs w:val="28"/>
          <w:highlight w:val="none"/>
        </w:rPr>
      </w:pPr>
    </w:p>
    <w:p>
      <w:pPr>
        <w:pageBreakBefore w:val="0"/>
        <w:kinsoku/>
        <w:wordWrap w:val="0"/>
        <w:overflowPunct/>
        <w:autoSpaceDE/>
        <w:autoSpaceDN/>
        <w:bidi w:val="0"/>
        <w:spacing w:line="380" w:lineRule="atLeast"/>
        <w:textAlignment w:val="auto"/>
        <w:outlineLvl w:val="9"/>
        <w:rPr>
          <w:rFonts w:hint="default" w:ascii="Times New Roman" w:hAnsi="Times New Roman" w:cs="Times New Roman"/>
          <w:color w:val="auto"/>
          <w:sz w:val="24"/>
          <w:highlight w:val="none"/>
        </w:rPr>
      </w:pPr>
      <w:bookmarkStart w:id="2352" w:name="_Toc234833239"/>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甲方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bookmarkEnd w:id="2352"/>
    </w:p>
    <w:p>
      <w:pPr>
        <w:pageBreakBefore w:val="0"/>
        <w:kinsoku/>
        <w:wordWrap w:val="0"/>
        <w:overflowPunct/>
        <w:autoSpaceDE/>
        <w:autoSpaceDN/>
        <w:bidi w:val="0"/>
        <w:spacing w:line="38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乙方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pPr>
        <w:pageBreakBefore w:val="0"/>
        <w:kinsoku/>
        <w:wordWrap w:val="0"/>
        <w:overflowPunct/>
        <w:autoSpaceDE/>
        <w:autoSpaceDN/>
        <w:bidi w:val="0"/>
        <w:spacing w:line="38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经办银行：</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丙方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pPr>
        <w:pageBreakBefore w:val="0"/>
        <w:kinsoku/>
        <w:wordWrap w:val="0"/>
        <w:overflowPunct/>
        <w:autoSpaceDE/>
        <w:autoSpaceDN/>
        <w:bidi w:val="0"/>
        <w:spacing w:line="380" w:lineRule="atLeast"/>
        <w:jc w:val="lef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为了促进</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（项目名称）的顺利实施，管好用好建设资金，确保工程资金专款专用，同时为承包人提供便捷有效的银行业务服务，根据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（项目名称）合同条款有关规定，经甲、乙、丙三方协商，达成协议如下：</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资金管理的内容</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（1）乙方为完成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（项目名称）工程成立的工程部在丙方开设基本结算户；</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（2）甲方应按合同规定将工程款汇入乙方在丙方开设的账户；</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（3）乙方应将流动资金及甲方所拨付资金专项用于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（4）丙方应为乙方提供便捷有效的银行业务服务，并接受甲方委托对乙方在丙方开设的基本结算户资金使用情况进行监督。</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甲方的权责</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（1）按照</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（项目名称）合同有关条款规定的时间和方式，向乙方支付工程款；</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（2）在发现乙方将本项目资金挪用、转移时，甲方有权中止工程支付，直至乙方改正为止；</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（3）不定期审查丙方对乙方的资金使用监督情况，如丙方不能履行其责任，甲方有权随时终止本协议；</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（4）在乙、丙双方发生争议时，甲方应负责协调、解决。</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乙方的权责</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（1）工程部成立以后，乙方应尽快在丙方开设基本结算户；</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（2）确保本项目资金专款专用，不发生挪用、转移资金的现象；保证不通过权益转让、抵押、担保承担债务等任何其他方式使用基本结算户的资金；</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（3）办理材料、设备等采购业务金额在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万元以上的，应出示购货合同、协议和发票；在办理总额超过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万元以上的采购业务时，应将合同、协议和发票复印件送丙方备案；购买应急材料、设备时可先办理支付手续，但事后必须补备有关资料；</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（4）用银行转账支票办理支付款项时，必须将转账支票送交丙方，由丙方负责办理支票转付手续；</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（5）向分包单位支付工程进度款时，应附甲方批准分包的文件；</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（6）向上级单位缴纳管理费、机械设备及周转材料租赁摊销费等款项时，应附上级单位出具的转账通知等有关资料，以确保资金专款专用。</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丙方的权责</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（1）成立</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（项目名称）工程资金管理服务小组，明确业务流程，提高工作效率，杜绝</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压票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现象；</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r>
        <w:rPr>
          <w:rFonts w:hint="default" w:ascii="Times New Roman" w:hAnsi="Times New Roman" w:cs="Times New Roman"/>
          <w:color w:val="auto"/>
          <w:spacing w:val="-6"/>
          <w:sz w:val="24"/>
          <w:highlight w:val="none"/>
        </w:rPr>
        <w:t>根据乙方提供的购货合同、协议和发票，检查其所购材料、设备是否用于</w:t>
      </w:r>
      <w:r>
        <w:rPr>
          <w:rFonts w:hint="default" w:ascii="Times New Roman" w:hAnsi="Times New Roman" w:cs="Times New Roman"/>
          <w:color w:val="auto"/>
          <w:spacing w:val="-6"/>
          <w:sz w:val="24"/>
          <w:highlight w:val="none"/>
          <w:u w:val="single"/>
        </w:rPr>
        <w:t xml:space="preserve">   </w:t>
      </w:r>
      <w:r>
        <w:rPr>
          <w:rFonts w:hint="default" w:ascii="Times New Roman" w:hAnsi="Times New Roman" w:cs="Times New Roman"/>
          <w:color w:val="auto"/>
          <w:sz w:val="24"/>
          <w:highlight w:val="none"/>
        </w:rPr>
        <w:t>（项目名称）工程建设，对本标段以外的购货款项，有权拒绝办理，并及时报告甲方；</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（3）根据乙方与分包单位签订的合同及支付文件，检查其支付款项是否符合有关条件，向分包单位以外单位的支付有权拒绝办理，并及时报告甲方；</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（4）根据乙方提供的上级单位出具的转账通知等有关资料，办理管理费、机械设备及周转材料租赁摊销费等款项的支付；对超出转账通知等有关资料以外的支付，有权拒绝办理，并及时报告甲方；</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（5）定期将乙方前一个周期的支付情况，整理后书面报送甲方；乙方复印备案的材料一并送甲方。</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甲、乙、丙三方都应履行保密责任，不得将其他两方的业务情况透露给三方以外的其他单位或个人。</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本协议有效期自乙方在丙方开户起，至工程交工验收甲方向乙方颁发交工验收证书后结束。</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 本协议未尽事宜，由甲方牵头，三方协商解决。</w:t>
      </w:r>
    </w:p>
    <w:p>
      <w:pPr>
        <w:pageBreakBefore w:val="0"/>
        <w:kinsoku/>
        <w:wordWrap w:val="0"/>
        <w:overflowPunct/>
        <w:autoSpaceDE/>
        <w:autoSpaceDN/>
        <w:bidi w:val="0"/>
        <w:spacing w:line="38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 本协议正本三份、副本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份。合同三方各执正本一份、副本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份，当正本与副本内容不一致时，以正本为准。</w:t>
      </w:r>
    </w:p>
    <w:p>
      <w:pPr>
        <w:keepNext w:val="0"/>
        <w:keepLines w:val="0"/>
        <w:pageBreakBefore w:val="0"/>
        <w:widowControl w:val="0"/>
        <w:kinsoku/>
        <w:wordWrap w:val="0"/>
        <w:overflowPunct/>
        <w:topLinePunct w:val="0"/>
        <w:autoSpaceDE/>
        <w:autoSpaceDN/>
        <w:bidi w:val="0"/>
        <w:adjustRightInd/>
        <w:snapToGrid/>
        <w:spacing w:line="340" w:lineRule="atLeast"/>
        <w:textAlignment w:val="auto"/>
        <w:outlineLvl w:val="9"/>
        <w:rPr>
          <w:rFonts w:hint="default" w:ascii="Times New Roman" w:hAnsi="Times New Roman" w:cs="Times New Roman"/>
          <w:b/>
          <w:color w:val="auto"/>
          <w:sz w:val="24"/>
          <w:highlight w:val="none"/>
        </w:rPr>
      </w:pPr>
    </w:p>
    <w:p>
      <w:pPr>
        <w:pageBreakBefore w:val="0"/>
        <w:kinsoku/>
        <w:wordWrap w:val="0"/>
        <w:overflowPunct/>
        <w:autoSpaceDE/>
        <w:autoSpaceDN/>
        <w:bidi w:val="0"/>
        <w:spacing w:line="34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（盖单位章）    </w:t>
      </w:r>
    </w:p>
    <w:p>
      <w:pPr>
        <w:keepNext w:val="0"/>
        <w:keepLines w:val="0"/>
        <w:pageBreakBefore w:val="0"/>
        <w:widowControl w:val="0"/>
        <w:kinsoku/>
        <w:wordWrap w:val="0"/>
        <w:overflowPunct/>
        <w:topLinePunct w:val="0"/>
        <w:autoSpaceDE/>
        <w:autoSpaceDN/>
        <w:bidi w:val="0"/>
        <w:adjustRightInd/>
        <w:snapToGrid/>
        <w:spacing w:line="340" w:lineRule="atLeast"/>
        <w:textAlignment w:val="auto"/>
        <w:outlineLvl w:val="9"/>
        <w:rPr>
          <w:rFonts w:hint="default" w:ascii="Times New Roman" w:hAnsi="Times New Roman" w:cs="Times New Roman"/>
          <w:color w:val="auto"/>
          <w:sz w:val="24"/>
          <w:highlight w:val="none"/>
        </w:rPr>
      </w:pPr>
      <w:bookmarkStart w:id="2353" w:name="_Toc317"/>
      <w:bookmarkStart w:id="2354" w:name="_Toc2311"/>
      <w:bookmarkStart w:id="2355" w:name="_Toc5985"/>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bookmarkEnd w:id="2353"/>
      <w:bookmarkEnd w:id="2354"/>
      <w:bookmarkEnd w:id="2355"/>
      <w:r>
        <w:rPr>
          <w:rFonts w:hint="default" w:ascii="Times New Roman" w:hAnsi="Times New Roman" w:cs="Times New Roman"/>
          <w:color w:val="auto"/>
          <w:sz w:val="24"/>
          <w:highlight w:val="none"/>
        </w:rPr>
        <w:t xml:space="preserve">  </w:t>
      </w:r>
    </w:p>
    <w:p>
      <w:pPr>
        <w:pageBreakBefore w:val="0"/>
        <w:kinsoku/>
        <w:wordWrap w:val="0"/>
        <w:overflowPunct/>
        <w:autoSpaceDE/>
        <w:autoSpaceDN/>
        <w:bidi w:val="0"/>
        <w:spacing w:line="340" w:lineRule="atLeast"/>
        <w:ind w:firstLine="1920" w:firstLineChars="800"/>
        <w:textAlignment w:val="auto"/>
        <w:outlineLvl w:val="9"/>
        <w:rPr>
          <w:rFonts w:hint="default" w:ascii="Times New Roman" w:hAnsi="Times New Roman" w:cs="Times New Roman"/>
          <w:b/>
          <w:bCs/>
          <w:color w:val="auto"/>
          <w:sz w:val="4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    </w:t>
      </w:r>
    </w:p>
    <w:p>
      <w:pPr>
        <w:pageBreakBefore w:val="0"/>
        <w:kinsoku/>
        <w:wordWrap w:val="0"/>
        <w:overflowPunct/>
        <w:autoSpaceDE/>
        <w:autoSpaceDN/>
        <w:bidi w:val="0"/>
        <w:spacing w:line="340" w:lineRule="atLeas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34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（盖单位章）    </w:t>
      </w:r>
    </w:p>
    <w:p>
      <w:pPr>
        <w:pageBreakBefore w:val="0"/>
        <w:kinsoku/>
        <w:wordWrap w:val="0"/>
        <w:overflowPunct/>
        <w:autoSpaceDE/>
        <w:autoSpaceDN/>
        <w:bidi w:val="0"/>
        <w:spacing w:line="34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（签字）  </w:t>
      </w:r>
    </w:p>
    <w:p>
      <w:pPr>
        <w:pageBreakBefore w:val="0"/>
        <w:kinsoku/>
        <w:wordWrap w:val="0"/>
        <w:overflowPunct/>
        <w:autoSpaceDE/>
        <w:autoSpaceDN/>
        <w:bidi w:val="0"/>
        <w:spacing w:line="340" w:lineRule="atLeast"/>
        <w:ind w:firstLine="1920" w:firstLineChars="800"/>
        <w:textAlignment w:val="auto"/>
        <w:outlineLvl w:val="9"/>
        <w:rPr>
          <w:rFonts w:hint="default" w:ascii="Times New Roman" w:hAnsi="Times New Roman" w:cs="Times New Roman"/>
          <w:b/>
          <w:bCs/>
          <w:color w:val="auto"/>
          <w:sz w:val="4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    </w:t>
      </w:r>
    </w:p>
    <w:p>
      <w:pPr>
        <w:pageBreakBefore w:val="0"/>
        <w:kinsoku/>
        <w:wordWrap w:val="0"/>
        <w:overflowPunct/>
        <w:autoSpaceDE/>
        <w:autoSpaceDN/>
        <w:bidi w:val="0"/>
        <w:spacing w:line="340" w:lineRule="atLeas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34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经办银行：</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（盖单位章）    </w:t>
      </w:r>
    </w:p>
    <w:p>
      <w:pPr>
        <w:pageBreakBefore w:val="0"/>
        <w:kinsoku/>
        <w:wordWrap w:val="0"/>
        <w:overflowPunct/>
        <w:autoSpaceDE/>
        <w:autoSpaceDN/>
        <w:bidi w:val="0"/>
        <w:spacing w:line="34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（签字）  </w:t>
      </w:r>
    </w:p>
    <w:p>
      <w:pPr>
        <w:pageBreakBefore w:val="0"/>
        <w:kinsoku/>
        <w:wordWrap w:val="0"/>
        <w:overflowPunct/>
        <w:autoSpaceDE/>
        <w:autoSpaceDN/>
        <w:bidi w:val="0"/>
        <w:spacing w:line="340" w:lineRule="atLeast"/>
        <w:ind w:firstLine="1920" w:firstLineChars="800"/>
        <w:textAlignment w:val="auto"/>
        <w:outlineLvl w:val="9"/>
        <w:rPr>
          <w:rFonts w:hint="default" w:ascii="Times New Roman" w:hAnsi="Times New Roman" w:cs="Times New Roman"/>
          <w:color w:val="auto"/>
          <w:sz w:val="24"/>
          <w:highlight w:val="none"/>
        </w:rPr>
        <w:sectPr>
          <w:footerReference r:id="rId38" w:type="default"/>
          <w:headerReference r:id="rId37" w:type="even"/>
          <w:footerReference r:id="rId39" w:type="even"/>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   </w:t>
      </w: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topLinePunct/>
        <w:bidi w:val="0"/>
        <w:spacing w:line="480" w:lineRule="auto"/>
        <w:ind w:right="31" w:rightChars="15"/>
        <w:jc w:val="center"/>
        <w:outlineLvl w:val="0"/>
        <w:rPr>
          <w:rFonts w:hint="default" w:ascii="Times New Roman" w:hAnsi="Times New Roman" w:eastAsia="黑体" w:cs="Times New Roman"/>
          <w:color w:val="auto"/>
          <w:sz w:val="32"/>
          <w:szCs w:val="32"/>
          <w:highlight w:val="none"/>
        </w:rPr>
      </w:pPr>
      <w:bookmarkStart w:id="2356" w:name="_Toc32656"/>
      <w:bookmarkStart w:id="2357" w:name="_Toc26928"/>
      <w:bookmarkStart w:id="2358" w:name="_Toc29997"/>
      <w:r>
        <w:rPr>
          <w:rFonts w:hint="default" w:ascii="Times New Roman" w:hAnsi="Times New Roman" w:eastAsia="黑体" w:cs="Times New Roman"/>
          <w:color w:val="auto"/>
          <w:sz w:val="76"/>
          <w:szCs w:val="76"/>
          <w:highlight w:val="none"/>
        </w:rPr>
        <w:t>第  二  卷</w:t>
      </w:r>
      <w:r>
        <w:rPr>
          <w:rFonts w:hint="default" w:ascii="Times New Roman" w:hAnsi="Times New Roman" w:eastAsia="黑体" w:cs="Times New Roman"/>
          <w:color w:val="auto"/>
          <w:sz w:val="76"/>
          <w:szCs w:val="76"/>
          <w:highlight w:val="none"/>
        </w:rPr>
        <w:br w:type="page"/>
      </w:r>
      <w:bookmarkEnd w:id="2356"/>
      <w:bookmarkEnd w:id="2357"/>
      <w:bookmarkEnd w:id="2358"/>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overflowPunct/>
        <w:topLinePunct/>
        <w:bidi w:val="0"/>
        <w:spacing w:line="240" w:lineRule="atLeast"/>
        <w:ind w:right="31" w:rightChars="15"/>
        <w:jc w:val="center"/>
        <w:outlineLvl w:val="0"/>
        <w:rPr>
          <w:rFonts w:hint="default" w:ascii="Times New Roman" w:hAnsi="Times New Roman" w:eastAsia="黑体" w:cs="Times New Roman"/>
          <w:color w:val="auto"/>
          <w:sz w:val="56"/>
          <w:szCs w:val="56"/>
          <w:highlight w:val="none"/>
        </w:rPr>
      </w:pPr>
      <w:bookmarkStart w:id="2359" w:name="_Toc234833240"/>
      <w:bookmarkStart w:id="2360" w:name="_Toc234835927"/>
      <w:bookmarkStart w:id="2361" w:name="_Toc3429"/>
      <w:bookmarkStart w:id="2362" w:name="_Toc11089"/>
      <w:bookmarkStart w:id="2363" w:name="_Toc2603"/>
      <w:r>
        <w:rPr>
          <w:rFonts w:hint="default" w:ascii="Times New Roman" w:hAnsi="Times New Roman" w:eastAsia="黑体" w:cs="Times New Roman"/>
          <w:color w:val="auto"/>
          <w:sz w:val="56"/>
          <w:szCs w:val="56"/>
          <w:highlight w:val="none"/>
        </w:rPr>
        <w:t xml:space="preserve">第五章 </w:t>
      </w:r>
      <w:bookmarkEnd w:id="2359"/>
      <w:bookmarkEnd w:id="2360"/>
      <w:r>
        <w:rPr>
          <w:rFonts w:hint="default" w:ascii="Times New Roman" w:hAnsi="Times New Roman" w:eastAsia="黑体" w:cs="Times New Roman"/>
          <w:color w:val="auto"/>
          <w:sz w:val="56"/>
          <w:szCs w:val="56"/>
          <w:highlight w:val="none"/>
        </w:rPr>
        <w:t>发包人要求</w:t>
      </w:r>
      <w:bookmarkEnd w:id="2361"/>
      <w:bookmarkEnd w:id="2362"/>
      <w:bookmarkEnd w:id="2363"/>
    </w:p>
    <w:p>
      <w:pPr>
        <w:pStyle w:val="2"/>
        <w:pageBreakBefore w:val="0"/>
        <w:kinsoku/>
        <w:wordWrap w:val="0"/>
        <w:overflowPunct/>
        <w:bidi w:val="0"/>
        <w:spacing w:before="0" w:after="120" w:afterLines="50" w:line="240" w:lineRule="atLeast"/>
        <w:jc w:val="center"/>
        <w:outlineLvl w:val="9"/>
        <w:rPr>
          <w:rFonts w:hint="default" w:ascii="Times New Roman" w:hAnsi="Times New Roman" w:eastAsia="黑体" w:cs="Times New Roman"/>
          <w:color w:val="auto"/>
          <w:sz w:val="36"/>
          <w:szCs w:val="36"/>
          <w:highlight w:val="none"/>
        </w:rPr>
        <w:sectPr>
          <w:footerReference r:id="rId41" w:type="default"/>
          <w:headerReference r:id="rId40" w:type="even"/>
          <w:footerReference r:id="rId42" w:type="even"/>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bookmarkStart w:id="2364" w:name="_Toc234833241"/>
    </w:p>
    <w:p>
      <w:pPr>
        <w:pStyle w:val="33"/>
        <w:keepNext w:val="0"/>
        <w:keepLines w:val="0"/>
        <w:pageBreakBefore w:val="0"/>
        <w:widowControl w:val="0"/>
        <w:kinsoku/>
        <w:wordWrap w:val="0"/>
        <w:overflowPunct/>
        <w:topLinePunct w:val="0"/>
        <w:autoSpaceDE/>
        <w:autoSpaceDN/>
        <w:bidi w:val="0"/>
        <w:adjustRightInd w:val="0"/>
        <w:snapToGrid/>
        <w:spacing w:line="400" w:lineRule="atLeast"/>
        <w:ind w:right="27" w:rightChars="13"/>
        <w:textAlignment w:val="baseline"/>
        <w:outlineLvl w:val="9"/>
        <w:rPr>
          <w:rFonts w:hint="default" w:ascii="Times New Roman" w:hAnsi="Times New Roman" w:eastAsia="黑体" w:cs="Times New Roman"/>
          <w:b w:val="0"/>
          <w:color w:val="auto"/>
          <w:sz w:val="36"/>
          <w:szCs w:val="36"/>
          <w:highlight w:val="none"/>
        </w:rPr>
      </w:pPr>
      <w:bookmarkStart w:id="2365" w:name="_Toc501257465"/>
      <w:bookmarkStart w:id="2366" w:name="_Toc23747854"/>
      <w:bookmarkStart w:id="2367" w:name="_Toc19927"/>
      <w:bookmarkStart w:id="2368" w:name="_Toc18883"/>
      <w:bookmarkStart w:id="2369" w:name="_Toc30201"/>
      <w:r>
        <w:rPr>
          <w:rFonts w:hint="default" w:ascii="Times New Roman" w:hAnsi="Times New Roman" w:eastAsia="黑体" w:cs="Times New Roman"/>
          <w:b w:val="0"/>
          <w:color w:val="auto"/>
          <w:sz w:val="36"/>
          <w:szCs w:val="36"/>
          <w:highlight w:val="none"/>
        </w:rPr>
        <w:t>第五章</w:t>
      </w:r>
      <w:bookmarkEnd w:id="2364"/>
      <w:bookmarkEnd w:id="2365"/>
      <w:r>
        <w:rPr>
          <w:rFonts w:hint="default" w:ascii="Times New Roman" w:hAnsi="Times New Roman" w:eastAsia="黑体" w:cs="Times New Roman"/>
          <w:b w:val="0"/>
          <w:color w:val="auto"/>
          <w:sz w:val="36"/>
          <w:szCs w:val="36"/>
          <w:highlight w:val="none"/>
        </w:rPr>
        <w:t>发包人要求</w:t>
      </w:r>
      <w:bookmarkEnd w:id="2366"/>
      <w:bookmarkEnd w:id="2367"/>
      <w:bookmarkEnd w:id="2368"/>
      <w:bookmarkEnd w:id="2369"/>
    </w:p>
    <w:p>
      <w:pPr>
        <w:pageBreakBefore w:val="0"/>
        <w:kinsoku/>
        <w:wordWrap w:val="0"/>
        <w:overflowPunct/>
        <w:bidi w:val="0"/>
        <w:spacing w:line="400" w:lineRule="exact"/>
        <w:rPr>
          <w:rFonts w:hint="default" w:ascii="Times New Roman" w:hAnsi="Times New Roman" w:cs="Times New Roman"/>
          <w:color w:val="auto"/>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1"/>
        <w:rPr>
          <w:rFonts w:hint="default" w:ascii="Times New Roman" w:hAnsi="Times New Roman" w:eastAsia="黑体" w:cs="Times New Roman"/>
          <w:color w:val="auto"/>
          <w:kern w:val="0"/>
          <w:sz w:val="24"/>
          <w:szCs w:val="20"/>
          <w:highlight w:val="none"/>
        </w:rPr>
      </w:pPr>
      <w:bookmarkStart w:id="2370" w:name="_Toc6092"/>
      <w:bookmarkStart w:id="2371" w:name="_Toc8512"/>
      <w:bookmarkStart w:id="2372" w:name="_Toc404093979"/>
      <w:bookmarkStart w:id="2373" w:name="_Toc1601"/>
      <w:bookmarkStart w:id="2374" w:name="_Toc404093982"/>
      <w:r>
        <w:rPr>
          <w:rFonts w:hint="default" w:ascii="Times New Roman" w:hAnsi="Times New Roman" w:eastAsia="黑体" w:cs="Times New Roman"/>
          <w:color w:val="auto"/>
          <w:kern w:val="0"/>
          <w:sz w:val="24"/>
          <w:szCs w:val="20"/>
          <w:highlight w:val="none"/>
        </w:rPr>
        <w:t>一、工程说明</w:t>
      </w:r>
      <w:bookmarkEnd w:id="2370"/>
      <w:bookmarkEnd w:id="2371"/>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bookmarkStart w:id="2375" w:name="_Toc501257466"/>
      <w:bookmarkStart w:id="2376" w:name="_Toc234833242"/>
      <w:r>
        <w:rPr>
          <w:rFonts w:hint="default" w:ascii="Times New Roman" w:hAnsi="Times New Roman" w:eastAsia="黑体" w:cs="Times New Roman"/>
          <w:color w:val="auto"/>
          <w:kern w:val="0"/>
          <w:sz w:val="24"/>
          <w:szCs w:val="20"/>
          <w:highlight w:val="none"/>
        </w:rPr>
        <w:t>1.</w:t>
      </w:r>
      <w:bookmarkEnd w:id="2375"/>
      <w:bookmarkEnd w:id="2376"/>
      <w:r>
        <w:rPr>
          <w:rFonts w:hint="default" w:ascii="Times New Roman" w:hAnsi="Times New Roman" w:eastAsia="黑体" w:cs="Times New Roman"/>
          <w:color w:val="auto"/>
          <w:kern w:val="0"/>
          <w:sz w:val="24"/>
          <w:szCs w:val="20"/>
          <w:highlight w:val="none"/>
        </w:rPr>
        <w:t>1工程概况</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1.2主要技术标准</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1"/>
        <w:rPr>
          <w:rFonts w:hint="default" w:ascii="Times New Roman" w:hAnsi="Times New Roman" w:eastAsia="黑体" w:cs="Times New Roman"/>
          <w:color w:val="auto"/>
          <w:kern w:val="0"/>
          <w:sz w:val="24"/>
          <w:szCs w:val="20"/>
          <w:highlight w:val="none"/>
        </w:rPr>
      </w:pPr>
      <w:bookmarkStart w:id="2377" w:name="_Toc25085"/>
      <w:bookmarkStart w:id="2378" w:name="_Toc29267"/>
      <w:r>
        <w:rPr>
          <w:rFonts w:hint="default" w:ascii="Times New Roman" w:hAnsi="Times New Roman" w:eastAsia="黑体" w:cs="Times New Roman"/>
          <w:color w:val="auto"/>
          <w:kern w:val="0"/>
          <w:sz w:val="24"/>
          <w:szCs w:val="20"/>
          <w:highlight w:val="none"/>
        </w:rPr>
        <w:t>二、主要工作内容</w:t>
      </w:r>
      <w:bookmarkEnd w:id="2377"/>
      <w:bookmarkEnd w:id="2378"/>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2.1勘察工作内容</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bookmarkStart w:id="2379" w:name="_Toc501257467"/>
      <w:bookmarkStart w:id="2380" w:name="_Toc234833243"/>
      <w:r>
        <w:rPr>
          <w:rFonts w:hint="default" w:ascii="Times New Roman" w:hAnsi="Times New Roman" w:eastAsia="黑体" w:cs="Times New Roman"/>
          <w:color w:val="auto"/>
          <w:kern w:val="0"/>
          <w:sz w:val="24"/>
          <w:szCs w:val="20"/>
          <w:highlight w:val="none"/>
        </w:rPr>
        <w:t>2.</w:t>
      </w:r>
      <w:bookmarkEnd w:id="2379"/>
      <w:bookmarkEnd w:id="2380"/>
      <w:r>
        <w:rPr>
          <w:rFonts w:hint="default" w:ascii="Times New Roman" w:hAnsi="Times New Roman" w:eastAsia="黑体" w:cs="Times New Roman"/>
          <w:color w:val="auto"/>
          <w:kern w:val="0"/>
          <w:sz w:val="24"/>
          <w:szCs w:val="20"/>
          <w:highlight w:val="none"/>
        </w:rPr>
        <w:t>2设计工作内容</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2.3施工工作内容</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2.4交工验收工作内容</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2.5缺陷责任期工作内容</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2.6竣工验收工作内容</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2.7保修工作内容</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1"/>
        <w:rPr>
          <w:rFonts w:hint="default" w:ascii="Times New Roman" w:hAnsi="Times New Roman" w:eastAsia="黑体" w:cs="Times New Roman"/>
          <w:color w:val="auto"/>
          <w:kern w:val="0"/>
          <w:sz w:val="24"/>
          <w:szCs w:val="20"/>
          <w:highlight w:val="none"/>
        </w:rPr>
      </w:pPr>
      <w:bookmarkStart w:id="2381" w:name="_Toc27420"/>
      <w:bookmarkStart w:id="2382" w:name="_Toc30009"/>
      <w:r>
        <w:rPr>
          <w:rFonts w:hint="default" w:ascii="Times New Roman" w:hAnsi="Times New Roman" w:eastAsia="黑体" w:cs="Times New Roman"/>
          <w:color w:val="auto"/>
          <w:kern w:val="0"/>
          <w:sz w:val="24"/>
          <w:szCs w:val="20"/>
          <w:highlight w:val="none"/>
        </w:rPr>
        <w:t>三、时间要求</w:t>
      </w:r>
      <w:bookmarkEnd w:id="2381"/>
      <w:bookmarkEnd w:id="2382"/>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3.1开始工作时间</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3.2勘察设计工作时间</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bookmarkStart w:id="2383" w:name="_Toc234833244"/>
      <w:bookmarkStart w:id="2384" w:name="_Toc501257468"/>
      <w:r>
        <w:rPr>
          <w:rFonts w:hint="default" w:ascii="Times New Roman" w:hAnsi="Times New Roman" w:eastAsia="黑体" w:cs="Times New Roman"/>
          <w:color w:val="auto"/>
          <w:kern w:val="0"/>
          <w:sz w:val="24"/>
          <w:szCs w:val="20"/>
          <w:highlight w:val="none"/>
        </w:rPr>
        <w:t>3.</w:t>
      </w:r>
      <w:bookmarkEnd w:id="2383"/>
      <w:bookmarkEnd w:id="2384"/>
      <w:r>
        <w:rPr>
          <w:rFonts w:hint="default" w:ascii="Times New Roman" w:hAnsi="Times New Roman" w:eastAsia="黑体" w:cs="Times New Roman"/>
          <w:color w:val="auto"/>
          <w:kern w:val="0"/>
          <w:sz w:val="24"/>
          <w:szCs w:val="20"/>
          <w:highlight w:val="none"/>
        </w:rPr>
        <w:t>3进度安排</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3.4完工时间、交工时间及竣工时间</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3.5缺陷责任期</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1"/>
        <w:rPr>
          <w:rFonts w:hint="default" w:ascii="Times New Roman" w:hAnsi="Times New Roman" w:eastAsia="黑体" w:cs="Times New Roman"/>
          <w:color w:val="auto"/>
          <w:kern w:val="0"/>
          <w:sz w:val="24"/>
          <w:szCs w:val="20"/>
          <w:highlight w:val="none"/>
        </w:rPr>
      </w:pPr>
      <w:bookmarkStart w:id="2385" w:name="_Toc19182"/>
      <w:bookmarkStart w:id="2386" w:name="_Toc30212"/>
      <w:r>
        <w:rPr>
          <w:rFonts w:hint="default" w:ascii="Times New Roman" w:hAnsi="Times New Roman" w:eastAsia="黑体" w:cs="Times New Roman"/>
          <w:color w:val="auto"/>
          <w:kern w:val="0"/>
          <w:sz w:val="24"/>
          <w:szCs w:val="20"/>
          <w:highlight w:val="none"/>
        </w:rPr>
        <w:t>四、发包人管理要求</w:t>
      </w:r>
      <w:bookmarkEnd w:id="2385"/>
      <w:bookmarkEnd w:id="2386"/>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4.1设计管理</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4.2施工管理</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4.3质量管理</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4.4进度管理</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bookmarkStart w:id="2387" w:name="_Toc234833245"/>
      <w:bookmarkStart w:id="2388" w:name="_Toc501257469"/>
      <w:r>
        <w:rPr>
          <w:rFonts w:hint="default" w:ascii="Times New Roman" w:hAnsi="Times New Roman" w:eastAsia="黑体" w:cs="Times New Roman"/>
          <w:color w:val="auto"/>
          <w:kern w:val="0"/>
          <w:sz w:val="24"/>
          <w:szCs w:val="20"/>
          <w:highlight w:val="none"/>
        </w:rPr>
        <w:t>4.</w:t>
      </w:r>
      <w:bookmarkEnd w:id="2387"/>
      <w:bookmarkEnd w:id="2388"/>
      <w:r>
        <w:rPr>
          <w:rFonts w:hint="default" w:ascii="Times New Roman" w:hAnsi="Times New Roman" w:eastAsia="黑体" w:cs="Times New Roman"/>
          <w:color w:val="auto"/>
          <w:kern w:val="0"/>
          <w:sz w:val="24"/>
          <w:szCs w:val="20"/>
          <w:highlight w:val="none"/>
        </w:rPr>
        <w:t>5费用管理</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4.6风险管理</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4.7安全与环境管理</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4.8文档管理</w:t>
      </w: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9"/>
        <w:rPr>
          <w:rFonts w:hint="default" w:ascii="Times New Roman" w:hAnsi="Times New Roman" w:eastAsia="黑体"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4.9审计</w:t>
      </w:r>
    </w:p>
    <w:p>
      <w:pPr>
        <w:pageBreakBefore w:val="0"/>
        <w:kinsoku/>
        <w:wordWrap w:val="0"/>
        <w:overflowPunct/>
        <w:autoSpaceDE/>
        <w:autoSpaceDN/>
        <w:bidi w:val="0"/>
        <w:spacing w:line="440" w:lineRule="exact"/>
        <w:ind w:firstLine="410" w:firstLineChars="17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p>
      <w:pPr>
        <w:keepNext/>
        <w:keepLines w:val="0"/>
        <w:pageBreakBefore w:val="0"/>
        <w:widowControl w:val="0"/>
        <w:kinsoku/>
        <w:wordWrap w:val="0"/>
        <w:overflowPunct/>
        <w:topLinePunct w:val="0"/>
        <w:autoSpaceDE/>
        <w:autoSpaceDN/>
        <w:bidi w:val="0"/>
        <w:adjustRightInd w:val="0"/>
        <w:snapToGrid/>
        <w:spacing w:before="200" w:after="200" w:line="400" w:lineRule="exact"/>
        <w:jc w:val="left"/>
        <w:textAlignment w:val="baseline"/>
        <w:outlineLvl w:val="1"/>
        <w:rPr>
          <w:rFonts w:hint="default" w:ascii="Times New Roman" w:hAnsi="Times New Roman" w:eastAsia="黑体" w:cs="Times New Roman"/>
          <w:color w:val="auto"/>
          <w:kern w:val="0"/>
          <w:sz w:val="24"/>
          <w:szCs w:val="20"/>
          <w:highlight w:val="none"/>
        </w:rPr>
      </w:pPr>
      <w:bookmarkStart w:id="2389" w:name="_Toc21595"/>
      <w:bookmarkStart w:id="2390" w:name="_Toc25176"/>
      <w:r>
        <w:rPr>
          <w:rFonts w:hint="default" w:ascii="Times New Roman" w:hAnsi="Times New Roman" w:eastAsia="黑体" w:cs="Times New Roman"/>
          <w:color w:val="auto"/>
          <w:kern w:val="0"/>
          <w:sz w:val="24"/>
          <w:szCs w:val="20"/>
          <w:highlight w:val="none"/>
        </w:rPr>
        <w:t>五、技术标准和规范</w:t>
      </w:r>
      <w:bookmarkEnd w:id="2372"/>
      <w:bookmarkEnd w:id="2373"/>
      <w:bookmarkEnd w:id="2389"/>
      <w:bookmarkEnd w:id="2390"/>
    </w:p>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8"/>
          <w:szCs w:val="28"/>
          <w:highlight w:val="none"/>
        </w:rPr>
      </w:pPr>
      <w:bookmarkStart w:id="2391" w:name="_Toc404093980"/>
      <w:bookmarkStart w:id="2392" w:name="_Toc26022"/>
      <w:bookmarkStart w:id="2393" w:name="_Toc23747855"/>
      <w:r>
        <w:rPr>
          <w:rFonts w:hint="default" w:ascii="Times New Roman" w:hAnsi="Times New Roman" w:cs="Times New Roman"/>
          <w:color w:val="auto"/>
          <w:sz w:val="28"/>
          <w:szCs w:val="28"/>
          <w:highlight w:val="none"/>
        </w:rPr>
        <w:t>5.1勘察设计工作应执行的技术标准和规范</w:t>
      </w:r>
      <w:bookmarkEnd w:id="2391"/>
      <w:bookmarkEnd w:id="2392"/>
      <w:bookmarkEnd w:id="2393"/>
    </w:p>
    <w:p>
      <w:pPr>
        <w:pageBreakBefore w:val="0"/>
        <w:kinsoku/>
        <w:wordWrap w:val="0"/>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工程的勘察设计过程和成果必须符合国家有关工程建设标准强制性条文和交通运输部关于公路勘察设计方面现行的标准、规范、规程、定额、办法、示例以及招标项目所在地关于公路工程勘察设计方面的文件、规定。</w:t>
      </w:r>
    </w:p>
    <w:p>
      <w:pPr>
        <w:pageBreakBefore w:val="0"/>
        <w:kinsoku/>
        <w:wordWrap w:val="0"/>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承包人在勘察设计工作中使用或参考下述标准、规范以外的技术标准、规范时，应征得发包人或发包人的指定代表人的同意。</w:t>
      </w:r>
    </w:p>
    <w:p>
      <w:pPr>
        <w:pageBreakBefore w:val="0"/>
        <w:kinsoku/>
        <w:wordWrap w:val="0"/>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在设计过程中，如果国家或有关部门颁布了新的技术标准或规范，则承包人应采用新的标准或规范进行勘察设计。</w:t>
      </w:r>
    </w:p>
    <w:p>
      <w:pPr>
        <w:pageBreakBefore w:val="0"/>
        <w:kinsoku/>
        <w:wordWrap w:val="0"/>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承包人在勘察设计工作中必须使用中华人民共和国《工程建设标准强制性条文》(公路工程部分)和下述标准、规范(不限于)：</w:t>
      </w:r>
    </w:p>
    <w:tbl>
      <w:tblPr>
        <w:tblStyle w:val="37"/>
        <w:tblW w:w="8783" w:type="dxa"/>
        <w:tblInd w:w="108" w:type="dxa"/>
        <w:tblLayout w:type="fixed"/>
        <w:tblCellMar>
          <w:top w:w="0" w:type="dxa"/>
          <w:left w:w="108" w:type="dxa"/>
          <w:bottom w:w="0" w:type="dxa"/>
          <w:right w:w="108" w:type="dxa"/>
        </w:tblCellMar>
      </w:tblPr>
      <w:tblGrid>
        <w:gridCol w:w="2977"/>
        <w:gridCol w:w="5806"/>
      </w:tblGrid>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bookmarkStart w:id="2394" w:name="_Toc234833246"/>
            <w:bookmarkStart w:id="2395" w:name="_Toc501257470"/>
            <w:bookmarkStart w:id="2396" w:name="_Toc23747856"/>
            <w:bookmarkStart w:id="2397" w:name="_Toc12013"/>
            <w:bookmarkStart w:id="2398" w:name="_Toc404093981"/>
            <w:r>
              <w:rPr>
                <w:rFonts w:hint="default" w:ascii="Times New Roman" w:hAnsi="Times New Roman" w:cs="Times New Roman"/>
                <w:color w:val="auto"/>
                <w:sz w:val="24"/>
                <w:highlight w:val="none"/>
              </w:rPr>
              <w:t>1.（JTG B01-2014）</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《公路工程技术标准》</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2.（JTJ 002-87）</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《公路工程名词术语》</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3.（JTJ 003-86）</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《公路自然区划标准》</w:t>
            </w:r>
          </w:p>
        </w:tc>
      </w:tr>
      <w:tr>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4.（JTG/T 2231-01-2020）</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《公路桥梁抗震设计</w:t>
            </w:r>
            <w:r>
              <w:rPr>
                <w:rFonts w:hint="default" w:ascii="Times New Roman" w:hAnsi="Times New Roman" w:cs="Times New Roman"/>
                <w:color w:val="auto"/>
                <w:sz w:val="24"/>
                <w:highlight w:val="none"/>
                <w:lang w:val="en-US" w:eastAsia="zh-CN"/>
              </w:rPr>
              <w:t>规范</w:t>
            </w:r>
            <w:r>
              <w:rPr>
                <w:rFonts w:hint="default" w:ascii="Times New Roman" w:hAnsi="Times New Roman" w:cs="Times New Roman"/>
                <w:color w:val="auto"/>
                <w:sz w:val="24"/>
                <w:highlight w:val="none"/>
              </w:rPr>
              <w:t>》</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5.（JTG B03-2006）</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《公路建设项目环境影响评价规范》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6.（JTG B04-2010）</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《公路环境保护设计规范》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7.（JTG C10-2007）</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《公路勘测规范》</w:t>
            </w:r>
          </w:p>
        </w:tc>
      </w:tr>
      <w:tr>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8.（JTG C20-2011）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《公路工程地质勘察规范》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9.（JTG C30-2015）</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 xml:space="preserve">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《公路工程水文勘测设计规范》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10.（JTG 3430</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2020）</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 xml:space="preserve">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《公路土工试验规程》</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11.（JTG D20-2017）</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 xml:space="preserve">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《公路路线设计规范》</w:t>
            </w:r>
          </w:p>
        </w:tc>
      </w:tr>
      <w:tr>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12．（JTG/T D21-2014）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《公路立体交叉设计细则》</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13.（JTG D30-2015）</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《公路路基设计规范》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14.（JTG D50-2017）</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《公路沥青路面设计规范》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15.（JTG D40-2011）</w:t>
            </w:r>
            <w:r>
              <w:rPr>
                <w:rFonts w:hint="default" w:ascii="Times New Roman" w:hAnsi="Times New Roman" w:cs="Times New Roman"/>
                <w:color w:val="auto"/>
                <w:sz w:val="24"/>
                <w:highlight w:val="none"/>
              </w:rPr>
              <w:tab/>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《公路水泥混凝土路面设计规范》</w:t>
            </w:r>
          </w:p>
        </w:tc>
      </w:tr>
      <w:tr>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 xml:space="preserve">（JTG/T D33-2012）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《公路排水设计规范》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17.（JTG D60-2015）</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《公路桥涵设计通用规范》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18.（JTG D61-2005）</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 xml:space="preserve">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《公路圬工桥涵设计规范》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19.（JTG 3362</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 xml:space="preserve">2018）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《公路钢筋混凝土及预应力混凝土桥涵设计规范》</w:t>
            </w:r>
          </w:p>
        </w:tc>
      </w:tr>
      <w:tr>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20.（JTG 3363</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 xml:space="preserve">2019）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《公路桥涵地基与基础设计规范》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21.（JTG D64-2015）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《公路钢结构桥梁设计规范》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22.（JTG 3370.1-2018）</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《公路隧道设计规范</w:t>
            </w:r>
            <w:r>
              <w:rPr>
                <w:rFonts w:hint="default"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第一册 土建工</w:t>
            </w:r>
            <w:r>
              <w:rPr>
                <w:rFonts w:hint="default" w:ascii="Times New Roman" w:hAnsi="Times New Roman" w:cs="Times New Roman"/>
                <w:color w:val="auto"/>
                <w:sz w:val="24"/>
                <w:highlight w:val="none"/>
                <w:lang w:val="en-US" w:eastAsia="zh-CN"/>
              </w:rPr>
              <w:t>程</w:t>
            </w:r>
            <w:r>
              <w:rPr>
                <w:rFonts w:hint="default" w:ascii="Times New Roman" w:hAnsi="Times New Roman" w:cs="Times New Roman"/>
                <w:color w:val="auto"/>
                <w:sz w:val="24"/>
                <w:highlight w:val="none"/>
              </w:rPr>
              <w:t>》</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23.（JTG D70/2-2014）</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《公路隧道设计规范 第二册 交通工程与附属设施》</w:t>
            </w:r>
          </w:p>
        </w:tc>
      </w:tr>
      <w:tr>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24.（JTG/T D70/2-01-2014）</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《公路隧道照明设计细则》</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25.（JTG/T D70/2-02-2014）</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《公路隧道通风设计细则》</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26.（JTG D81-2017）</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《公路交通安全设施设计规范》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27.（JTG/T D81-2017）</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《公路交通安全设施设计细则》</w:t>
            </w:r>
          </w:p>
        </w:tc>
      </w:tr>
      <w:tr>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28.（JTG/T3310</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2019）</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《公路工程混凝土结构耐久性设计规范》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29.（JTG B05-2015）</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《公路项目安全性评价规范》</w:t>
            </w:r>
          </w:p>
        </w:tc>
      </w:tr>
      <w:tr>
        <w:tblPrEx>
          <w:tblCellMar>
            <w:top w:w="0" w:type="dxa"/>
            <w:left w:w="108" w:type="dxa"/>
            <w:bottom w:w="0" w:type="dxa"/>
            <w:right w:w="108" w:type="dxa"/>
          </w:tblCellMar>
        </w:tblPrEx>
        <w:trPr>
          <w:trHeight w:val="90" w:hRule="atLeast"/>
        </w:trPr>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30.（JTG 2120</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2020）</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《公路工程结构可靠度设计统一标准》</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31.（GB 50162-92）</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《道路工程制图标准》</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32.（交公路发[2007]358号）</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《公路工程基本建设项目设计文件编制办法》</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33.（JTG 3830</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2018）</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《公路工程建设项目概算预算编制办法》</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34.（JTGT 3831</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2018）</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《公路工程概算定额》</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35.（JTGT 3832</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2018）</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《公路工程预算定额》</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36.（JTGT 3833</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2018）</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《公路工程机械台班费用定额》</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37.（建标[</w:t>
            </w:r>
            <w:r>
              <w:rPr>
                <w:rFonts w:hint="default" w:ascii="Times New Roman" w:hAnsi="Times New Roman" w:cs="Times New Roman"/>
                <w:color w:val="auto"/>
                <w:sz w:val="24"/>
                <w:highlight w:val="none"/>
                <w:lang w:eastAsia="zh-CN"/>
              </w:rPr>
              <w:t>2</w:t>
            </w:r>
            <w:r>
              <w:rPr>
                <w:rFonts w:hint="default" w:ascii="Times New Roman" w:hAnsi="Times New Roman" w:cs="Times New Roman"/>
                <w:color w:val="auto"/>
                <w:sz w:val="24"/>
                <w:highlight w:val="none"/>
                <w:lang w:val="en-US" w:eastAsia="zh-CN"/>
              </w:rPr>
              <w:t>011</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124</w:t>
            </w:r>
            <w:r>
              <w:rPr>
                <w:rFonts w:hint="default" w:ascii="Times New Roman" w:hAnsi="Times New Roman" w:cs="Times New Roman"/>
                <w:color w:val="auto"/>
                <w:sz w:val="24"/>
                <w:highlight w:val="none"/>
              </w:rPr>
              <w:t>号）</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《公路工程项目建设用地指标》</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38.（YD 2002-92）</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《长途通信干线电缆线路工程设计规范》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39.（</w:t>
            </w:r>
            <w:r>
              <w:rPr>
                <w:rFonts w:hint="default" w:ascii="Times New Roman" w:hAnsi="Times New Roman" w:cs="Times New Roman"/>
                <w:color w:val="auto"/>
                <w:sz w:val="24"/>
                <w:highlight w:val="none"/>
                <w:lang w:val="en-US" w:eastAsia="zh-CN"/>
              </w:rPr>
              <w:t>GB</w:t>
            </w:r>
            <w:r>
              <w:rPr>
                <w:rFonts w:hint="default" w:ascii="Times New Roman" w:hAnsi="Times New Roman" w:cs="Times New Roman"/>
                <w:color w:val="auto"/>
                <w:sz w:val="24"/>
                <w:highlight w:val="none"/>
              </w:rPr>
              <w:t xml:space="preserve"> 51158-2015）</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《通信线路工程设计规范》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r>
              <w:rPr>
                <w:rFonts w:hint="eastAsia" w:cs="Times New Roman"/>
                <w:color w:val="auto"/>
                <w:sz w:val="24"/>
                <w:highlight w:val="none"/>
                <w:lang w:val="en-US" w:eastAsia="zh-CN"/>
              </w:rPr>
              <w:t>0</w:t>
            </w:r>
            <w:r>
              <w:rPr>
                <w:rFonts w:hint="default" w:ascii="Times New Roman" w:hAnsi="Times New Roman" w:cs="Times New Roman"/>
                <w:color w:val="auto"/>
                <w:sz w:val="24"/>
                <w:highlight w:val="none"/>
              </w:rPr>
              <w:t xml:space="preserve">.（GB 50689-2011）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《通信局（站）防雷与接地设计工程技术规定》</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r>
              <w:rPr>
                <w:rFonts w:hint="eastAsia" w:cs="Times New Roman"/>
                <w:color w:val="auto"/>
                <w:sz w:val="24"/>
                <w:highlight w:val="none"/>
                <w:lang w:val="en-US" w:eastAsia="zh-CN"/>
              </w:rPr>
              <w:t>1</w:t>
            </w:r>
            <w:r>
              <w:rPr>
                <w:rFonts w:hint="default" w:ascii="Times New Roman" w:hAnsi="Times New Roman" w:cs="Times New Roman"/>
                <w:color w:val="auto"/>
                <w:sz w:val="24"/>
                <w:highlight w:val="none"/>
              </w:rPr>
              <w:t>.（GB/T</w:t>
            </w:r>
            <w:r>
              <w:rPr>
                <w:rFonts w:hint="default"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50374-2018）</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《通信管道工程施工及验收技术</w:t>
            </w:r>
            <w:r>
              <w:rPr>
                <w:rFonts w:hint="default" w:ascii="Times New Roman" w:hAnsi="Times New Roman" w:cs="Times New Roman"/>
                <w:color w:val="auto"/>
                <w:sz w:val="24"/>
                <w:highlight w:val="none"/>
                <w:lang w:val="en-US" w:eastAsia="zh-CN"/>
              </w:rPr>
              <w:t>标准</w:t>
            </w:r>
            <w:r>
              <w:rPr>
                <w:rFonts w:hint="default" w:ascii="Times New Roman" w:hAnsi="Times New Roman" w:cs="Times New Roman"/>
                <w:color w:val="auto"/>
                <w:sz w:val="24"/>
                <w:highlight w:val="none"/>
              </w:rPr>
              <w:t>》</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rPr>
              <w:t>.（GB 50198-2011）</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《民用闭路监视电视系统工程技术规范》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r>
              <w:rPr>
                <w:rFonts w:hint="eastAsia" w:cs="Times New Roman"/>
                <w:color w:val="auto"/>
                <w:sz w:val="24"/>
                <w:highlight w:val="none"/>
                <w:lang w:val="en-US" w:eastAsia="zh-CN"/>
              </w:rPr>
              <w:t>3</w:t>
            </w:r>
            <w:r>
              <w:rPr>
                <w:rFonts w:hint="default" w:ascii="Times New Roman" w:hAnsi="Times New Roman" w:cs="Times New Roman"/>
                <w:color w:val="auto"/>
                <w:sz w:val="24"/>
                <w:highlight w:val="none"/>
              </w:rPr>
              <w:t>.（GB 50174-20</w:t>
            </w:r>
            <w:r>
              <w:rPr>
                <w:rFonts w:hint="default" w:ascii="Times New Roman" w:hAnsi="Times New Roman" w:cs="Times New Roman"/>
                <w:color w:val="auto"/>
                <w:sz w:val="24"/>
                <w:highlight w:val="none"/>
                <w:lang w:val="en-US" w:eastAsia="zh-CN"/>
              </w:rPr>
              <w:t>17</w:t>
            </w:r>
            <w:r>
              <w:rPr>
                <w:rFonts w:hint="default" w:ascii="Times New Roman" w:hAnsi="Times New Roman" w:cs="Times New Roman"/>
                <w:color w:val="auto"/>
                <w:sz w:val="24"/>
                <w:highlight w:val="none"/>
              </w:rPr>
              <w:t>）</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《电子信息系统机房设计规范》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r>
              <w:rPr>
                <w:rFonts w:hint="eastAsia" w:cs="Times New Roman"/>
                <w:color w:val="auto"/>
                <w:sz w:val="24"/>
                <w:highlight w:val="none"/>
                <w:lang w:val="en-US" w:eastAsia="zh-CN"/>
              </w:rPr>
              <w:t>4</w:t>
            </w:r>
            <w:r>
              <w:rPr>
                <w:rFonts w:hint="default" w:ascii="Times New Roman" w:hAnsi="Times New Roman" w:cs="Times New Roman"/>
                <w:color w:val="auto"/>
                <w:sz w:val="24"/>
                <w:highlight w:val="none"/>
              </w:rPr>
              <w:t>.（ITU-T）</w:t>
            </w:r>
            <w:r>
              <w:rPr>
                <w:rFonts w:hint="default" w:ascii="Times New Roman" w:hAnsi="Times New Roman" w:cs="Times New Roman"/>
                <w:color w:val="auto"/>
                <w:sz w:val="24"/>
                <w:highlight w:val="none"/>
              </w:rPr>
              <w:tab/>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《国际电工协会系列标准》</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r>
              <w:rPr>
                <w:rFonts w:hint="eastAsia" w:cs="Times New Roman"/>
                <w:color w:val="auto"/>
                <w:sz w:val="24"/>
                <w:highlight w:val="none"/>
                <w:lang w:val="en-US" w:eastAsia="zh-CN"/>
              </w:rPr>
              <w:t>5</w:t>
            </w:r>
            <w:r>
              <w:rPr>
                <w:rFonts w:hint="default" w:ascii="Times New Roman" w:hAnsi="Times New Roman" w:cs="Times New Roman"/>
                <w:color w:val="auto"/>
                <w:sz w:val="24"/>
                <w:highlight w:val="none"/>
              </w:rPr>
              <w:t>.（GB 50057-2010）</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《建筑物防雷设计规范》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r>
              <w:rPr>
                <w:rFonts w:hint="eastAsia" w:cs="Times New Roman"/>
                <w:color w:val="auto"/>
                <w:sz w:val="24"/>
                <w:highlight w:val="none"/>
                <w:lang w:val="en-US" w:eastAsia="zh-CN"/>
              </w:rPr>
              <w:t>6</w:t>
            </w:r>
            <w:r>
              <w:rPr>
                <w:rFonts w:hint="default" w:ascii="Times New Roman" w:hAnsi="Times New Roman" w:cs="Times New Roman"/>
                <w:color w:val="auto"/>
                <w:sz w:val="24"/>
                <w:highlight w:val="none"/>
              </w:rPr>
              <w:t xml:space="preserve">.（GB51348-2019）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《民用建筑电气设计</w:t>
            </w:r>
            <w:r>
              <w:rPr>
                <w:rFonts w:hint="default" w:ascii="Times New Roman" w:hAnsi="Times New Roman" w:cs="Times New Roman"/>
                <w:color w:val="auto"/>
                <w:sz w:val="24"/>
                <w:highlight w:val="none"/>
                <w:lang w:val="en-US" w:eastAsia="zh-CN"/>
              </w:rPr>
              <w:t>标准</w:t>
            </w:r>
            <w:r>
              <w:rPr>
                <w:rFonts w:hint="default" w:ascii="Times New Roman" w:hAnsi="Times New Roman" w:cs="Times New Roman"/>
                <w:color w:val="auto"/>
                <w:sz w:val="24"/>
                <w:highlight w:val="none"/>
              </w:rPr>
              <w:t>》</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r>
              <w:rPr>
                <w:rFonts w:hint="eastAsia" w:cs="Times New Roman"/>
                <w:color w:val="auto"/>
                <w:sz w:val="24"/>
                <w:highlight w:val="none"/>
                <w:lang w:val="en-US" w:eastAsia="zh-CN"/>
              </w:rPr>
              <w:t>7</w:t>
            </w:r>
            <w:r>
              <w:rPr>
                <w:rFonts w:hint="default" w:ascii="Times New Roman" w:hAnsi="Times New Roman" w:cs="Times New Roman"/>
                <w:color w:val="auto"/>
                <w:sz w:val="24"/>
                <w:highlight w:val="none"/>
              </w:rPr>
              <w:t xml:space="preserve">.（YD 5121-2010）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《通信线路工程验收规范》</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eastAsia" w:cs="Times New Roman"/>
                <w:color w:val="auto"/>
                <w:sz w:val="24"/>
                <w:highlight w:val="none"/>
                <w:lang w:val="en-US" w:eastAsia="zh-CN"/>
              </w:rPr>
              <w:t>48</w:t>
            </w:r>
            <w:r>
              <w:rPr>
                <w:rFonts w:hint="default" w:ascii="Times New Roman" w:hAnsi="Times New Roman" w:cs="Times New Roman"/>
                <w:color w:val="auto"/>
                <w:sz w:val="24"/>
                <w:highlight w:val="none"/>
              </w:rPr>
              <w:t>.（GB</w:t>
            </w:r>
            <w:r>
              <w:rPr>
                <w:rFonts w:hint="default"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 xml:space="preserve">50168-2018）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《电气装置安装工程电缆线路施工及验收标准》</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eastAsia" w:cs="Times New Roman"/>
                <w:color w:val="auto"/>
                <w:sz w:val="24"/>
                <w:highlight w:val="none"/>
                <w:lang w:val="en-US" w:eastAsia="zh-CN"/>
              </w:rPr>
              <w:t>49</w:t>
            </w:r>
            <w:r>
              <w:rPr>
                <w:rFonts w:hint="default" w:ascii="Times New Roman" w:hAnsi="Times New Roman" w:cs="Times New Roman"/>
                <w:color w:val="auto"/>
                <w:sz w:val="24"/>
                <w:highlight w:val="none"/>
              </w:rPr>
              <w:t xml:space="preserve">.（JTG/T C10-2007）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《公路勘测细则》</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w:t>
            </w:r>
            <w:r>
              <w:rPr>
                <w:rFonts w:hint="eastAsia" w:cs="Times New Roman"/>
                <w:color w:val="auto"/>
                <w:sz w:val="24"/>
                <w:highlight w:val="none"/>
                <w:lang w:val="en-US" w:eastAsia="zh-CN"/>
              </w:rPr>
              <w:t>0</w:t>
            </w:r>
            <w:r>
              <w:rPr>
                <w:rFonts w:hint="default" w:ascii="Times New Roman" w:hAnsi="Times New Roman" w:cs="Times New Roman"/>
                <w:color w:val="auto"/>
                <w:sz w:val="24"/>
                <w:highlight w:val="none"/>
              </w:rPr>
              <w:t>.（GB/T 20257.1-20</w:t>
            </w:r>
            <w:r>
              <w:rPr>
                <w:rFonts w:hint="default" w:ascii="Times New Roman" w:hAnsi="Times New Roman" w:cs="Times New Roman"/>
                <w:color w:val="auto"/>
                <w:sz w:val="24"/>
                <w:highlight w:val="none"/>
                <w:lang w:val="en-US" w:eastAsia="zh-CN"/>
              </w:rPr>
              <w:t>17</w:t>
            </w:r>
            <w:r>
              <w:rPr>
                <w:rFonts w:hint="default" w:ascii="Times New Roman" w:hAnsi="Times New Roman" w:cs="Times New Roman"/>
                <w:color w:val="auto"/>
                <w:sz w:val="24"/>
                <w:highlight w:val="none"/>
              </w:rPr>
              <w:t xml:space="preserve">） </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《1：500　1：1000　1：2000地形图图式》</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w:t>
            </w:r>
            <w:r>
              <w:rPr>
                <w:rFonts w:hint="eastAsia" w:cs="Times New Roman"/>
                <w:color w:val="auto"/>
                <w:sz w:val="24"/>
                <w:highlight w:val="none"/>
                <w:lang w:val="en-US" w:eastAsia="zh-CN"/>
              </w:rPr>
              <w:t>1</w:t>
            </w:r>
            <w:r>
              <w:rPr>
                <w:rFonts w:hint="default" w:ascii="Times New Roman" w:hAnsi="Times New Roman" w:cs="Times New Roman"/>
                <w:color w:val="auto"/>
                <w:sz w:val="24"/>
                <w:highlight w:val="none"/>
              </w:rPr>
              <w:t>.（GB/T 13923-2022）</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《基础地理信息要素分类与代码》</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rPr>
              <w:t>.（GB/T 24356-2023）</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《测绘成果质量检查与验收》</w:t>
            </w:r>
          </w:p>
        </w:tc>
      </w:tr>
      <w:tr>
        <w:tblPrEx>
          <w:tblCellMar>
            <w:top w:w="0" w:type="dxa"/>
            <w:left w:w="108" w:type="dxa"/>
            <w:bottom w:w="0" w:type="dxa"/>
            <w:right w:w="108" w:type="dxa"/>
          </w:tblCellMar>
        </w:tblPrEx>
        <w:tc>
          <w:tcPr>
            <w:tcW w:w="2977" w:type="dxa"/>
            <w:shd w:val="clear" w:color="auto" w:fill="auto"/>
          </w:tcPr>
          <w:p>
            <w:pPr>
              <w:pageBreakBefore w:val="0"/>
              <w:kinsoku/>
              <w:wordWrap w:val="0"/>
              <w:overflowPunct/>
              <w:autoSpaceDE/>
              <w:autoSpaceDN/>
              <w:bidi w:val="0"/>
              <w:snapToGrid w:val="0"/>
              <w:spacing w:line="400" w:lineRule="exact"/>
              <w:ind w:left="-105" w:leftChars="-50" w:right="-57"/>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w:t>
            </w:r>
            <w:r>
              <w:rPr>
                <w:rFonts w:hint="eastAsia" w:cs="Times New Roman"/>
                <w:color w:val="auto"/>
                <w:sz w:val="24"/>
                <w:highlight w:val="none"/>
                <w:lang w:val="en-US" w:eastAsia="zh-CN"/>
              </w:rPr>
              <w:t>3</w:t>
            </w:r>
            <w:r>
              <w:rPr>
                <w:rFonts w:hint="default" w:ascii="Times New Roman" w:hAnsi="Times New Roman" w:cs="Times New Roman"/>
                <w:color w:val="auto"/>
                <w:sz w:val="24"/>
                <w:highlight w:val="none"/>
              </w:rPr>
              <w:t>.（建质[20</w:t>
            </w:r>
            <w:r>
              <w:rPr>
                <w:rFonts w:hint="default" w:ascii="Times New Roman" w:hAnsi="Times New Roman" w:cs="Times New Roman"/>
                <w:color w:val="auto"/>
                <w:sz w:val="24"/>
                <w:highlight w:val="none"/>
                <w:lang w:val="en-US" w:eastAsia="zh-CN"/>
              </w:rPr>
              <w:t>16</w:t>
            </w:r>
            <w:r>
              <w:rPr>
                <w:rFonts w:hint="default" w:ascii="Times New Roman" w:hAnsi="Times New Roman" w:cs="Times New Roman"/>
                <w:color w:val="auto"/>
                <w:sz w:val="24"/>
                <w:highlight w:val="none"/>
              </w:rPr>
              <w:t>] 2</w:t>
            </w:r>
            <w:r>
              <w:rPr>
                <w:rFonts w:hint="default" w:ascii="Times New Roman" w:hAnsi="Times New Roman" w:cs="Times New Roman"/>
                <w:color w:val="auto"/>
                <w:sz w:val="24"/>
                <w:highlight w:val="none"/>
                <w:lang w:val="en-US" w:eastAsia="zh-CN"/>
              </w:rPr>
              <w:t>47</w:t>
            </w:r>
            <w:r>
              <w:rPr>
                <w:rFonts w:hint="default" w:ascii="Times New Roman" w:hAnsi="Times New Roman" w:cs="Times New Roman"/>
                <w:color w:val="auto"/>
                <w:sz w:val="24"/>
                <w:highlight w:val="none"/>
              </w:rPr>
              <w:t>号）</w:t>
            </w:r>
          </w:p>
        </w:tc>
        <w:tc>
          <w:tcPr>
            <w:tcW w:w="5806" w:type="dxa"/>
            <w:shd w:val="clear" w:color="auto" w:fill="auto"/>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《建筑工程设计文件编制深度规定》</w:t>
            </w:r>
          </w:p>
        </w:tc>
      </w:tr>
    </w:tbl>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5.</w:t>
      </w:r>
      <w:bookmarkEnd w:id="2394"/>
      <w:bookmarkEnd w:id="2395"/>
      <w:r>
        <w:rPr>
          <w:rFonts w:hint="default" w:ascii="Times New Roman" w:hAnsi="Times New Roman" w:cs="Times New Roman"/>
          <w:color w:val="auto"/>
          <w:sz w:val="28"/>
          <w:szCs w:val="28"/>
          <w:highlight w:val="none"/>
        </w:rPr>
        <w:t>2施工应执行的技术标准和规范</w:t>
      </w:r>
      <w:bookmarkEnd w:id="2396"/>
      <w:bookmarkEnd w:id="2397"/>
      <w:bookmarkEnd w:id="2398"/>
    </w:p>
    <w:p>
      <w:pPr>
        <w:pageBreakBefore w:val="0"/>
        <w:kinsoku/>
        <w:wordWrap w:val="0"/>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承包人在施工过程中必须使用中华人民共和国《工程建设标准强制性条文》(公路工程部分)和下述标准、规范(不限于)：</w:t>
      </w:r>
    </w:p>
    <w:tbl>
      <w:tblPr>
        <w:tblStyle w:val="37"/>
        <w:tblW w:w="8742" w:type="dxa"/>
        <w:tblInd w:w="0" w:type="dxa"/>
        <w:tblLayout w:type="fixed"/>
        <w:tblCellMar>
          <w:top w:w="0" w:type="dxa"/>
          <w:left w:w="108" w:type="dxa"/>
          <w:bottom w:w="0" w:type="dxa"/>
          <w:right w:w="108" w:type="dxa"/>
        </w:tblCellMar>
      </w:tblPr>
      <w:tblGrid>
        <w:gridCol w:w="558"/>
        <w:gridCol w:w="2970"/>
        <w:gridCol w:w="5214"/>
      </w:tblGrid>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 1001-2017）</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《公路工程标准体系》</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 B01-2014）</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《公路工程技术标准》</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（JTG/T D31-02-2013）</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《公路软土地基路堤设计与施工技术细则》</w:t>
            </w:r>
          </w:p>
        </w:tc>
      </w:tr>
      <w:tr>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（JTG/T 3331-03—2024）</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《采空区公路设计与施工技术规范》</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（JTG/T3331-04—2023）</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《多年冻土地区公路设计与施工技术规范》</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（JTG/T D31-05-2017）</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《黄土地区公路路基设计与施工技术规范》</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（JTG/T D31-06-2017）</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《季节性冻土地区公路设计与施工技术规范》</w:t>
            </w:r>
          </w:p>
        </w:tc>
      </w:tr>
      <w:tr>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（JTG/T D32-2012）</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《公路土工合成材料应用技术规范》</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 3410-2025）</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《公路工程沥青及沥青混合料试验规程》</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 3441—2024）</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《公路工程无机结合料稳定材料试验规程》</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（JTG/T F20-2015）</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《公路路面基层施工技术细则》</w:t>
            </w:r>
          </w:p>
        </w:tc>
      </w:tr>
      <w:tr>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eastAsia" w:cs="Times New Roman"/>
                <w:color w:val="auto"/>
                <w:sz w:val="24"/>
                <w:highlight w:val="none"/>
                <w:lang w:eastAsia="zh-CN"/>
              </w:rPr>
              <w:t>（JTG F30-2014）</w:t>
            </w:r>
            <w:r>
              <w:rPr>
                <w:rFonts w:hint="default" w:ascii="Times New Roman" w:hAnsi="Times New Roman" w:cs="Times New Roman"/>
                <w:color w:val="auto"/>
                <w:sz w:val="24"/>
                <w:highlight w:val="none"/>
              </w:rPr>
              <w:t xml:space="preserve"> </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《公路水泥混凝土路面施工技术细则》</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（JTG/T F31-2014 ）</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《公路水泥混凝土路面再生利用技术细则》</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eastAsia" w:cs="Times New Roman"/>
                <w:color w:val="auto"/>
                <w:sz w:val="24"/>
                <w:highlight w:val="none"/>
                <w:lang w:eastAsia="zh-CN"/>
              </w:rPr>
              <w:t>（JTG/T D64-01-2015）</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《公路钢混组合桥梁设计与施工规范》</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（JTG/T 3650—2020）</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《公路桥涵施工技术规范》</w:t>
            </w:r>
          </w:p>
        </w:tc>
      </w:tr>
      <w:tr>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（JTG/T 3661—2025）</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《公路隧道交通工程与附属设施施工技术规范》</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 F80/1-2017）</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eastAsia" w:cs="Times New Roman"/>
                <w:color w:val="auto"/>
                <w:sz w:val="24"/>
                <w:highlight w:val="none"/>
                <w:lang w:eastAsia="zh-CN"/>
              </w:rPr>
              <w:t>《公路工程质量检验评定标准　第一册 (土建工程)》</w:t>
            </w:r>
            <w:r>
              <w:rPr>
                <w:rFonts w:hint="default" w:ascii="Times New Roman" w:hAnsi="Times New Roman" w:cs="Times New Roman"/>
                <w:color w:val="auto"/>
                <w:sz w:val="24"/>
                <w:highlight w:val="none"/>
              </w:rPr>
              <w:t xml:space="preserve"> </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 F90-2015）</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《公路工程施工安全技术规范》</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eastAsia" w:cs="Times New Roman"/>
                <w:color w:val="auto"/>
                <w:sz w:val="24"/>
                <w:highlight w:val="none"/>
                <w:lang w:eastAsia="zh-CN"/>
              </w:rPr>
              <w:t>（JTG G10-2016）</w:t>
            </w:r>
            <w:r>
              <w:rPr>
                <w:rFonts w:hint="default" w:ascii="Times New Roman" w:hAnsi="Times New Roman" w:cs="Times New Roman"/>
                <w:color w:val="auto"/>
                <w:sz w:val="24"/>
                <w:highlight w:val="none"/>
              </w:rPr>
              <w:t xml:space="preserve"> </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《公路工程施工监理规范》</w:t>
            </w:r>
          </w:p>
        </w:tc>
      </w:tr>
      <w:tr>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（JTG/T J21-01-2015）</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《公路桥梁荷载试验规程》</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eastAsia" w:cs="Times New Roman"/>
                <w:color w:val="auto"/>
                <w:sz w:val="24"/>
                <w:highlight w:val="none"/>
                <w:lang w:eastAsia="zh-CN"/>
              </w:rPr>
              <w:t>（JT/T 329—2025）</w:t>
            </w:r>
            <w:r>
              <w:rPr>
                <w:rFonts w:hint="default" w:ascii="Times New Roman" w:hAnsi="Times New Roman" w:cs="Times New Roman"/>
                <w:color w:val="auto"/>
                <w:sz w:val="24"/>
                <w:highlight w:val="none"/>
              </w:rPr>
              <w:t xml:space="preserve"> </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《公路桥梁预应力钢绞线用锚具、夹具和连接器》</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（JT/T529-2016）</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《预应力混凝土桥梁用塑料波纹管》</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eastAsia" w:cs="Times New Roman"/>
                <w:color w:val="auto"/>
                <w:sz w:val="24"/>
                <w:highlight w:val="none"/>
                <w:lang w:eastAsia="zh-CN"/>
              </w:rPr>
              <w:t>（JT/T737-2009）</w:t>
            </w:r>
            <w:r>
              <w:rPr>
                <w:rFonts w:hint="default" w:ascii="Times New Roman" w:hAnsi="Times New Roman" w:cs="Times New Roman"/>
                <w:color w:val="auto"/>
                <w:sz w:val="24"/>
                <w:highlight w:val="none"/>
              </w:rPr>
              <w:t xml:space="preserve"> </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《填充型环氧涂层钢绞线》</w:t>
            </w:r>
          </w:p>
        </w:tc>
      </w:tr>
      <w:tr>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w:t>
            </w:r>
          </w:p>
        </w:tc>
        <w:tc>
          <w:tcPr>
            <w:tcW w:w="2970"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eastAsia" w:cs="Times New Roman"/>
                <w:color w:val="auto"/>
                <w:sz w:val="24"/>
                <w:highlight w:val="none"/>
                <w:lang w:eastAsia="zh-CN"/>
              </w:rPr>
              <w:t>（JT/T771-2009）</w:t>
            </w:r>
            <w:r>
              <w:rPr>
                <w:rFonts w:hint="default" w:ascii="Times New Roman" w:hAnsi="Times New Roman" w:cs="Times New Roman"/>
                <w:color w:val="auto"/>
                <w:sz w:val="24"/>
                <w:highlight w:val="none"/>
              </w:rPr>
              <w:t xml:space="preserve"> </w:t>
            </w:r>
          </w:p>
        </w:tc>
        <w:tc>
          <w:tcPr>
            <w:tcW w:w="5214"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《无粘结钢绞线斜拉索技术条件》</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25</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（JT/T775-2010）</w:t>
            </w:r>
          </w:p>
        </w:tc>
        <w:tc>
          <w:tcPr>
            <w:tcW w:w="5214" w:type="dxa"/>
            <w:vAlign w:val="center"/>
          </w:tcPr>
          <w:p>
            <w:pPr>
              <w:keepNext w:val="0"/>
              <w:keepLines w:val="0"/>
              <w:widowControl/>
              <w:suppressLineNumbers w:val="0"/>
              <w:jc w:val="left"/>
              <w:textAlignment w:val="center"/>
              <w:rPr>
                <w:rFonts w:hint="eastAsia" w:ascii="Times New Roman" w:hAnsi="Times New Roman" w:eastAsia="宋体" w:cs="Times New Roman"/>
                <w:color w:val="auto"/>
                <w:sz w:val="24"/>
                <w:highlight w:val="none"/>
                <w:lang w:eastAsia="zh-CN"/>
              </w:rPr>
            </w:pPr>
            <w:r>
              <w:rPr>
                <w:rFonts w:hint="eastAsia" w:ascii="宋体" w:hAnsi="宋体" w:eastAsia="宋体" w:cs="宋体"/>
                <w:i w:val="0"/>
                <w:iCs w:val="0"/>
                <w:color w:val="auto"/>
                <w:kern w:val="0"/>
                <w:sz w:val="24"/>
                <w:szCs w:val="24"/>
                <w:highlight w:val="none"/>
                <w:u w:val="none"/>
                <w:lang w:val="en-US" w:eastAsia="zh-CN" w:bidi="ar"/>
              </w:rPr>
              <w:t>《大跨度斜拉桥平行钢丝斜拉索》</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26</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（JT/T803-2011）</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《填充型环氧涂层钢绞线预应力锚索》</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27</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（JT/T892-2014）</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《公路桥梁节段装配式伸缩装置》</w:t>
            </w:r>
          </w:p>
        </w:tc>
      </w:tr>
      <w:tr>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28</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（JT/T901-2014）</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《桥梁支座用高分子材料滑板》</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29</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（JT/T902-2014）</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《环氧涂层高强度钢丝拉索》</w:t>
            </w:r>
          </w:p>
        </w:tc>
      </w:tr>
      <w:tr>
        <w:tblPrEx>
          <w:tblCellMar>
            <w:top w:w="0" w:type="dxa"/>
            <w:left w:w="108" w:type="dxa"/>
            <w:bottom w:w="0" w:type="dxa"/>
            <w:right w:w="108" w:type="dxa"/>
          </w:tblCellMar>
        </w:tblPrEx>
        <w:tc>
          <w:tcPr>
            <w:tcW w:w="558" w:type="dxa"/>
            <w:vAlign w:val="center"/>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30</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（JT/T903-20</w:t>
            </w:r>
            <w:r>
              <w:rPr>
                <w:rFonts w:hint="eastAsia" w:cs="Times New Roman"/>
                <w:i w:val="0"/>
                <w:iCs w:val="0"/>
                <w:color w:val="auto"/>
                <w:kern w:val="0"/>
                <w:sz w:val="24"/>
                <w:szCs w:val="24"/>
                <w:highlight w:val="none"/>
                <w:u w:val="none"/>
                <w:lang w:val="en-US" w:eastAsia="zh-CN" w:bidi="ar"/>
              </w:rPr>
              <w:t>2</w:t>
            </w:r>
            <w:r>
              <w:rPr>
                <w:rFonts w:hint="default" w:ascii="Times New Roman" w:hAnsi="Times New Roman" w:eastAsia="宋体" w:cs="Times New Roman"/>
                <w:i w:val="0"/>
                <w:iCs w:val="0"/>
                <w:color w:val="auto"/>
                <w:kern w:val="0"/>
                <w:sz w:val="24"/>
                <w:szCs w:val="24"/>
                <w:highlight w:val="none"/>
                <w:u w:val="none"/>
                <w:lang w:val="en-US" w:eastAsia="zh-CN" w:bidi="ar"/>
              </w:rPr>
              <w:t>4）</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《悬索桥索鞍索夹》</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（JT/T 1061-2016）</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《桥墩附着式柔性防车撞装置》</w:t>
            </w:r>
          </w:p>
        </w:tc>
      </w:tr>
      <w:tr>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32</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（JT/T 1062-2025）</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《桥梁减隔震装置通用技术条件》</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（JT/T 1063-2016）</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《桥梁用填充型环氧涂层钢绞线拉索》</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（JT/T 1064-2016）</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《桥梁阻尼减振多向变位梳齿板伸缩装置》</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35</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（JT/T894-2014）</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《卷帘式可变交通标志》</w:t>
            </w:r>
          </w:p>
        </w:tc>
      </w:tr>
      <w:tr>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36</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（JT/T895-2014）</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《缆索护栏》</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37</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（JT/T898-2014）</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《公路用玻璃钢电缆支架》</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38</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（JT/T899-2014）</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《公路用钢塑复合光电缆保护管》</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39</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 23826-2009）</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《高速公</w:t>
            </w:r>
            <w:r>
              <w:rPr>
                <w:rStyle w:val="200"/>
                <w:rFonts w:eastAsia="宋体"/>
                <w:color w:val="auto"/>
                <w:highlight w:val="none"/>
                <w:lang w:val="en-US" w:eastAsia="zh-CN" w:bidi="ar"/>
              </w:rPr>
              <w:t>路LE</w:t>
            </w:r>
            <w:r>
              <w:rPr>
                <w:rStyle w:val="201"/>
                <w:color w:val="auto"/>
                <w:highlight w:val="none"/>
                <w:lang w:val="en-US" w:eastAsia="zh-CN" w:bidi="ar"/>
              </w:rPr>
              <w:t>D可变限速标志》</w:t>
            </w:r>
          </w:p>
        </w:tc>
      </w:tr>
      <w:tr>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40</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23827-2021）</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《道路交通标志板及支撑件》</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23828-2023）</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《高速公</w:t>
            </w:r>
            <w:r>
              <w:rPr>
                <w:rStyle w:val="200"/>
                <w:rFonts w:eastAsia="宋体"/>
                <w:color w:val="auto"/>
                <w:highlight w:val="none"/>
                <w:lang w:val="en-US" w:eastAsia="zh-CN" w:bidi="ar"/>
              </w:rPr>
              <w:t>路LE</w:t>
            </w:r>
            <w:r>
              <w:rPr>
                <w:rStyle w:val="201"/>
                <w:color w:val="auto"/>
                <w:highlight w:val="none"/>
                <w:lang w:val="en-US" w:eastAsia="zh-CN" w:bidi="ar"/>
              </w:rPr>
              <w:t>D可变信息标志》</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42</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24716-2023）</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《公路沿线设施太阳能供电系统通用技术规范》</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24717-2009）</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《道路预成形标线带》</w:t>
            </w:r>
          </w:p>
        </w:tc>
      </w:tr>
      <w:tr>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44</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24718-2023）</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《防眩板》</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45</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24719-2009）</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《公路收费亭》</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24720-2009）</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《交通锥》</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47</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24722-2020）</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《路面标线用玻璃珠》</w:t>
            </w:r>
          </w:p>
        </w:tc>
      </w:tr>
      <w:tr>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24725-2024）</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《突起路标》</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49</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24969-2010）</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《公路照明技术条件》</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50</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24970-2010）</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《轮廓标</w:t>
            </w:r>
            <w:r>
              <w:rPr>
                <w:rStyle w:val="201"/>
                <w:color w:val="auto"/>
                <w:highlight w:val="none"/>
                <w:lang w:val="en-US" w:eastAsia="zh-CN" w:bidi="ar"/>
              </w:rPr>
              <w:t>》</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bookmarkStart w:id="2399" w:name="_Toc7841"/>
            <w:r>
              <w:rPr>
                <w:rFonts w:hint="default" w:ascii="Times New Roman" w:hAnsi="Times New Roman" w:cs="Times New Roman"/>
                <w:color w:val="auto"/>
                <w:sz w:val="24"/>
                <w:highlight w:val="none"/>
              </w:rPr>
              <w:t>51</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26941.1-6-2011）</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《隔离栅》</w:t>
            </w:r>
          </w:p>
        </w:tc>
      </w:tr>
      <w:tr>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18226-2015）</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《高速公路交通工程钢构件防腐技术条件》</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53</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31439.1-2015）</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《波形梁钢护栏</w:t>
            </w:r>
            <w:r>
              <w:rPr>
                <w:rStyle w:val="200"/>
                <w:rFonts w:eastAsia="宋体"/>
                <w:color w:val="auto"/>
                <w:highlight w:val="none"/>
                <w:lang w:val="en-US" w:eastAsia="zh-CN" w:bidi="ar"/>
              </w:rPr>
              <w:t>第</w:t>
            </w:r>
            <w:r>
              <w:rPr>
                <w:rStyle w:val="201"/>
                <w:color w:val="auto"/>
                <w:highlight w:val="none"/>
                <w:lang w:val="en-US" w:eastAsia="zh-CN" w:bidi="ar"/>
              </w:rPr>
              <w:t>1部分：两波形梁钢护栏》</w:t>
            </w:r>
          </w:p>
        </w:tc>
      </w:tr>
      <w:tr>
        <w:tblPrEx>
          <w:tblCellMar>
            <w:top w:w="0" w:type="dxa"/>
            <w:left w:w="108" w:type="dxa"/>
            <w:bottom w:w="0" w:type="dxa"/>
            <w:right w:w="108" w:type="dxa"/>
          </w:tblCellMar>
        </w:tblPrEx>
        <w:tc>
          <w:tcPr>
            <w:tcW w:w="558" w:type="dxa"/>
          </w:tcPr>
          <w:p>
            <w:pPr>
              <w:pageBreakBefore w:val="0"/>
              <w:kinsoku/>
              <w:wordWrap w:val="0"/>
              <w:overflowPunct/>
              <w:autoSpaceDE/>
              <w:autoSpaceDN/>
              <w:bidi w:val="0"/>
              <w:snapToGrid w:val="0"/>
              <w:spacing w:line="400" w:lineRule="exact"/>
              <w:ind w:right="42"/>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54</w:t>
            </w:r>
          </w:p>
        </w:tc>
        <w:tc>
          <w:tcPr>
            <w:tcW w:w="2970"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default" w:ascii="Times New Roman" w:hAnsi="Times New Roman" w:eastAsia="宋体" w:cs="Times New Roman"/>
                <w:i w:val="0"/>
                <w:iCs w:val="0"/>
                <w:color w:val="auto"/>
                <w:kern w:val="0"/>
                <w:sz w:val="24"/>
                <w:szCs w:val="24"/>
                <w:highlight w:val="none"/>
                <w:u w:val="none"/>
                <w:lang w:val="en-US" w:eastAsia="zh-CN" w:bidi="ar"/>
              </w:rPr>
              <w:t>（GB/T 31439.2-2015）</w:t>
            </w:r>
          </w:p>
        </w:tc>
        <w:tc>
          <w:tcPr>
            <w:tcW w:w="5214" w:type="dxa"/>
            <w:vAlign w:val="center"/>
          </w:tcPr>
          <w:p>
            <w:pPr>
              <w:keepNext w:val="0"/>
              <w:keepLines w:val="0"/>
              <w:widowControl/>
              <w:suppressLineNumbers w:val="0"/>
              <w:jc w:val="left"/>
              <w:textAlignment w:val="center"/>
              <w:rPr>
                <w:rFonts w:hint="default" w:ascii="Times New Roman" w:hAnsi="Times New Roman" w:cs="Times New Roman"/>
                <w:color w:val="auto"/>
                <w:sz w:val="24"/>
                <w:highlight w:val="none"/>
              </w:rPr>
            </w:pPr>
            <w:r>
              <w:rPr>
                <w:rFonts w:hint="eastAsia" w:ascii="宋体" w:hAnsi="宋体" w:eastAsia="宋体" w:cs="宋体"/>
                <w:i w:val="0"/>
                <w:iCs w:val="0"/>
                <w:color w:val="auto"/>
                <w:kern w:val="0"/>
                <w:sz w:val="24"/>
                <w:szCs w:val="24"/>
                <w:highlight w:val="none"/>
                <w:u w:val="none"/>
                <w:lang w:val="en-US" w:eastAsia="zh-CN" w:bidi="ar"/>
              </w:rPr>
              <w:t>《波形梁钢护栏</w:t>
            </w:r>
            <w:r>
              <w:rPr>
                <w:rStyle w:val="200"/>
                <w:rFonts w:eastAsia="宋体"/>
                <w:color w:val="auto"/>
                <w:highlight w:val="none"/>
                <w:lang w:val="en-US" w:eastAsia="zh-CN" w:bidi="ar"/>
              </w:rPr>
              <w:t>第</w:t>
            </w:r>
            <w:r>
              <w:rPr>
                <w:rStyle w:val="201"/>
                <w:color w:val="auto"/>
                <w:highlight w:val="none"/>
                <w:lang w:val="en-US" w:eastAsia="zh-CN" w:bidi="ar"/>
              </w:rPr>
              <w:t>2部分：三波形梁钢护栏》</w:t>
            </w:r>
          </w:p>
        </w:tc>
      </w:tr>
    </w:tbl>
    <w:p>
      <w:pPr>
        <w:keepNext/>
        <w:keepLines/>
        <w:pageBreakBefore w:val="0"/>
        <w:widowControl/>
        <w:kinsoku/>
        <w:wordWrap w:val="0"/>
        <w:overflowPunct/>
        <w:topLinePunct w:val="0"/>
        <w:autoSpaceDE/>
        <w:autoSpaceDN/>
        <w:bidi w:val="0"/>
        <w:adjustRightInd/>
        <w:snapToGrid/>
        <w:jc w:val="left"/>
        <w:textAlignment w:val="auto"/>
        <w:outlineLvl w:val="9"/>
        <w:rPr>
          <w:rFonts w:hint="default" w:ascii="Times New Roman" w:hAnsi="Times New Roman" w:cs="Times New Roman"/>
          <w:color w:val="auto"/>
          <w:sz w:val="28"/>
          <w:szCs w:val="28"/>
          <w:highlight w:val="none"/>
        </w:rPr>
      </w:pPr>
      <w:bookmarkStart w:id="2400" w:name="_Toc23747857"/>
      <w:r>
        <w:rPr>
          <w:rFonts w:hint="default" w:ascii="Times New Roman" w:hAnsi="Times New Roman" w:cs="Times New Roman"/>
          <w:color w:val="auto"/>
          <w:sz w:val="28"/>
          <w:szCs w:val="28"/>
          <w:highlight w:val="none"/>
        </w:rPr>
        <w:t>5.3施工技术规范</w:t>
      </w:r>
      <w:bookmarkEnd w:id="2374"/>
      <w:bookmarkEnd w:id="2399"/>
      <w:bookmarkEnd w:id="2400"/>
    </w:p>
    <w:p>
      <w:pPr>
        <w:pStyle w:val="6"/>
        <w:pageBreakBefore w:val="0"/>
        <w:kinsoku/>
        <w:wordWrap w:val="0"/>
        <w:overflowPunct/>
        <w:bidi w:val="0"/>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按照《公路工程标准施工招标文件》（2018年版）第七章技术规范执行。</w:t>
      </w:r>
    </w:p>
    <w:p>
      <w:pPr>
        <w:pageBreakBefore w:val="0"/>
        <w:kinsoku/>
        <w:wordWrap w:val="0"/>
        <w:overflowPunct/>
        <w:topLinePunct/>
        <w:bidi w:val="0"/>
        <w:spacing w:line="400" w:lineRule="atLeast"/>
        <w:rPr>
          <w:rFonts w:hint="default" w:ascii="Times New Roman" w:hAnsi="Times New Roman" w:cs="Times New Roman"/>
          <w:bCs/>
          <w:color w:val="auto"/>
          <w:sz w:val="24"/>
          <w:highlight w:val="none"/>
        </w:rPr>
      </w:pPr>
    </w:p>
    <w:p>
      <w:pPr>
        <w:pageBreakBefore w:val="0"/>
        <w:kinsoku/>
        <w:wordWrap w:val="0"/>
        <w:overflowPunct/>
        <w:topLinePunct/>
        <w:bidi w:val="0"/>
        <w:spacing w:line="400" w:lineRule="atLeast"/>
        <w:rPr>
          <w:rFonts w:hint="default" w:ascii="Times New Roman" w:hAnsi="Times New Roman" w:cs="Times New Roman"/>
          <w:bCs/>
          <w:color w:val="auto"/>
          <w:sz w:val="24"/>
          <w:highlight w:val="none"/>
        </w:rPr>
        <w:sectPr>
          <w:footerReference r:id="rId44" w:type="default"/>
          <w:headerReference r:id="rId43" w:type="even"/>
          <w:footerReference r:id="rId45" w:type="even"/>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p>
    <w:p>
      <w:pPr>
        <w:pageBreakBefore w:val="0"/>
        <w:kinsoku/>
        <w:wordWrap w:val="0"/>
        <w:overflowPunct/>
        <w:topLinePunct/>
        <w:bidi w:val="0"/>
        <w:spacing w:line="400" w:lineRule="atLeast"/>
        <w:rPr>
          <w:rFonts w:hint="default" w:ascii="Times New Roman" w:hAnsi="Times New Roman" w:cs="Times New Roman"/>
          <w:bCs/>
          <w:color w:val="auto"/>
          <w:sz w:val="24"/>
          <w:highlight w:val="none"/>
        </w:rPr>
      </w:pPr>
    </w:p>
    <w:p>
      <w:pPr>
        <w:pageBreakBefore w:val="0"/>
        <w:kinsoku/>
        <w:wordWrap w:val="0"/>
        <w:overflowPunct/>
        <w:topLinePunct/>
        <w:bidi w:val="0"/>
        <w:spacing w:line="400" w:lineRule="atLeast"/>
        <w:rPr>
          <w:rFonts w:hint="default" w:ascii="Times New Roman" w:hAnsi="Times New Roman" w:cs="Times New Roman"/>
          <w:bCs/>
          <w:color w:val="auto"/>
          <w:sz w:val="24"/>
          <w:highlight w:val="none"/>
        </w:rPr>
      </w:pPr>
    </w:p>
    <w:p>
      <w:pPr>
        <w:pageBreakBefore w:val="0"/>
        <w:kinsoku/>
        <w:wordWrap w:val="0"/>
        <w:overflowPunct/>
        <w:topLinePunct/>
        <w:bidi w:val="0"/>
        <w:spacing w:line="400" w:lineRule="atLeast"/>
        <w:rPr>
          <w:rFonts w:hint="default" w:ascii="Times New Roman" w:hAnsi="Times New Roman" w:cs="Times New Roman"/>
          <w:bCs/>
          <w:color w:val="auto"/>
          <w:sz w:val="24"/>
          <w:highlight w:val="none"/>
        </w:rPr>
      </w:pPr>
    </w:p>
    <w:p>
      <w:pPr>
        <w:pageBreakBefore w:val="0"/>
        <w:kinsoku/>
        <w:wordWrap w:val="0"/>
        <w:overflowPunct/>
        <w:topLinePunct/>
        <w:bidi w:val="0"/>
        <w:spacing w:line="400" w:lineRule="atLeast"/>
        <w:rPr>
          <w:rFonts w:hint="default" w:ascii="Times New Roman" w:hAnsi="Times New Roman" w:cs="Times New Roman"/>
          <w:bCs/>
          <w:color w:val="auto"/>
          <w:sz w:val="24"/>
          <w:highlight w:val="none"/>
        </w:rPr>
      </w:pPr>
    </w:p>
    <w:p>
      <w:pPr>
        <w:pageBreakBefore w:val="0"/>
        <w:kinsoku/>
        <w:wordWrap w:val="0"/>
        <w:overflowPunct/>
        <w:topLinePunct/>
        <w:bidi w:val="0"/>
        <w:spacing w:line="400" w:lineRule="atLeast"/>
        <w:rPr>
          <w:rFonts w:hint="default" w:ascii="Times New Roman" w:hAnsi="Times New Roman" w:cs="Times New Roman"/>
          <w:bCs/>
          <w:color w:val="auto"/>
          <w:sz w:val="24"/>
          <w:highlight w:val="none"/>
        </w:rPr>
      </w:pPr>
    </w:p>
    <w:p>
      <w:pPr>
        <w:pageBreakBefore w:val="0"/>
        <w:kinsoku/>
        <w:wordWrap w:val="0"/>
        <w:overflowPunct/>
        <w:topLinePunct/>
        <w:bidi w:val="0"/>
        <w:spacing w:line="400" w:lineRule="atLeast"/>
        <w:rPr>
          <w:rFonts w:hint="default" w:ascii="Times New Roman" w:hAnsi="Times New Roman" w:cs="Times New Roman"/>
          <w:bCs/>
          <w:color w:val="auto"/>
          <w:sz w:val="24"/>
          <w:highlight w:val="none"/>
        </w:rPr>
      </w:pPr>
    </w:p>
    <w:p>
      <w:pPr>
        <w:pageBreakBefore w:val="0"/>
        <w:kinsoku/>
        <w:wordWrap w:val="0"/>
        <w:overflowPunct/>
        <w:topLinePunct/>
        <w:bidi w:val="0"/>
        <w:spacing w:line="400" w:lineRule="atLeast"/>
        <w:rPr>
          <w:rFonts w:hint="default" w:ascii="Times New Roman" w:hAnsi="Times New Roman" w:cs="Times New Roman"/>
          <w:bCs/>
          <w:color w:val="auto"/>
          <w:sz w:val="24"/>
          <w:highlight w:val="none"/>
        </w:rPr>
      </w:pPr>
    </w:p>
    <w:p>
      <w:pPr>
        <w:pageBreakBefore w:val="0"/>
        <w:kinsoku/>
        <w:wordWrap w:val="0"/>
        <w:overflowPunct/>
        <w:topLinePunct/>
        <w:bidi w:val="0"/>
        <w:spacing w:line="400" w:lineRule="atLeast"/>
        <w:rPr>
          <w:rFonts w:hint="default" w:ascii="Times New Roman" w:hAnsi="Times New Roman" w:cs="Times New Roman"/>
          <w:bCs/>
          <w:color w:val="auto"/>
          <w:sz w:val="24"/>
          <w:highlight w:val="none"/>
        </w:rPr>
      </w:pPr>
    </w:p>
    <w:p>
      <w:pPr>
        <w:pageBreakBefore w:val="0"/>
        <w:kinsoku/>
        <w:wordWrap w:val="0"/>
        <w:overflowPunct/>
        <w:topLinePunct/>
        <w:bidi w:val="0"/>
        <w:spacing w:line="400" w:lineRule="atLeast"/>
        <w:rPr>
          <w:rFonts w:hint="default" w:ascii="Times New Roman" w:hAnsi="Times New Roman" w:cs="Times New Roman"/>
          <w:bCs/>
          <w:color w:val="auto"/>
          <w:sz w:val="24"/>
          <w:highlight w:val="none"/>
        </w:rPr>
      </w:pPr>
    </w:p>
    <w:p>
      <w:pPr>
        <w:pageBreakBefore w:val="0"/>
        <w:kinsoku/>
        <w:wordWrap w:val="0"/>
        <w:overflowPunct/>
        <w:topLinePunct/>
        <w:bidi w:val="0"/>
        <w:spacing w:line="400" w:lineRule="atLeast"/>
        <w:rPr>
          <w:rFonts w:hint="default" w:ascii="Times New Roman" w:hAnsi="Times New Roman" w:cs="Times New Roman"/>
          <w:bCs/>
          <w:color w:val="auto"/>
          <w:sz w:val="24"/>
          <w:highlight w:val="none"/>
        </w:rPr>
      </w:pPr>
    </w:p>
    <w:p>
      <w:pPr>
        <w:pageBreakBefore w:val="0"/>
        <w:kinsoku/>
        <w:wordWrap w:val="0"/>
        <w:overflowPunct/>
        <w:topLinePunct/>
        <w:bidi w:val="0"/>
        <w:spacing w:line="400" w:lineRule="atLeast"/>
        <w:rPr>
          <w:rFonts w:hint="default" w:ascii="Times New Roman" w:hAnsi="Times New Roman" w:cs="Times New Roman"/>
          <w:bCs/>
          <w:color w:val="auto"/>
          <w:sz w:val="24"/>
          <w:highlight w:val="none"/>
        </w:rPr>
      </w:pPr>
    </w:p>
    <w:p>
      <w:pPr>
        <w:pageBreakBefore w:val="0"/>
        <w:kinsoku/>
        <w:wordWrap w:val="0"/>
        <w:overflowPunct/>
        <w:topLinePunct/>
        <w:bidi w:val="0"/>
        <w:spacing w:line="400" w:lineRule="atLeast"/>
        <w:rPr>
          <w:rFonts w:hint="default" w:ascii="Times New Roman" w:hAnsi="Times New Roman" w:cs="Times New Roman"/>
          <w:bCs/>
          <w:color w:val="auto"/>
          <w:sz w:val="24"/>
          <w:highlight w:val="none"/>
        </w:rPr>
      </w:pPr>
    </w:p>
    <w:p>
      <w:pPr>
        <w:pStyle w:val="33"/>
        <w:pageBreakBefore w:val="0"/>
        <w:kinsoku/>
        <w:wordWrap w:val="0"/>
        <w:overflowPunct/>
        <w:bidi w:val="0"/>
        <w:spacing w:line="400" w:lineRule="atLeast"/>
        <w:rPr>
          <w:rFonts w:hint="default" w:ascii="Times New Roman" w:hAnsi="Times New Roman" w:eastAsia="黑体" w:cs="Times New Roman"/>
          <w:b w:val="0"/>
          <w:color w:val="auto"/>
          <w:sz w:val="56"/>
          <w:szCs w:val="56"/>
          <w:highlight w:val="none"/>
        </w:rPr>
      </w:pPr>
      <w:bookmarkStart w:id="2401" w:name="_Toc501257471"/>
      <w:bookmarkStart w:id="2402" w:name="_Toc455153336"/>
      <w:bookmarkStart w:id="2403" w:name="_Toc10010"/>
      <w:bookmarkStart w:id="2404" w:name="_Toc234833248"/>
      <w:bookmarkStart w:id="2405" w:name="_Toc23747858"/>
      <w:bookmarkStart w:id="2406" w:name="_Toc24479"/>
      <w:bookmarkStart w:id="2407" w:name="_Toc15908"/>
      <w:bookmarkStart w:id="2408" w:name="_Toc32553"/>
      <w:r>
        <w:rPr>
          <w:rFonts w:hint="default" w:ascii="Times New Roman" w:hAnsi="Times New Roman" w:eastAsia="黑体" w:cs="Times New Roman"/>
          <w:b w:val="0"/>
          <w:color w:val="auto"/>
          <w:sz w:val="56"/>
          <w:szCs w:val="56"/>
          <w:highlight w:val="none"/>
        </w:rPr>
        <w:t xml:space="preserve">第六章 </w:t>
      </w:r>
      <w:bookmarkEnd w:id="2401"/>
      <w:bookmarkEnd w:id="2402"/>
      <w:bookmarkEnd w:id="2403"/>
      <w:bookmarkEnd w:id="2404"/>
      <w:bookmarkEnd w:id="2405"/>
      <w:r>
        <w:rPr>
          <w:rFonts w:hint="default" w:ascii="Times New Roman" w:hAnsi="Times New Roman" w:eastAsia="黑体" w:cs="Times New Roman"/>
          <w:b w:val="0"/>
          <w:color w:val="auto"/>
          <w:sz w:val="56"/>
          <w:szCs w:val="56"/>
          <w:highlight w:val="none"/>
        </w:rPr>
        <w:t>发包人提供的资料和条件</w:t>
      </w:r>
      <w:bookmarkEnd w:id="2406"/>
      <w:bookmarkEnd w:id="2407"/>
      <w:bookmarkEnd w:id="2408"/>
    </w:p>
    <w:p>
      <w:pPr>
        <w:pageBreakBefore w:val="0"/>
        <w:kinsoku/>
        <w:wordWrap w:val="0"/>
        <w:overflowPunct/>
        <w:autoSpaceDE w:val="0"/>
        <w:autoSpaceDN w:val="0"/>
        <w:bidi w:val="0"/>
        <w:spacing w:line="400" w:lineRule="exact"/>
        <w:textAlignment w:val="bottom"/>
        <w:rPr>
          <w:rFonts w:hint="default" w:ascii="Times New Roman" w:hAnsi="Times New Roman" w:cs="Times New Roman"/>
          <w:color w:val="auto"/>
          <w:highlight w:val="none"/>
        </w:rPr>
      </w:pPr>
    </w:p>
    <w:p>
      <w:pPr>
        <w:pageBreakBefore w:val="0"/>
        <w:kinsoku/>
        <w:wordWrap w:val="0"/>
        <w:overflowPunct/>
        <w:bidi w:val="0"/>
        <w:spacing w:line="360" w:lineRule="auto"/>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pPr>
        <w:pageBreakBefore w:val="0"/>
        <w:kinsoku/>
        <w:wordWrap w:val="0"/>
        <w:overflowPunct/>
        <w:bidi w:val="0"/>
        <w:spacing w:line="400" w:lineRule="exact"/>
        <w:jc w:val="center"/>
        <w:outlineLvl w:val="9"/>
        <w:rPr>
          <w:rFonts w:hint="default" w:ascii="Times New Roman" w:hAnsi="Times New Roman" w:cs="Times New Roman"/>
          <w:b/>
          <w:color w:val="auto"/>
          <w:sz w:val="32"/>
          <w:szCs w:val="32"/>
          <w:highlight w:val="none"/>
        </w:rPr>
      </w:pPr>
      <w:bookmarkStart w:id="2409" w:name="_Toc12434"/>
      <w:bookmarkStart w:id="2410" w:name="_Toc28238"/>
      <w:r>
        <w:rPr>
          <w:rFonts w:hint="default" w:ascii="Times New Roman" w:hAnsi="Times New Roman" w:cs="Times New Roman"/>
          <w:b/>
          <w:color w:val="auto"/>
          <w:sz w:val="32"/>
          <w:szCs w:val="32"/>
          <w:highlight w:val="none"/>
        </w:rPr>
        <w:t>发包人提供的资料和条件</w:t>
      </w:r>
      <w:bookmarkEnd w:id="2409"/>
      <w:bookmarkEnd w:id="2410"/>
    </w:p>
    <w:p>
      <w:pPr>
        <w:keepNext w:val="0"/>
        <w:keepLines w:val="0"/>
        <w:pageBreakBefore w:val="0"/>
        <w:widowControl w:val="0"/>
        <w:kinsoku/>
        <w:wordWrap w:val="0"/>
        <w:overflowPunct/>
        <w:topLinePunct w:val="0"/>
        <w:autoSpaceDE/>
        <w:autoSpaceDN/>
        <w:bidi w:val="0"/>
        <w:adjustRightInd/>
        <w:snapToGrid/>
        <w:textAlignment w:val="auto"/>
        <w:outlineLvl w:val="9"/>
        <w:rPr>
          <w:rFonts w:hint="default" w:ascii="Times New Roman" w:hAnsi="Times New Roman" w:cs="Times New Roman"/>
          <w:b/>
          <w:color w:val="auto"/>
          <w:sz w:val="30"/>
          <w:szCs w:val="30"/>
          <w:highlight w:val="none"/>
        </w:rPr>
      </w:pP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黑体" w:cs="Times New Roman"/>
          <w:color w:val="auto"/>
          <w:sz w:val="24"/>
          <w:highlight w:val="none"/>
        </w:rPr>
      </w:pPr>
      <w:bookmarkStart w:id="2411" w:name="_Toc17413"/>
      <w:r>
        <w:rPr>
          <w:rFonts w:hint="default" w:ascii="Times New Roman" w:hAnsi="Times New Roman" w:eastAsia="黑体" w:cs="Times New Roman"/>
          <w:color w:val="auto"/>
          <w:sz w:val="24"/>
          <w:highlight w:val="none"/>
        </w:rPr>
        <w:t>一、发包人取得的有关项目审批、核准和备案材料</w:t>
      </w:r>
      <w:bookmarkEnd w:id="2411"/>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黑体" w:cs="Times New Roman"/>
          <w:color w:val="auto"/>
          <w:sz w:val="24"/>
          <w:highlight w:val="none"/>
        </w:rPr>
      </w:pP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二、本项目初步设计文件、参考资料、前期咨询意见、其他资料及附件、有关的协议、文件等</w:t>
      </w:r>
    </w:p>
    <w:p>
      <w:pPr>
        <w:pageBreakBefore w:val="0"/>
        <w:kinsoku/>
        <w:wordWrap w:val="0"/>
        <w:overflowPunct/>
        <w:bidi w:val="0"/>
        <w:spacing w:line="360" w:lineRule="auto"/>
        <w:ind w:firstLine="480" w:firstLineChars="200"/>
        <w:rPr>
          <w:rFonts w:hint="default" w:ascii="Times New Roman" w:hAnsi="Times New Roman" w:eastAsia="黑体" w:cs="Times New Roman"/>
          <w:color w:val="auto"/>
          <w:sz w:val="24"/>
          <w:highlight w:val="none"/>
        </w:rPr>
      </w:pPr>
    </w:p>
    <w:p>
      <w:pPr>
        <w:pageBreakBefore w:val="0"/>
        <w:kinsoku/>
        <w:wordWrap w:val="0"/>
        <w:overflowPunct/>
        <w:bidi w:val="0"/>
        <w:spacing w:line="360" w:lineRule="auto"/>
        <w:ind w:firstLine="480" w:firstLineChars="200"/>
        <w:rPr>
          <w:rFonts w:hint="default" w:ascii="Times New Roman" w:hAnsi="Times New Roman" w:eastAsia="黑体" w:cs="Times New Roman"/>
          <w:color w:val="auto"/>
          <w:sz w:val="24"/>
          <w:highlight w:val="none"/>
        </w:rPr>
      </w:pPr>
    </w:p>
    <w:p>
      <w:pPr>
        <w:pageBreakBefore w:val="0"/>
        <w:kinsoku/>
        <w:wordWrap w:val="0"/>
        <w:overflowPunct/>
        <w:bidi w:val="0"/>
        <w:spacing w:line="360" w:lineRule="auto"/>
        <w:ind w:firstLine="420" w:firstLineChars="200"/>
        <w:rPr>
          <w:rFonts w:hint="default" w:ascii="Times New Roman" w:hAnsi="Times New Roman" w:eastAsia="黑体" w:cs="Times New Roman"/>
          <w:color w:val="auto"/>
          <w:szCs w:val="21"/>
          <w:highlight w:val="none"/>
        </w:rPr>
      </w:pPr>
    </w:p>
    <w:p>
      <w:pPr>
        <w:pageBreakBefore w:val="0"/>
        <w:kinsoku/>
        <w:wordWrap w:val="0"/>
        <w:overflowPunct/>
        <w:bidi w:val="0"/>
        <w:spacing w:line="400" w:lineRule="exact"/>
        <w:rPr>
          <w:rFonts w:hint="default" w:ascii="Times New Roman" w:hAnsi="Times New Roman" w:cs="Times New Roman"/>
          <w:color w:val="auto"/>
          <w:highlight w:val="none"/>
        </w:rPr>
        <w:sectPr>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jc w:val="center"/>
        <w:outlineLvl w:val="0"/>
        <w:rPr>
          <w:rFonts w:hint="default" w:ascii="Times New Roman" w:hAnsi="Times New Roman" w:eastAsia="黑体" w:cs="Times New Roman"/>
          <w:color w:val="auto"/>
          <w:sz w:val="29"/>
          <w:szCs w:val="29"/>
          <w:highlight w:val="none"/>
        </w:rPr>
      </w:pPr>
      <w:bookmarkStart w:id="2412" w:name="_Toc234833249"/>
      <w:bookmarkStart w:id="2413" w:name="_Toc234833251"/>
      <w:bookmarkStart w:id="2414" w:name="_Toc12710"/>
      <w:bookmarkStart w:id="2415" w:name="_Toc26018"/>
      <w:bookmarkStart w:id="2416" w:name="_Toc5353"/>
      <w:r>
        <w:rPr>
          <w:rFonts w:hint="default" w:ascii="Times New Roman" w:hAnsi="Times New Roman" w:eastAsia="黑体" w:cs="Times New Roman"/>
          <w:color w:val="auto"/>
          <w:sz w:val="76"/>
          <w:szCs w:val="76"/>
          <w:highlight w:val="none"/>
        </w:rPr>
        <w:t>第  三  卷</w:t>
      </w:r>
      <w:bookmarkEnd w:id="2412"/>
      <w:bookmarkEnd w:id="2413"/>
      <w:r>
        <w:rPr>
          <w:rFonts w:hint="default" w:ascii="Times New Roman" w:hAnsi="Times New Roman" w:eastAsia="黑体" w:cs="Times New Roman"/>
          <w:color w:val="auto"/>
          <w:sz w:val="76"/>
          <w:szCs w:val="76"/>
          <w:highlight w:val="none"/>
        </w:rPr>
        <w:br w:type="page"/>
      </w:r>
      <w:bookmarkEnd w:id="2414"/>
      <w:bookmarkEnd w:id="2415"/>
      <w:bookmarkEnd w:id="2416"/>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9"/>
          <w:szCs w:val="29"/>
          <w:highlight w:val="none"/>
        </w:rPr>
      </w:pPr>
    </w:p>
    <w:p>
      <w:pPr>
        <w:pStyle w:val="2"/>
        <w:pageBreakBefore w:val="0"/>
        <w:kinsoku/>
        <w:wordWrap w:val="0"/>
        <w:overflowPunct/>
        <w:bidi w:val="0"/>
        <w:spacing w:before="360" w:beforeLines="150" w:after="240" w:afterLines="100" w:line="380" w:lineRule="atLeast"/>
        <w:jc w:val="center"/>
        <w:rPr>
          <w:rFonts w:hint="default" w:ascii="Times New Roman" w:hAnsi="Times New Roman" w:eastAsia="黑体" w:cs="Times New Roman"/>
          <w:b w:val="0"/>
          <w:color w:val="auto"/>
          <w:sz w:val="56"/>
          <w:szCs w:val="56"/>
          <w:highlight w:val="none"/>
        </w:rPr>
      </w:pPr>
      <w:bookmarkStart w:id="2417" w:name="_Toc501257472"/>
      <w:bookmarkStart w:id="2418" w:name="_Toc234833250"/>
      <w:bookmarkStart w:id="2419" w:name="_Toc13462"/>
      <w:bookmarkStart w:id="2420" w:name="_Toc23747859"/>
      <w:bookmarkStart w:id="2421" w:name="_Toc234833252"/>
      <w:bookmarkStart w:id="2422" w:name="_Toc24120"/>
      <w:bookmarkStart w:id="2423" w:name="_Toc27660"/>
      <w:r>
        <w:rPr>
          <w:rFonts w:hint="default" w:ascii="Times New Roman" w:hAnsi="Times New Roman" w:eastAsia="黑体" w:cs="Times New Roman"/>
          <w:b w:val="0"/>
          <w:color w:val="auto"/>
          <w:sz w:val="56"/>
          <w:szCs w:val="56"/>
          <w:highlight w:val="none"/>
        </w:rPr>
        <w:t xml:space="preserve">第七章  </w:t>
      </w:r>
      <w:bookmarkEnd w:id="2417"/>
      <w:bookmarkEnd w:id="2418"/>
      <w:bookmarkStart w:id="2424" w:name="_Toc501257475"/>
      <w:r>
        <w:rPr>
          <w:rFonts w:hint="default" w:ascii="Times New Roman" w:hAnsi="Times New Roman" w:eastAsia="黑体" w:cs="Times New Roman"/>
          <w:b w:val="0"/>
          <w:color w:val="auto"/>
          <w:sz w:val="56"/>
          <w:szCs w:val="56"/>
          <w:highlight w:val="none"/>
        </w:rPr>
        <w:t>投标文件格式</w:t>
      </w:r>
      <w:r>
        <w:rPr>
          <w:rStyle w:val="45"/>
          <w:rFonts w:hint="default" w:ascii="Times New Roman" w:hAnsi="Times New Roman" w:eastAsia="黑体" w:cs="Times New Roman"/>
          <w:color w:val="auto"/>
          <w:sz w:val="56"/>
          <w:szCs w:val="56"/>
          <w:highlight w:val="none"/>
        </w:rPr>
        <w:footnoteReference w:id="83"/>
      </w:r>
      <w:bookmarkEnd w:id="2419"/>
      <w:bookmarkEnd w:id="2420"/>
      <w:bookmarkEnd w:id="2421"/>
      <w:bookmarkEnd w:id="2422"/>
      <w:bookmarkEnd w:id="2423"/>
      <w:bookmarkEnd w:id="2424"/>
    </w:p>
    <w:p>
      <w:pPr>
        <w:pageBreakBefore w:val="0"/>
        <w:kinsoku/>
        <w:wordWrap w:val="0"/>
        <w:overflowPunct/>
        <w:bidi w:val="0"/>
        <w:spacing w:line="440" w:lineRule="exact"/>
        <w:jc w:val="center"/>
        <w:rPr>
          <w:rFonts w:hint="default" w:ascii="Times New Roman" w:hAnsi="Times New Roman" w:eastAsia="黑体" w:cs="Times New Roman"/>
          <w:color w:val="auto"/>
          <w:sz w:val="36"/>
          <w:szCs w:val="36"/>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br w:type="page"/>
      </w: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bookmarkStart w:id="2425" w:name="_Toc234833253"/>
      <w:bookmarkStart w:id="2426" w:name="_Toc501257477"/>
      <w:bookmarkStart w:id="2427" w:name="_Toc23747861"/>
    </w:p>
    <w:p>
      <w:pPr>
        <w:pStyle w:val="15"/>
        <w:keepNext w:val="0"/>
        <w:keepLines w:val="0"/>
        <w:pageBreakBefore w:val="0"/>
        <w:widowControl w:val="0"/>
        <w:kinsoku/>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黑体" w:cs="Times New Roman"/>
          <w:color w:val="auto"/>
          <w:sz w:val="31"/>
          <w:szCs w:val="31"/>
          <w:highlight w:val="none"/>
        </w:rPr>
      </w:pPr>
      <w:r>
        <w:rPr>
          <w:rFonts w:hint="default" w:ascii="Times New Roman" w:hAnsi="Times New Roman" w:eastAsia="黑体" w:cs="Times New Roman"/>
          <w:color w:val="auto"/>
          <w:sz w:val="31"/>
          <w:szCs w:val="31"/>
          <w:highlight w:val="none"/>
          <w:u w:val="single"/>
          <w:lang w:eastAsia="zh-CN"/>
        </w:rPr>
        <w:t>辽宁省</w:t>
      </w:r>
    </w:p>
    <w:p>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b w:val="0"/>
          <w:bCs w:val="0"/>
          <w:color w:val="auto"/>
          <w:sz w:val="31"/>
          <w:szCs w:val="31"/>
          <w:highlight w:val="none"/>
          <w:u w:val="single"/>
          <w:lang w:val="en-US" w:eastAsia="zh-CN"/>
        </w:rPr>
        <w:t xml:space="preserve">      </w:t>
      </w:r>
      <w:bookmarkStart w:id="2428" w:name="_Toc30019"/>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eastAsia="zh-CN"/>
        </w:rPr>
        <w:t>）</w:t>
      </w:r>
      <w:r>
        <w:rPr>
          <w:rFonts w:hint="default" w:ascii="Times New Roman" w:hAnsi="Times New Roman" w:eastAsia="黑体" w:cs="Times New Roman"/>
          <w:b w:val="0"/>
          <w:bCs w:val="0"/>
          <w:color w:val="auto"/>
          <w:sz w:val="31"/>
          <w:szCs w:val="31"/>
          <w:highlight w:val="none"/>
          <w:lang w:val="en-US" w:eastAsia="zh-CN"/>
        </w:rPr>
        <w:t>设计施工总承包招标</w:t>
      </w:r>
      <w:bookmarkEnd w:id="2428"/>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ageBreakBefore w:val="0"/>
        <w:kinsoku/>
        <w:wordWrap w:val="0"/>
        <w:overflowPunct/>
        <w:bidi w:val="0"/>
        <w:spacing w:line="440" w:lineRule="exact"/>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Style w:val="16"/>
        <w:rPr>
          <w:rFonts w:hint="default" w:ascii="Times New Roman" w:hAnsi="Times New Roman" w:cs="Times New Roman"/>
          <w:color w:val="auto"/>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Style w:val="16"/>
        <w:rPr>
          <w:rFonts w:hint="default" w:ascii="Times New Roman" w:hAnsi="Times New Roman" w:eastAsia="黑体" w:cs="Times New Roman"/>
          <w:color w:val="auto"/>
          <w:sz w:val="40"/>
          <w:szCs w:val="40"/>
          <w:highlight w:val="none"/>
        </w:rPr>
      </w:pPr>
    </w:p>
    <w:p>
      <w:pPr>
        <w:pStyle w:val="16"/>
        <w:rPr>
          <w:rFonts w:hint="default" w:ascii="Times New Roman" w:hAnsi="Times New Roman" w:eastAsia="黑体" w:cs="Times New Roman"/>
          <w:color w:val="auto"/>
          <w:sz w:val="40"/>
          <w:szCs w:val="40"/>
          <w:highlight w:val="none"/>
        </w:rPr>
      </w:pPr>
    </w:p>
    <w:p>
      <w:pPr>
        <w:keepNext/>
        <w:keepLines/>
        <w:pageBreakBefore w:val="0"/>
        <w:widowControl w:val="0"/>
        <w:kinsoku/>
        <w:wordWrap w:val="0"/>
        <w:overflowPunct/>
        <w:topLinePunct w:val="0"/>
        <w:autoSpaceDE/>
        <w:autoSpaceDN/>
        <w:bidi w:val="0"/>
        <w:adjustRightInd/>
        <w:snapToGrid/>
        <w:spacing w:before="0" w:afterLines="200" w:line="400" w:lineRule="atLeast"/>
        <w:jc w:val="center"/>
        <w:textAlignment w:val="auto"/>
        <w:outlineLvl w:val="9"/>
        <w:rPr>
          <w:rFonts w:hint="default" w:ascii="Times New Roman" w:hAnsi="Times New Roman" w:eastAsia="黑体" w:cs="Times New Roman"/>
          <w:b w:val="0"/>
          <w:color w:val="auto"/>
          <w:sz w:val="72"/>
          <w:szCs w:val="72"/>
          <w:highlight w:val="none"/>
        </w:rPr>
      </w:pPr>
      <w:bookmarkStart w:id="2429" w:name="_Toc23680"/>
      <w:bookmarkStart w:id="2430" w:name="_Toc470761082"/>
      <w:bookmarkStart w:id="2431" w:name="_Toc15737"/>
      <w:r>
        <w:rPr>
          <w:rFonts w:hint="default" w:ascii="Times New Roman" w:hAnsi="Times New Roman" w:eastAsia="黑体" w:cs="Times New Roman"/>
          <w:b w:val="0"/>
          <w:color w:val="auto"/>
          <w:sz w:val="72"/>
          <w:szCs w:val="72"/>
          <w:highlight w:val="none"/>
        </w:rPr>
        <w:t>投  标  文  件</w:t>
      </w:r>
      <w:bookmarkEnd w:id="2429"/>
      <w:bookmarkEnd w:id="2430"/>
      <w:bookmarkEnd w:id="2431"/>
    </w:p>
    <w:p>
      <w:pPr>
        <w:keepNext/>
        <w:keepLines/>
        <w:pageBreakBefore w:val="0"/>
        <w:widowControl w:val="0"/>
        <w:kinsoku/>
        <w:wordWrap w:val="0"/>
        <w:overflowPunct/>
        <w:topLinePunct w:val="0"/>
        <w:autoSpaceDE/>
        <w:autoSpaceDN/>
        <w:bidi w:val="0"/>
        <w:adjustRightInd/>
        <w:snapToGrid/>
        <w:spacing w:before="0" w:after="0" w:line="400" w:lineRule="atLeast"/>
        <w:jc w:val="center"/>
        <w:textAlignment w:val="auto"/>
        <w:outlineLvl w:val="9"/>
        <w:rPr>
          <w:rFonts w:hint="default" w:ascii="Times New Roman" w:hAnsi="Times New Roman" w:eastAsia="黑体" w:cs="Times New Roman"/>
          <w:b w:val="0"/>
          <w:color w:val="auto"/>
          <w:sz w:val="32"/>
          <w:szCs w:val="32"/>
          <w:highlight w:val="none"/>
        </w:rPr>
      </w:pPr>
      <w:bookmarkStart w:id="2432" w:name="_Toc27428"/>
      <w:bookmarkStart w:id="2433" w:name="_Toc6771"/>
      <w:r>
        <w:rPr>
          <w:rFonts w:hint="default" w:ascii="Times New Roman" w:hAnsi="Times New Roman" w:eastAsia="黑体" w:cs="Times New Roman"/>
          <w:b w:val="0"/>
          <w:color w:val="auto"/>
          <w:sz w:val="32"/>
          <w:szCs w:val="32"/>
          <w:highlight w:val="none"/>
        </w:rPr>
        <w:t>（</w:t>
      </w:r>
      <w:r>
        <w:rPr>
          <w:rFonts w:hint="default" w:eastAsia="黑体" w:cs="Times New Roman"/>
          <w:b w:val="0"/>
          <w:color w:val="auto"/>
          <w:sz w:val="32"/>
          <w:szCs w:val="32"/>
          <w:highlight w:val="none"/>
          <w:lang w:val="en-US" w:eastAsia="zh-CN"/>
        </w:rPr>
        <w:t xml:space="preserve">第一信封 </w:t>
      </w:r>
      <w:r>
        <w:rPr>
          <w:rFonts w:hint="default" w:ascii="Times New Roman" w:hAnsi="Times New Roman" w:eastAsia="黑体" w:cs="Times New Roman"/>
          <w:b w:val="0"/>
          <w:color w:val="auto"/>
          <w:sz w:val="32"/>
          <w:szCs w:val="32"/>
          <w:highlight w:val="none"/>
        </w:rPr>
        <w:t>商务及技术文件）</w:t>
      </w:r>
      <w:bookmarkEnd w:id="2432"/>
      <w:bookmarkEnd w:id="2433"/>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Style w:val="16"/>
        <w:rPr>
          <w:rFonts w:hint="default" w:ascii="Times New Roman" w:hAnsi="Times New Roman" w:eastAsia="黑体" w:cs="Times New Roman"/>
          <w:color w:val="auto"/>
          <w:sz w:val="20"/>
          <w:szCs w:val="20"/>
          <w:highlight w:val="none"/>
        </w:rPr>
      </w:pPr>
    </w:p>
    <w:p>
      <w:pPr>
        <w:pStyle w:val="16"/>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投标人：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overflowPunct/>
        <w:bidi w:val="0"/>
        <w:spacing w:line="440" w:lineRule="exact"/>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p>
    <w:p>
      <w:pPr>
        <w:pageBreakBefore w:val="0"/>
        <w:kinsoku/>
        <w:wordWrap w:val="0"/>
        <w:overflowPunct/>
        <w:bidi w:val="0"/>
        <w:spacing w:line="440" w:lineRule="exact"/>
        <w:rPr>
          <w:rFonts w:hint="default" w:ascii="Times New Roman" w:hAnsi="Times New Roman" w:eastAsia="黑体" w:cs="Times New Roman"/>
          <w:color w:val="auto"/>
          <w:sz w:val="28"/>
          <w:szCs w:val="28"/>
          <w:highlight w:val="none"/>
        </w:rPr>
      </w:pPr>
    </w:p>
    <w:p>
      <w:pPr>
        <w:keepNext/>
        <w:keepLines/>
        <w:pageBreakBefore w:val="0"/>
        <w:widowControl w:val="0"/>
        <w:kinsoku/>
        <w:wordWrap w:val="0"/>
        <w:overflowPunct/>
        <w:topLinePunct w:val="0"/>
        <w:autoSpaceDE/>
        <w:autoSpaceDN/>
        <w:bidi w:val="0"/>
        <w:adjustRightInd/>
        <w:snapToGrid/>
        <w:spacing w:before="360" w:beforeLines="150" w:after="240" w:afterLines="100" w:line="380" w:lineRule="atLeast"/>
        <w:jc w:val="center"/>
        <w:textAlignment w:val="auto"/>
        <w:outlineLvl w:val="9"/>
        <w:rPr>
          <w:rFonts w:hint="default" w:ascii="Times New Roman" w:hAnsi="Times New Roman" w:eastAsia="黑体" w:cs="Times New Roman"/>
          <w:b w:val="0"/>
          <w:color w:val="auto"/>
          <w:sz w:val="30"/>
          <w:szCs w:val="30"/>
          <w:highlight w:val="none"/>
        </w:rPr>
      </w:pPr>
      <w:r>
        <w:rPr>
          <w:rFonts w:hint="default" w:ascii="Times New Roman" w:hAnsi="Times New Roman" w:eastAsia="黑体" w:cs="Times New Roman"/>
          <w:color w:val="auto"/>
          <w:sz w:val="20"/>
          <w:szCs w:val="20"/>
          <w:highlight w:val="none"/>
        </w:rPr>
        <w:br w:type="page"/>
      </w:r>
      <w:r>
        <w:rPr>
          <w:rFonts w:hint="default" w:ascii="Times New Roman" w:hAnsi="Times New Roman" w:eastAsia="黑体" w:cs="Times New Roman"/>
          <w:b w:val="0"/>
          <w:color w:val="auto"/>
          <w:sz w:val="30"/>
          <w:szCs w:val="30"/>
          <w:highlight w:val="none"/>
        </w:rPr>
        <w:t>目     录</w:t>
      </w:r>
      <w:bookmarkEnd w:id="2425"/>
      <w:bookmarkEnd w:id="2426"/>
      <w:bookmarkEnd w:id="2427"/>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autoSpaceDE/>
        <w:autoSpaceDN/>
        <w:bidi w:val="0"/>
        <w:spacing w:line="440" w:lineRule="exact"/>
        <w:ind w:left="1619" w:leftChars="771" w:firstLine="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一、投标函及投标函附录</w:t>
      </w:r>
    </w:p>
    <w:p>
      <w:pPr>
        <w:pageBreakBefore w:val="0"/>
        <w:kinsoku/>
        <w:wordWrap w:val="0"/>
        <w:overflowPunct/>
        <w:autoSpaceDE/>
        <w:autoSpaceDN/>
        <w:bidi w:val="0"/>
        <w:spacing w:line="440" w:lineRule="exact"/>
        <w:ind w:left="1619" w:leftChars="771" w:firstLine="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二、授权委托书或法定代表人身份证明</w:t>
      </w:r>
    </w:p>
    <w:p>
      <w:pPr>
        <w:pageBreakBefore w:val="0"/>
        <w:kinsoku/>
        <w:wordWrap w:val="0"/>
        <w:overflowPunct/>
        <w:autoSpaceDE/>
        <w:autoSpaceDN/>
        <w:bidi w:val="0"/>
        <w:spacing w:line="440" w:lineRule="exact"/>
        <w:ind w:left="1619" w:leftChars="771" w:firstLine="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三、联合体协议书</w:t>
      </w:r>
    </w:p>
    <w:p>
      <w:pPr>
        <w:pageBreakBefore w:val="0"/>
        <w:kinsoku/>
        <w:wordWrap w:val="0"/>
        <w:overflowPunct/>
        <w:autoSpaceDE/>
        <w:autoSpaceDN/>
        <w:bidi w:val="0"/>
        <w:spacing w:line="440" w:lineRule="exact"/>
        <w:ind w:left="1619" w:leftChars="771" w:firstLine="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四、投标保证金</w:t>
      </w:r>
    </w:p>
    <w:p>
      <w:pPr>
        <w:pageBreakBefore w:val="0"/>
        <w:kinsoku/>
        <w:wordWrap w:val="0"/>
        <w:overflowPunct/>
        <w:autoSpaceDE/>
        <w:autoSpaceDN/>
        <w:bidi w:val="0"/>
        <w:spacing w:line="440" w:lineRule="exact"/>
        <w:ind w:left="1619" w:leftChars="771" w:firstLine="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五</w:t>
      </w:r>
      <w:r>
        <w:rPr>
          <w:rFonts w:hint="default" w:ascii="Times New Roman" w:hAnsi="Times New Roman" w:cs="Times New Roman"/>
          <w:color w:val="auto"/>
          <w:sz w:val="24"/>
          <w:highlight w:val="none"/>
        </w:rPr>
        <w:t>、承包人建议书</w:t>
      </w:r>
    </w:p>
    <w:p>
      <w:pPr>
        <w:pageBreakBefore w:val="0"/>
        <w:kinsoku/>
        <w:wordWrap w:val="0"/>
        <w:overflowPunct/>
        <w:autoSpaceDE/>
        <w:autoSpaceDN/>
        <w:bidi w:val="0"/>
        <w:spacing w:line="440" w:lineRule="exact"/>
        <w:ind w:left="1619" w:leftChars="771" w:firstLine="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六</w:t>
      </w:r>
      <w:r>
        <w:rPr>
          <w:rFonts w:hint="default" w:ascii="Times New Roman" w:hAnsi="Times New Roman" w:cs="Times New Roman"/>
          <w:color w:val="auto"/>
          <w:sz w:val="24"/>
          <w:highlight w:val="none"/>
        </w:rPr>
        <w:t>、承包人实施计划</w:t>
      </w:r>
    </w:p>
    <w:p>
      <w:pPr>
        <w:pageBreakBefore w:val="0"/>
        <w:kinsoku/>
        <w:wordWrap w:val="0"/>
        <w:overflowPunct/>
        <w:autoSpaceDE/>
        <w:autoSpaceDN/>
        <w:bidi w:val="0"/>
        <w:spacing w:line="440" w:lineRule="exact"/>
        <w:ind w:left="1619" w:leftChars="771" w:firstLine="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七</w:t>
      </w:r>
      <w:r>
        <w:rPr>
          <w:rFonts w:hint="default" w:ascii="Times New Roman" w:hAnsi="Times New Roman" w:cs="Times New Roman"/>
          <w:color w:val="auto"/>
          <w:sz w:val="24"/>
          <w:highlight w:val="none"/>
        </w:rPr>
        <w:t>、拟分包项目情况表</w:t>
      </w:r>
    </w:p>
    <w:p>
      <w:pPr>
        <w:pageBreakBefore w:val="0"/>
        <w:kinsoku/>
        <w:wordWrap w:val="0"/>
        <w:overflowPunct/>
        <w:autoSpaceDE/>
        <w:autoSpaceDN/>
        <w:bidi w:val="0"/>
        <w:spacing w:line="440" w:lineRule="exact"/>
        <w:ind w:left="1619" w:leftChars="771" w:firstLine="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八</w:t>
      </w:r>
      <w:r>
        <w:rPr>
          <w:rFonts w:hint="default" w:ascii="Times New Roman" w:hAnsi="Times New Roman" w:cs="Times New Roman"/>
          <w:color w:val="auto"/>
          <w:sz w:val="24"/>
          <w:highlight w:val="none"/>
        </w:rPr>
        <w:t>、资格审查资料</w:t>
      </w:r>
    </w:p>
    <w:p>
      <w:pPr>
        <w:pageBreakBefore w:val="0"/>
        <w:kinsoku/>
        <w:wordWrap w:val="0"/>
        <w:overflowPunct/>
        <w:autoSpaceDE/>
        <w:autoSpaceDN/>
        <w:bidi w:val="0"/>
        <w:spacing w:line="440" w:lineRule="exact"/>
        <w:ind w:left="1619" w:leftChars="771" w:firstLine="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九</w:t>
      </w:r>
      <w:r>
        <w:rPr>
          <w:rFonts w:hint="default" w:ascii="Times New Roman" w:hAnsi="Times New Roman" w:cs="Times New Roman"/>
          <w:color w:val="auto"/>
          <w:sz w:val="24"/>
          <w:highlight w:val="none"/>
        </w:rPr>
        <w:t>、投标人告知承诺函</w:t>
      </w:r>
    </w:p>
    <w:p>
      <w:pPr>
        <w:pageBreakBefore w:val="0"/>
        <w:widowControl w:val="0"/>
        <w:kinsoku/>
        <w:wordWrap w:val="0"/>
        <w:overflowPunct/>
        <w:topLinePunct w:val="0"/>
        <w:autoSpaceDE/>
        <w:autoSpaceDN/>
        <w:bidi w:val="0"/>
        <w:adjustRightInd/>
        <w:snapToGrid/>
        <w:spacing w:line="440" w:lineRule="exact"/>
        <w:ind w:left="1619" w:leftChars="771" w:firstLine="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十、</w:t>
      </w:r>
      <w:r>
        <w:rPr>
          <w:rFonts w:hint="default" w:ascii="Times New Roman" w:hAnsi="Times New Roman" w:cs="Times New Roman"/>
          <w:color w:val="auto"/>
          <w:sz w:val="24"/>
          <w:highlight w:val="none"/>
        </w:rPr>
        <w:t>其他资料</w:t>
      </w:r>
    </w:p>
    <w:p>
      <w:pPr>
        <w:pageBreakBefore w:val="0"/>
        <w:widowControl w:val="0"/>
        <w:kinsoku/>
        <w:wordWrap w:val="0"/>
        <w:overflowPunct/>
        <w:topLinePunct w:val="0"/>
        <w:autoSpaceDE/>
        <w:autoSpaceDN/>
        <w:bidi w:val="0"/>
        <w:adjustRightInd/>
        <w:snapToGrid/>
        <w:spacing w:before="360" w:beforeLines="150" w:after="240" w:afterLines="100" w:line="380" w:lineRule="atLeast"/>
        <w:jc w:val="center"/>
        <w:textAlignment w:val="auto"/>
        <w:outlineLvl w:val="9"/>
        <w:rPr>
          <w:rFonts w:hint="default" w:ascii="Times New Roman" w:hAnsi="Times New Roman" w:eastAsia="黑体" w:cs="Times New Roman"/>
          <w:color w:val="auto"/>
          <w:sz w:val="20"/>
          <w:szCs w:val="20"/>
          <w:highlight w:val="none"/>
          <w:lang w:val="en-US"/>
        </w:rPr>
      </w:pPr>
    </w:p>
    <w:p>
      <w:pPr>
        <w:pageBreakBefore w:val="0"/>
        <w:widowControl w:val="0"/>
        <w:kinsoku/>
        <w:wordWrap w:val="0"/>
        <w:overflowPunct/>
        <w:topLinePunct w:val="0"/>
        <w:autoSpaceDE/>
        <w:autoSpaceDN/>
        <w:bidi w:val="0"/>
        <w:adjustRightInd/>
        <w:snapToGrid/>
        <w:spacing w:before="360" w:beforeLines="150" w:after="240" w:afterLines="100" w:line="380" w:lineRule="atLeast"/>
        <w:jc w:val="center"/>
        <w:textAlignment w:val="auto"/>
        <w:outlineLvl w:val="9"/>
        <w:rPr>
          <w:rFonts w:hint="default" w:ascii="Times New Roman" w:hAnsi="Times New Roman" w:eastAsia="黑体" w:cs="Times New Roman"/>
          <w:b w:val="0"/>
          <w:color w:val="auto"/>
          <w:sz w:val="30"/>
          <w:szCs w:val="30"/>
          <w:highlight w:val="none"/>
        </w:rPr>
        <w:sectPr>
          <w:footerReference r:id="rId47" w:type="default"/>
          <w:headerReference r:id="rId46" w:type="even"/>
          <w:footerReference r:id="rId48" w:type="even"/>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bookmarkStart w:id="2434" w:name="_Toc234833254"/>
    </w:p>
    <w:bookmarkEnd w:id="2434"/>
    <w:p>
      <w:pPr>
        <w:pStyle w:val="2"/>
        <w:pageBreakBefore w:val="0"/>
        <w:kinsoku/>
        <w:wordWrap w:val="0"/>
        <w:overflowPunct/>
        <w:bidi w:val="0"/>
        <w:spacing w:before="0" w:after="0" w:line="400" w:lineRule="atLeast"/>
        <w:jc w:val="center"/>
        <w:outlineLvl w:val="1"/>
        <w:rPr>
          <w:rFonts w:hint="default" w:ascii="Times New Roman" w:hAnsi="Times New Roman" w:eastAsia="黑体" w:cs="Times New Roman"/>
          <w:b w:val="0"/>
          <w:color w:val="auto"/>
          <w:sz w:val="30"/>
          <w:szCs w:val="30"/>
          <w:highlight w:val="none"/>
        </w:rPr>
      </w:pPr>
      <w:bookmarkStart w:id="2435" w:name="_Toc23747862"/>
      <w:bookmarkStart w:id="2436" w:name="_Toc8808"/>
      <w:bookmarkStart w:id="2437" w:name="_Toc234833255"/>
      <w:bookmarkStart w:id="2438" w:name="_Toc11152"/>
      <w:bookmarkStart w:id="2439" w:name="_Toc501257478"/>
      <w:bookmarkStart w:id="2440" w:name="_Toc18333"/>
      <w:r>
        <w:rPr>
          <w:rFonts w:hint="default" w:ascii="Times New Roman" w:hAnsi="Times New Roman" w:eastAsia="黑体" w:cs="Times New Roman"/>
          <w:b w:val="0"/>
          <w:color w:val="auto"/>
          <w:sz w:val="30"/>
          <w:szCs w:val="30"/>
          <w:highlight w:val="none"/>
        </w:rPr>
        <w:t>一、投标函及投标函附录</w:t>
      </w:r>
      <w:bookmarkEnd w:id="2435"/>
      <w:bookmarkEnd w:id="2436"/>
      <w:bookmarkEnd w:id="2437"/>
      <w:bookmarkEnd w:id="2438"/>
      <w:bookmarkEnd w:id="2439"/>
      <w:bookmarkEnd w:id="2440"/>
    </w:p>
    <w:p>
      <w:pPr>
        <w:keepNext/>
        <w:keepLines/>
        <w:pageBreakBefore w:val="0"/>
        <w:widowControl w:val="0"/>
        <w:kinsoku/>
        <w:wordWrap w:val="0"/>
        <w:overflowPunct/>
        <w:topLinePunct w:val="0"/>
        <w:autoSpaceDE/>
        <w:autoSpaceDN/>
        <w:bidi w:val="0"/>
        <w:adjustRightInd/>
        <w:snapToGrid/>
        <w:spacing w:before="360" w:beforeLines="150" w:after="240" w:afterLines="100" w:line="360" w:lineRule="atLeast"/>
        <w:ind w:left="0"/>
        <w:jc w:val="center"/>
        <w:textAlignment w:val="auto"/>
        <w:outlineLvl w:val="9"/>
        <w:rPr>
          <w:rFonts w:hint="default" w:ascii="Times New Roman" w:hAnsi="Times New Roman" w:eastAsia="黑体" w:cs="Times New Roman"/>
          <w:b w:val="0"/>
          <w:i w:val="0"/>
          <w:iCs/>
          <w:color w:val="auto"/>
          <w:sz w:val="28"/>
          <w:szCs w:val="28"/>
          <w:highlight w:val="none"/>
        </w:rPr>
      </w:pPr>
      <w:bookmarkStart w:id="2441" w:name="_Toc234833256"/>
      <w:bookmarkStart w:id="2442" w:name="_Toc23747863"/>
      <w:bookmarkStart w:id="2443" w:name="_Toc501257479"/>
      <w:r>
        <w:rPr>
          <w:rFonts w:hint="default" w:ascii="Times New Roman" w:hAnsi="Times New Roman" w:eastAsia="黑体" w:cs="Times New Roman"/>
          <w:b w:val="0"/>
          <w:i w:val="0"/>
          <w:iCs/>
          <w:color w:val="auto"/>
          <w:sz w:val="28"/>
          <w:szCs w:val="28"/>
          <w:highlight w:val="none"/>
        </w:rPr>
        <w:t>（一） 投 标 函</w:t>
      </w:r>
      <w:bookmarkEnd w:id="2441"/>
      <w:bookmarkEnd w:id="2442"/>
      <w:bookmarkEnd w:id="2443"/>
    </w:p>
    <w:p>
      <w:pPr>
        <w:pageBreakBefore w:val="0"/>
        <w:kinsoku/>
        <w:wordWrap w:val="0"/>
        <w:overflowPunct/>
        <w:autoSpaceDE/>
        <w:autoSpaceDN/>
        <w:bidi w:val="0"/>
        <w:spacing w:before="240" w:beforeLines="100" w:after="120" w:afterLines="50" w:line="36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1．我方已仔细研究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default" w:ascii="Times New Roman" w:hAnsi="Times New Roman" w:cs="Times New Roman"/>
          <w:color w:val="auto"/>
          <w:sz w:val="24"/>
          <w:highlight w:val="none"/>
        </w:rPr>
        <w:t>设计施工总承包招标文件的全部内容（含补遗书第___号至第___号），在考察工程现场后，愿意以第二个信封（报价文件）中的投标总报价（或根据招标文件规定修正核实后确定的另一金额），按合同约定实施和完成承包工程，修补工程中的任何缺陷。</w:t>
      </w:r>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2．我方承诺在招标文件规定的投标有效期内不撤销投标文件。</w:t>
      </w:r>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3．工程质量：</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，安全目标：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，施工图勘察设计周期：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日历天，施工工期：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日历天。</w:t>
      </w:r>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4．如我方中标，我方承诺：</w:t>
      </w:r>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（1）在收到中标通知书后，在中标通知书规定的期限内与你方签订合同；</w:t>
      </w:r>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（2）在签订合同时不向你方提出附加条件；</w:t>
      </w:r>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（3）按照招标文件要求提交履约保证金；</w:t>
      </w:r>
      <w:bookmarkStart w:id="2444" w:name="_Toc369531694"/>
      <w:bookmarkStart w:id="2445" w:name="_Toc1187"/>
      <w:bookmarkStart w:id="2446" w:name="_Toc352691658"/>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（4）在合</w:t>
      </w:r>
      <w:bookmarkEnd w:id="2444"/>
      <w:bookmarkEnd w:id="2445"/>
      <w:bookmarkEnd w:id="2446"/>
      <w:r>
        <w:rPr>
          <w:rFonts w:hint="default" w:ascii="Times New Roman" w:hAnsi="Times New Roman" w:cs="Times New Roman"/>
          <w:color w:val="auto"/>
          <w:sz w:val="24"/>
          <w:highlight w:val="none"/>
        </w:rPr>
        <w:t>同约定的期限内完成合同规定的全部义务；</w:t>
      </w:r>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highlight w:val="none"/>
          <w:vertAlign w:val="superscript"/>
        </w:rPr>
      </w:pPr>
      <w:r>
        <w:rPr>
          <w:rFonts w:hint="default" w:ascii="Times New Roman" w:hAnsi="Times New Roman" w:cs="Times New Roman"/>
          <w:color w:val="auto"/>
          <w:sz w:val="24"/>
          <w:highlight w:val="none"/>
        </w:rPr>
        <w:t>（5）在你方和我方进行合同谈判之前，我方将按照合同附件提出的最低要求填报派驻本标段的其他管理和技术人员及主要机械设备和试验检测设备，经你方审批后作为派驻本标段的项目管理机构主要人员和主要设备且不进行更换。如我方拟派驻的人员和设备不满足合同附件要求，你方有权取消我方中标资格。</w:t>
      </w:r>
      <w:r>
        <w:rPr>
          <w:rFonts w:hint="default" w:ascii="Times New Roman" w:hAnsi="Times New Roman" w:cs="Times New Roman"/>
          <w:color w:val="auto"/>
          <w:sz w:val="24"/>
          <w:highlight w:val="none"/>
          <w:vertAlign w:val="superscript"/>
        </w:rPr>
        <w:footnoteReference w:id="84"/>
      </w:r>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5．我方在此声明，所递交的投标文件及有关资料内容完整、真实和准确，且不存在招标文件第二章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第1.4.3项和第1.4.4项规定的任何一种情形。</w:t>
      </w:r>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我单位承诺以招标人和投标人的联合名义依法投保相关的工程保险。</w:t>
      </w:r>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7．在合同协议书正式签署生效之前，本投标函连同你方的中标通知书将构成我们双方之间共同遵守的文件，对双方具有约束力。</w:t>
      </w:r>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（其他补充说明）。</w:t>
      </w:r>
    </w:p>
    <w:p>
      <w:pPr>
        <w:pageBreakBefore w:val="0"/>
        <w:kinsoku/>
        <w:wordWrap w:val="0"/>
        <w:overflowPunct/>
        <w:autoSpaceDE/>
        <w:autoSpaceDN/>
        <w:bidi w:val="0"/>
        <w:spacing w:line="360" w:lineRule="atLeast"/>
        <w:ind w:firstLine="480" w:firstLineChars="200"/>
        <w:textAlignment w:val="auto"/>
        <w:outlineLvl w:val="9"/>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 标 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default" w:ascii="Times New Roman" w:hAnsi="Times New Roman"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网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p>
    <w:p>
      <w:pPr>
        <w:pageBreakBefore w:val="0"/>
        <w:kinsoku/>
        <w:wordWrap w:val="0"/>
        <w:overflowPunct/>
        <w:autoSpaceDE/>
        <w:autoSpaceDN/>
        <w:bidi w:val="0"/>
        <w:spacing w:line="400" w:lineRule="atLeast"/>
        <w:ind w:firstLine="4740" w:firstLineChars="1975"/>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autoSpaceDE/>
        <w:autoSpaceDN/>
        <w:bidi w:val="0"/>
        <w:spacing w:line="360" w:lineRule="atLeast"/>
        <w:ind w:firstLine="4740" w:firstLineChars="1975"/>
        <w:textAlignment w:val="auto"/>
        <w:outlineLvl w:val="9"/>
        <w:rPr>
          <w:rFonts w:hint="default" w:ascii="Times New Roman" w:hAnsi="Times New Roman" w:cs="Times New Roman"/>
          <w:color w:val="auto"/>
          <w:sz w:val="24"/>
          <w:highlight w:val="none"/>
        </w:rPr>
      </w:pPr>
    </w:p>
    <w:p>
      <w:pPr>
        <w:keepNext/>
        <w:keepLines/>
        <w:pageBreakBefore w:val="0"/>
        <w:widowControl w:val="0"/>
        <w:kinsoku/>
        <w:wordWrap w:val="0"/>
        <w:overflowPunct/>
        <w:topLinePunct w:val="0"/>
        <w:autoSpaceDE/>
        <w:autoSpaceDN/>
        <w:bidi w:val="0"/>
        <w:adjustRightInd/>
        <w:snapToGrid/>
        <w:spacing w:before="360" w:beforeLines="150" w:after="240" w:afterLines="100" w:line="380" w:lineRule="atLeast"/>
        <w:ind w:firstLine="454"/>
        <w:jc w:val="center"/>
        <w:textAlignment w:val="auto"/>
        <w:outlineLvl w:val="9"/>
        <w:rPr>
          <w:rFonts w:hint="default" w:ascii="Times New Roman" w:hAnsi="Times New Roman" w:eastAsia="黑体" w:cs="Times New Roman"/>
          <w:b w:val="0"/>
          <w:i w:val="0"/>
          <w:iCs/>
          <w:color w:val="auto"/>
          <w:sz w:val="30"/>
          <w:szCs w:val="30"/>
          <w:highlight w:val="none"/>
        </w:rPr>
      </w:pPr>
      <w:r>
        <w:rPr>
          <w:rFonts w:hint="default" w:ascii="Times New Roman" w:hAnsi="Times New Roman" w:eastAsia="黑体" w:cs="Times New Roman"/>
          <w:color w:val="auto"/>
          <w:sz w:val="23"/>
          <w:szCs w:val="23"/>
          <w:highlight w:val="none"/>
        </w:rPr>
        <w:br w:type="page"/>
      </w:r>
      <w:bookmarkStart w:id="2447" w:name="_Toc234833257"/>
      <w:bookmarkStart w:id="2448" w:name="_Toc501257480"/>
      <w:bookmarkStart w:id="2449" w:name="_Toc23747864"/>
      <w:r>
        <w:rPr>
          <w:rFonts w:hint="default" w:ascii="Times New Roman" w:hAnsi="Times New Roman" w:eastAsia="黑体" w:cs="Times New Roman"/>
          <w:b w:val="0"/>
          <w:i w:val="0"/>
          <w:iCs/>
          <w:color w:val="auto"/>
          <w:sz w:val="30"/>
          <w:szCs w:val="30"/>
          <w:highlight w:val="none"/>
        </w:rPr>
        <w:t>（二）投标函附录</w:t>
      </w:r>
      <w:bookmarkEnd w:id="2447"/>
      <w:bookmarkEnd w:id="2448"/>
      <w:bookmarkEnd w:id="2449"/>
    </w:p>
    <w:tbl>
      <w:tblPr>
        <w:tblStyle w:val="37"/>
        <w:tblW w:w="50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2675"/>
        <w:gridCol w:w="1170"/>
        <w:gridCol w:w="3567"/>
        <w:gridCol w:w="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序号</w:t>
            </w:r>
          </w:p>
        </w:tc>
        <w:tc>
          <w:tcPr>
            <w:tcW w:w="151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条款名称</w:t>
            </w:r>
          </w:p>
        </w:tc>
        <w:tc>
          <w:tcPr>
            <w:tcW w:w="6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合同条目号</w:t>
            </w:r>
          </w:p>
        </w:tc>
        <w:tc>
          <w:tcPr>
            <w:tcW w:w="2021"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约定内容</w:t>
            </w:r>
          </w:p>
        </w:tc>
        <w:tc>
          <w:tcPr>
            <w:tcW w:w="41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w:t>
            </w:r>
          </w:p>
        </w:tc>
        <w:tc>
          <w:tcPr>
            <w:tcW w:w="151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缺陷责任期</w:t>
            </w:r>
          </w:p>
        </w:tc>
        <w:tc>
          <w:tcPr>
            <w:tcW w:w="6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19.1</w:t>
            </w:r>
          </w:p>
        </w:tc>
        <w:tc>
          <w:tcPr>
            <w:tcW w:w="2021"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自实际交工日期起计算</w:t>
            </w: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个月</w:t>
            </w:r>
          </w:p>
        </w:tc>
        <w:tc>
          <w:tcPr>
            <w:tcW w:w="41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w:t>
            </w:r>
          </w:p>
        </w:tc>
        <w:tc>
          <w:tcPr>
            <w:tcW w:w="151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逾期交工违约金</w:t>
            </w:r>
          </w:p>
        </w:tc>
        <w:tc>
          <w:tcPr>
            <w:tcW w:w="6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11.5（3）</w:t>
            </w:r>
          </w:p>
        </w:tc>
        <w:tc>
          <w:tcPr>
            <w:tcW w:w="2021"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 xml:space="preserve">元/天 </w:t>
            </w:r>
          </w:p>
        </w:tc>
        <w:tc>
          <w:tcPr>
            <w:tcW w:w="41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3</w:t>
            </w:r>
          </w:p>
        </w:tc>
        <w:tc>
          <w:tcPr>
            <w:tcW w:w="151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逾期交工违约金限额</w:t>
            </w:r>
          </w:p>
        </w:tc>
        <w:tc>
          <w:tcPr>
            <w:tcW w:w="6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11.5（3）</w:t>
            </w:r>
          </w:p>
        </w:tc>
        <w:tc>
          <w:tcPr>
            <w:tcW w:w="2021"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签约合同价</w:t>
            </w:r>
          </w:p>
        </w:tc>
        <w:tc>
          <w:tcPr>
            <w:tcW w:w="41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w:t>
            </w:r>
          </w:p>
        </w:tc>
        <w:tc>
          <w:tcPr>
            <w:tcW w:w="151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提前交工的奖金</w:t>
            </w:r>
          </w:p>
        </w:tc>
        <w:tc>
          <w:tcPr>
            <w:tcW w:w="6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11.6</w:t>
            </w:r>
          </w:p>
        </w:tc>
        <w:tc>
          <w:tcPr>
            <w:tcW w:w="2021"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 xml:space="preserve">元/天 </w:t>
            </w:r>
          </w:p>
        </w:tc>
        <w:tc>
          <w:tcPr>
            <w:tcW w:w="41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w:t>
            </w:r>
          </w:p>
        </w:tc>
        <w:tc>
          <w:tcPr>
            <w:tcW w:w="151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提前交工的奖金限额</w:t>
            </w:r>
          </w:p>
        </w:tc>
        <w:tc>
          <w:tcPr>
            <w:tcW w:w="6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11.6</w:t>
            </w:r>
          </w:p>
        </w:tc>
        <w:tc>
          <w:tcPr>
            <w:tcW w:w="2021"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签约合同价</w:t>
            </w:r>
          </w:p>
        </w:tc>
        <w:tc>
          <w:tcPr>
            <w:tcW w:w="41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w:t>
            </w:r>
          </w:p>
        </w:tc>
        <w:tc>
          <w:tcPr>
            <w:tcW w:w="151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价格调整的差额计算</w:t>
            </w:r>
          </w:p>
        </w:tc>
        <w:tc>
          <w:tcPr>
            <w:tcW w:w="6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16</w:t>
            </w:r>
          </w:p>
        </w:tc>
        <w:tc>
          <w:tcPr>
            <w:tcW w:w="2021"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按专用合同条款执行</w:t>
            </w:r>
          </w:p>
        </w:tc>
        <w:tc>
          <w:tcPr>
            <w:tcW w:w="41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7</w:t>
            </w:r>
          </w:p>
        </w:tc>
        <w:tc>
          <w:tcPr>
            <w:tcW w:w="151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勘察设计费预付款金额</w:t>
            </w:r>
          </w:p>
        </w:tc>
        <w:tc>
          <w:tcPr>
            <w:tcW w:w="6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17.2.1（1）</w:t>
            </w:r>
          </w:p>
        </w:tc>
        <w:tc>
          <w:tcPr>
            <w:tcW w:w="2021"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w:t>
            </w:r>
            <w:r>
              <w:rPr>
                <w:rFonts w:hint="default" w:ascii="Times New Roman" w:hAnsi="Times New Roman" w:cs="Times New Roman"/>
                <w:bCs/>
                <w:color w:val="auto"/>
                <w:szCs w:val="21"/>
                <w:highlight w:val="none"/>
                <w:u w:val="single"/>
              </w:rPr>
              <w:t>勘察设计费</w:t>
            </w:r>
          </w:p>
        </w:tc>
        <w:tc>
          <w:tcPr>
            <w:tcW w:w="41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8</w:t>
            </w:r>
          </w:p>
        </w:tc>
        <w:tc>
          <w:tcPr>
            <w:tcW w:w="151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开工预付款金额</w:t>
            </w:r>
          </w:p>
        </w:tc>
        <w:tc>
          <w:tcPr>
            <w:tcW w:w="6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17.2.1（2）</w:t>
            </w:r>
          </w:p>
        </w:tc>
        <w:tc>
          <w:tcPr>
            <w:tcW w:w="2021"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%签约合同价</w:t>
            </w:r>
          </w:p>
        </w:tc>
        <w:tc>
          <w:tcPr>
            <w:tcW w:w="41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9</w:t>
            </w:r>
          </w:p>
        </w:tc>
        <w:tc>
          <w:tcPr>
            <w:tcW w:w="151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材料、设备预付款比例</w:t>
            </w:r>
          </w:p>
        </w:tc>
        <w:tc>
          <w:tcPr>
            <w:tcW w:w="6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17.2.1（3）</w:t>
            </w:r>
          </w:p>
        </w:tc>
        <w:tc>
          <w:tcPr>
            <w:tcW w:w="2021"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等主要材料、设备单据所列费用的</w:t>
            </w: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 xml:space="preserve"> %</w:t>
            </w:r>
          </w:p>
        </w:tc>
        <w:tc>
          <w:tcPr>
            <w:tcW w:w="41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10</w:t>
            </w:r>
          </w:p>
        </w:tc>
        <w:tc>
          <w:tcPr>
            <w:tcW w:w="151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进度付款证书最低限额</w:t>
            </w:r>
          </w:p>
        </w:tc>
        <w:tc>
          <w:tcPr>
            <w:tcW w:w="6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17.3.4（1）</w:t>
            </w:r>
          </w:p>
        </w:tc>
        <w:tc>
          <w:tcPr>
            <w:tcW w:w="2021"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 xml:space="preserve"> %签约合同价或</w:t>
            </w: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万元</w:t>
            </w:r>
          </w:p>
        </w:tc>
        <w:tc>
          <w:tcPr>
            <w:tcW w:w="41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11</w:t>
            </w:r>
          </w:p>
        </w:tc>
        <w:tc>
          <w:tcPr>
            <w:tcW w:w="151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逾期</w:t>
            </w:r>
            <w:r>
              <w:rPr>
                <w:rFonts w:hint="default" w:ascii="Times New Roman" w:hAnsi="Times New Roman" w:cs="Times New Roman"/>
                <w:color w:val="auto"/>
                <w:spacing w:val="-3"/>
                <w:highlight w:val="none"/>
              </w:rPr>
              <w:t>付</w:t>
            </w:r>
            <w:r>
              <w:rPr>
                <w:rFonts w:hint="default" w:ascii="Times New Roman" w:hAnsi="Times New Roman" w:cs="Times New Roman"/>
                <w:color w:val="auto"/>
                <w:highlight w:val="none"/>
              </w:rPr>
              <w:t>款</w:t>
            </w:r>
            <w:r>
              <w:rPr>
                <w:rFonts w:hint="default" w:ascii="Times New Roman" w:hAnsi="Times New Roman" w:cs="Times New Roman"/>
                <w:color w:val="auto"/>
                <w:spacing w:val="-3"/>
                <w:highlight w:val="none"/>
              </w:rPr>
              <w:t>违</w:t>
            </w:r>
            <w:r>
              <w:rPr>
                <w:rFonts w:hint="default" w:ascii="Times New Roman" w:hAnsi="Times New Roman" w:cs="Times New Roman"/>
                <w:color w:val="auto"/>
                <w:highlight w:val="none"/>
              </w:rPr>
              <w:t>约</w:t>
            </w:r>
            <w:r>
              <w:rPr>
                <w:rFonts w:hint="default" w:ascii="Times New Roman" w:hAnsi="Times New Roman" w:cs="Times New Roman"/>
                <w:color w:val="auto"/>
                <w:spacing w:val="-3"/>
                <w:highlight w:val="none"/>
              </w:rPr>
              <w:t>金</w:t>
            </w:r>
            <w:r>
              <w:rPr>
                <w:rFonts w:hint="default" w:ascii="Times New Roman" w:hAnsi="Times New Roman" w:cs="Times New Roman"/>
                <w:color w:val="auto"/>
                <w:highlight w:val="none"/>
              </w:rPr>
              <w:t>的</w:t>
            </w:r>
            <w:r>
              <w:rPr>
                <w:rFonts w:hint="default" w:ascii="Times New Roman" w:hAnsi="Times New Roman" w:cs="Times New Roman"/>
                <w:color w:val="auto"/>
                <w:spacing w:val="-3"/>
                <w:highlight w:val="none"/>
              </w:rPr>
              <w:t>利</w:t>
            </w:r>
            <w:r>
              <w:rPr>
                <w:rFonts w:hint="default" w:ascii="Times New Roman" w:hAnsi="Times New Roman" w:cs="Times New Roman"/>
                <w:color w:val="auto"/>
                <w:highlight w:val="none"/>
              </w:rPr>
              <w:t>率</w:t>
            </w:r>
          </w:p>
        </w:tc>
        <w:tc>
          <w:tcPr>
            <w:tcW w:w="6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napToGrid w:val="0"/>
              <w:spacing w:line="360" w:lineRule="atLeast"/>
              <w:jc w:val="center"/>
              <w:rPr>
                <w:rFonts w:hint="default" w:ascii="Times New Roman" w:hAnsi="Times New Roman" w:cs="Times New Roman"/>
                <w:b/>
                <w:bCs/>
                <w:color w:val="auto"/>
                <w:szCs w:val="21"/>
                <w:highlight w:val="none"/>
              </w:rPr>
            </w:pPr>
            <w:r>
              <w:rPr>
                <w:rFonts w:hint="default" w:ascii="Times New Roman" w:hAnsi="Times New Roman" w:eastAsia="Times New Roman" w:cs="Times New Roman"/>
                <w:color w:val="auto"/>
                <w:spacing w:val="-6"/>
                <w:highlight w:val="none"/>
              </w:rPr>
              <w:t>17.3.4</w:t>
            </w:r>
            <w:r>
              <w:rPr>
                <w:rFonts w:hint="default" w:ascii="Times New Roman" w:hAnsi="Times New Roman" w:cs="Times New Roman"/>
                <w:color w:val="auto"/>
                <w:spacing w:val="-6"/>
                <w:highlight w:val="none"/>
              </w:rPr>
              <w:t>（</w:t>
            </w:r>
            <w:r>
              <w:rPr>
                <w:rFonts w:hint="default" w:ascii="Times New Roman" w:hAnsi="Times New Roman" w:eastAsia="Times New Roman" w:cs="Times New Roman"/>
                <w:color w:val="auto"/>
                <w:spacing w:val="-6"/>
                <w:highlight w:val="none"/>
              </w:rPr>
              <w:t>2</w:t>
            </w:r>
            <w:r>
              <w:rPr>
                <w:rFonts w:hint="default" w:ascii="Times New Roman" w:hAnsi="Times New Roman" w:cs="Times New Roman"/>
                <w:color w:val="auto"/>
                <w:spacing w:val="-6"/>
                <w:highlight w:val="none"/>
              </w:rPr>
              <w:t>）</w:t>
            </w:r>
          </w:p>
        </w:tc>
        <w:tc>
          <w:tcPr>
            <w:tcW w:w="2021" w:type="pct"/>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napToGrid w:val="0"/>
              <w:spacing w:line="360" w:lineRule="atLeast"/>
              <w:ind w:firstLine="630" w:firstLineChars="300"/>
              <w:jc w:val="left"/>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 xml:space="preserve"> </w:t>
            </w:r>
            <w:r>
              <w:rPr>
                <w:rFonts w:hint="default" w:ascii="Times New Roman" w:hAnsi="Times New Roman" w:eastAsia="Times New Roman" w:cs="Times New Roman"/>
                <w:color w:val="auto"/>
                <w:highlight w:val="none"/>
              </w:rPr>
              <w:t>‰/</w:t>
            </w:r>
            <w:r>
              <w:rPr>
                <w:rFonts w:hint="default" w:ascii="Times New Roman" w:hAnsi="Times New Roman" w:cs="Times New Roman"/>
                <w:color w:val="auto"/>
                <w:spacing w:val="-3"/>
                <w:highlight w:val="none"/>
              </w:rPr>
              <w:t>天</w:t>
            </w:r>
          </w:p>
        </w:tc>
        <w:tc>
          <w:tcPr>
            <w:tcW w:w="41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12</w:t>
            </w:r>
          </w:p>
        </w:tc>
        <w:tc>
          <w:tcPr>
            <w:tcW w:w="151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质量保证金</w:t>
            </w:r>
          </w:p>
        </w:tc>
        <w:tc>
          <w:tcPr>
            <w:tcW w:w="6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17.4.1</w:t>
            </w:r>
          </w:p>
        </w:tc>
        <w:tc>
          <w:tcPr>
            <w:tcW w:w="2021"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napToGrid w:val="0"/>
              <w:spacing w:line="400" w:lineRule="atLeas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%合同价格，若交工验收时承包人具备被</w:t>
            </w:r>
            <w:r>
              <w:rPr>
                <w:rFonts w:hint="default" w:ascii="Times New Roman" w:hAnsi="Times New Roman" w:cs="Times New Roman"/>
                <w:color w:val="auto"/>
                <w:szCs w:val="21"/>
                <w:highlight w:val="none"/>
                <w:lang w:val="en-US" w:eastAsia="zh-CN"/>
              </w:rPr>
              <w:t>辽宁省交通运输厅</w:t>
            </w:r>
            <w:r>
              <w:rPr>
                <w:rFonts w:hint="default" w:ascii="Times New Roman" w:hAnsi="Times New Roman" w:cs="Times New Roman"/>
                <w:bCs/>
                <w:color w:val="auto"/>
                <w:szCs w:val="21"/>
                <w:highlight w:val="none"/>
              </w:rPr>
              <w:t>评定的最高信用等级，发包人给予</w:t>
            </w: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%合同价格质量保证金的优惠</w:t>
            </w:r>
          </w:p>
        </w:tc>
        <w:tc>
          <w:tcPr>
            <w:tcW w:w="41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13</w:t>
            </w:r>
          </w:p>
        </w:tc>
        <w:tc>
          <w:tcPr>
            <w:tcW w:w="1516"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保修期</w:t>
            </w:r>
          </w:p>
        </w:tc>
        <w:tc>
          <w:tcPr>
            <w:tcW w:w="663"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19.7（1）</w:t>
            </w:r>
          </w:p>
        </w:tc>
        <w:tc>
          <w:tcPr>
            <w:tcW w:w="2021"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自实际交工日期起计算</w:t>
            </w:r>
            <w:r>
              <w:rPr>
                <w:rFonts w:hint="default" w:ascii="Times New Roman" w:hAnsi="Times New Roman" w:cs="Times New Roman"/>
                <w:bCs/>
                <w:color w:val="auto"/>
                <w:szCs w:val="21"/>
                <w:highlight w:val="none"/>
                <w:u w:val="single"/>
              </w:rPr>
              <w:t xml:space="preserve">    </w:t>
            </w:r>
            <w:r>
              <w:rPr>
                <w:rFonts w:hint="default" w:ascii="Times New Roman" w:hAnsi="Times New Roman" w:cs="Times New Roman"/>
                <w:bCs/>
                <w:color w:val="auto"/>
                <w:szCs w:val="21"/>
                <w:highlight w:val="none"/>
              </w:rPr>
              <w:t>年</w:t>
            </w:r>
          </w:p>
        </w:tc>
        <w:tc>
          <w:tcPr>
            <w:tcW w:w="418" w:type="pc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bCs/>
                <w:color w:val="auto"/>
                <w:szCs w:val="21"/>
                <w:highlight w:val="none"/>
              </w:rPr>
            </w:pPr>
          </w:p>
        </w:tc>
      </w:tr>
    </w:tbl>
    <w:p>
      <w:pPr>
        <w:pageBreakBefore w:val="0"/>
        <w:kinsoku/>
        <w:wordWrap w:val="0"/>
        <w:overflowPunct/>
        <w:autoSpaceDE/>
        <w:autoSpaceDN/>
        <w:bidi w:val="0"/>
        <w:snapToGrid w:val="0"/>
        <w:spacing w:line="400" w:lineRule="atLeast"/>
        <w:ind w:firstLine="3240" w:firstLineChars="1350"/>
        <w:textAlignment w:val="auto"/>
        <w:outlineLvl w:val="9"/>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br w:type="page"/>
      </w:r>
      <w:r>
        <w:rPr>
          <w:rFonts w:hint="default" w:ascii="Times New Roman" w:hAnsi="Times New Roman" w:eastAsia="黑体" w:cs="Times New Roman"/>
          <w:color w:val="auto"/>
          <w:sz w:val="24"/>
          <w:highlight w:val="none"/>
        </w:rPr>
        <w:t>价格指数和权重表</w:t>
      </w:r>
    </w:p>
    <w:p>
      <w:pPr>
        <w:pageBreakBefore w:val="0"/>
        <w:kinsoku/>
        <w:wordWrap w:val="0"/>
        <w:overflowPunct/>
        <w:bidi w:val="0"/>
        <w:spacing w:line="440" w:lineRule="exact"/>
        <w:jc w:val="center"/>
        <w:rPr>
          <w:rFonts w:hint="default" w:ascii="Times New Roman" w:hAnsi="Times New Roman" w:eastAsia="黑体" w:cs="Times New Roman"/>
          <w:color w:val="auto"/>
          <w:sz w:val="24"/>
          <w:highlight w:val="none"/>
        </w:rPr>
      </w:pPr>
    </w:p>
    <w:tbl>
      <w:tblPr>
        <w:tblStyle w:val="3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72"/>
        <w:gridCol w:w="748"/>
        <w:gridCol w:w="900"/>
        <w:gridCol w:w="648"/>
        <w:gridCol w:w="1266"/>
        <w:gridCol w:w="1630"/>
        <w:gridCol w:w="1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 w:hRule="atLeast"/>
        </w:trPr>
        <w:tc>
          <w:tcPr>
            <w:tcW w:w="1298" w:type="dxa"/>
            <w:gridSpan w:val="2"/>
            <w:vMerge w:val="restart"/>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w:t>
            </w:r>
          </w:p>
        </w:tc>
        <w:tc>
          <w:tcPr>
            <w:tcW w:w="1648" w:type="dxa"/>
            <w:gridSpan w:val="2"/>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基本价格指数</w:t>
            </w:r>
          </w:p>
        </w:tc>
        <w:tc>
          <w:tcPr>
            <w:tcW w:w="3544" w:type="dxa"/>
            <w:gridSpan w:val="3"/>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权       重</w:t>
            </w:r>
          </w:p>
        </w:tc>
        <w:tc>
          <w:tcPr>
            <w:tcW w:w="1970" w:type="dxa"/>
            <w:vMerge w:val="restart"/>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价格指数来源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 w:hRule="atLeast"/>
        </w:trPr>
        <w:tc>
          <w:tcPr>
            <w:tcW w:w="1298" w:type="dxa"/>
            <w:gridSpan w:val="2"/>
            <w:vMerge w:val="continue"/>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p>
        </w:tc>
        <w:tc>
          <w:tcPr>
            <w:tcW w:w="748" w:type="dxa"/>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代号</w:t>
            </w:r>
          </w:p>
        </w:tc>
        <w:tc>
          <w:tcPr>
            <w:tcW w:w="900" w:type="dxa"/>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指数值</w:t>
            </w:r>
          </w:p>
        </w:tc>
        <w:tc>
          <w:tcPr>
            <w:tcW w:w="648" w:type="dxa"/>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代号</w:t>
            </w:r>
          </w:p>
        </w:tc>
        <w:tc>
          <w:tcPr>
            <w:tcW w:w="1266" w:type="dxa"/>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允许范围</w:t>
            </w:r>
          </w:p>
        </w:tc>
        <w:tc>
          <w:tcPr>
            <w:tcW w:w="1630" w:type="dxa"/>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投标人建议值</w:t>
            </w:r>
          </w:p>
        </w:tc>
        <w:tc>
          <w:tcPr>
            <w:tcW w:w="1970" w:type="dxa"/>
            <w:vMerge w:val="continue"/>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298" w:type="dxa"/>
            <w:gridSpan w:val="2"/>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定值部分</w:t>
            </w:r>
          </w:p>
        </w:tc>
        <w:tc>
          <w:tcPr>
            <w:tcW w:w="748"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900"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1266" w:type="dxa"/>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p>
        </w:tc>
        <w:tc>
          <w:tcPr>
            <w:tcW w:w="1630" w:type="dxa"/>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p>
        </w:tc>
        <w:tc>
          <w:tcPr>
            <w:tcW w:w="1970" w:type="dxa"/>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trPr>
        <w:tc>
          <w:tcPr>
            <w:tcW w:w="426" w:type="dxa"/>
            <w:vMerge w:val="restart"/>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变值部分</w:t>
            </w:r>
          </w:p>
        </w:tc>
        <w:tc>
          <w:tcPr>
            <w:tcW w:w="872"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人工费</w:t>
            </w:r>
          </w:p>
        </w:tc>
        <w:tc>
          <w:tcPr>
            <w:tcW w:w="748"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vertAlign w:val="subscript"/>
              </w:rPr>
            </w:pPr>
            <w:r>
              <w:rPr>
                <w:rFonts w:hint="default" w:ascii="Times New Roman" w:hAnsi="Times New Roman" w:cs="Times New Roman"/>
                <w:color w:val="auto"/>
                <w:szCs w:val="21"/>
                <w:highlight w:val="none"/>
              </w:rPr>
              <w:t>F</w:t>
            </w:r>
            <w:r>
              <w:rPr>
                <w:rFonts w:hint="default" w:ascii="Times New Roman" w:hAnsi="Times New Roman" w:cs="Times New Roman"/>
                <w:color w:val="auto"/>
                <w:szCs w:val="21"/>
                <w:highlight w:val="none"/>
                <w:vertAlign w:val="subscript"/>
              </w:rPr>
              <w:t>01</w:t>
            </w:r>
          </w:p>
        </w:tc>
        <w:tc>
          <w:tcPr>
            <w:tcW w:w="900"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r>
              <w:rPr>
                <w:rFonts w:hint="default" w:ascii="Times New Roman" w:hAnsi="Times New Roman" w:cs="Times New Roman"/>
                <w:color w:val="auto"/>
                <w:szCs w:val="21"/>
                <w:highlight w:val="none"/>
                <w:vertAlign w:val="subscript"/>
              </w:rPr>
              <w:t>1</w:t>
            </w:r>
          </w:p>
        </w:tc>
        <w:tc>
          <w:tcPr>
            <w:tcW w:w="1266"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至</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w:t>
            </w:r>
          </w:p>
        </w:tc>
        <w:tc>
          <w:tcPr>
            <w:tcW w:w="1630"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426" w:type="dxa"/>
            <w:vMerge w:val="continue"/>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872"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钢材</w:t>
            </w:r>
          </w:p>
        </w:tc>
        <w:tc>
          <w:tcPr>
            <w:tcW w:w="748"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w:t>
            </w:r>
            <w:r>
              <w:rPr>
                <w:rFonts w:hint="default" w:ascii="Times New Roman" w:hAnsi="Times New Roman" w:cs="Times New Roman"/>
                <w:color w:val="auto"/>
                <w:szCs w:val="21"/>
                <w:highlight w:val="none"/>
                <w:vertAlign w:val="subscript"/>
              </w:rPr>
              <w:t>02</w:t>
            </w:r>
          </w:p>
        </w:tc>
        <w:tc>
          <w:tcPr>
            <w:tcW w:w="900"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r>
              <w:rPr>
                <w:rFonts w:hint="default" w:ascii="Times New Roman" w:hAnsi="Times New Roman" w:cs="Times New Roman"/>
                <w:color w:val="auto"/>
                <w:szCs w:val="21"/>
                <w:highlight w:val="none"/>
                <w:vertAlign w:val="subscript"/>
              </w:rPr>
              <w:t>2</w:t>
            </w:r>
          </w:p>
        </w:tc>
        <w:tc>
          <w:tcPr>
            <w:tcW w:w="1266"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至</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w:t>
            </w:r>
          </w:p>
        </w:tc>
        <w:tc>
          <w:tcPr>
            <w:tcW w:w="1630"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26" w:type="dxa"/>
            <w:vMerge w:val="continue"/>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872"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水泥</w:t>
            </w:r>
          </w:p>
        </w:tc>
        <w:tc>
          <w:tcPr>
            <w:tcW w:w="748"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w:t>
            </w:r>
            <w:r>
              <w:rPr>
                <w:rFonts w:hint="default" w:ascii="Times New Roman" w:hAnsi="Times New Roman" w:cs="Times New Roman"/>
                <w:color w:val="auto"/>
                <w:szCs w:val="21"/>
                <w:highlight w:val="none"/>
                <w:vertAlign w:val="subscript"/>
              </w:rPr>
              <w:t>03</w:t>
            </w:r>
          </w:p>
        </w:tc>
        <w:tc>
          <w:tcPr>
            <w:tcW w:w="900"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r>
              <w:rPr>
                <w:rFonts w:hint="default" w:ascii="Times New Roman" w:hAnsi="Times New Roman" w:cs="Times New Roman"/>
                <w:color w:val="auto"/>
                <w:szCs w:val="21"/>
                <w:highlight w:val="none"/>
                <w:vertAlign w:val="subscript"/>
              </w:rPr>
              <w:t>3</w:t>
            </w:r>
          </w:p>
        </w:tc>
        <w:tc>
          <w:tcPr>
            <w:tcW w:w="1266"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至</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w:t>
            </w:r>
          </w:p>
        </w:tc>
        <w:tc>
          <w:tcPr>
            <w:tcW w:w="1630"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426" w:type="dxa"/>
            <w:vMerge w:val="continue"/>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872"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48"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900"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66"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630"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9" w:hRule="atLeast"/>
        </w:trPr>
        <w:tc>
          <w:tcPr>
            <w:tcW w:w="426" w:type="dxa"/>
            <w:vMerge w:val="continue"/>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872"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748"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900"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vAlign w:val="center"/>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1266"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1630"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860" w:type="dxa"/>
            <w:gridSpan w:val="6"/>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        计</w:t>
            </w:r>
          </w:p>
        </w:tc>
        <w:tc>
          <w:tcPr>
            <w:tcW w:w="1630" w:type="dxa"/>
            <w:vAlign w:val="center"/>
          </w:tcPr>
          <w:p>
            <w:pPr>
              <w:pageBreakBefore w:val="0"/>
              <w:kinsoku/>
              <w:wordWrap w:val="0"/>
              <w:overflowPunct/>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w:t>
            </w:r>
          </w:p>
        </w:tc>
        <w:tc>
          <w:tcPr>
            <w:tcW w:w="1970" w:type="dxa"/>
          </w:tcPr>
          <w:p>
            <w:pPr>
              <w:pageBreakBefore w:val="0"/>
              <w:kinsoku/>
              <w:wordWrap w:val="0"/>
              <w:overflowPunct/>
              <w:bidi w:val="0"/>
              <w:spacing w:before="480" w:beforeLines="200" w:after="480" w:afterLines="200" w:line="240" w:lineRule="atLeast"/>
              <w:rPr>
                <w:rFonts w:hint="default" w:ascii="Times New Roman" w:hAnsi="Times New Roman" w:cs="Times New Roman"/>
                <w:color w:val="auto"/>
                <w:szCs w:val="21"/>
                <w:highlight w:val="none"/>
              </w:rPr>
            </w:pPr>
          </w:p>
        </w:tc>
      </w:tr>
    </w:tbl>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0"/>
          <w:szCs w:val="20"/>
          <w:highlight w:val="none"/>
        </w:rPr>
      </w:pPr>
    </w:p>
    <w:p>
      <w:pPr>
        <w:rPr>
          <w:rFonts w:hint="default" w:ascii="Times New Roman" w:hAnsi="Times New Roman" w:cs="Times New Roman"/>
          <w:color w:val="auto"/>
          <w:highlight w:val="none"/>
        </w:rPr>
      </w:pPr>
      <w:bookmarkStart w:id="2450" w:name="_Toc23747868"/>
      <w:bookmarkStart w:id="2451" w:name="_Toc501257484"/>
      <w:bookmarkStart w:id="2452" w:name="_Toc234833261"/>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jc w:val="center"/>
        <w:rPr>
          <w:rFonts w:hint="default" w:ascii="Times New Roman" w:hAnsi="Times New Roman" w:cs="Times New Roman"/>
          <w:color w:val="auto"/>
          <w:highlight w:val="none"/>
        </w:rPr>
      </w:pPr>
    </w:p>
    <w:p>
      <w:pPr>
        <w:pStyle w:val="2"/>
        <w:keepNext w:val="0"/>
        <w:keepLines w:val="0"/>
        <w:pageBreakBefore w:val="0"/>
        <w:widowControl/>
        <w:numPr>
          <w:ilvl w:val="-1"/>
          <w:numId w:val="0"/>
        </w:numPr>
        <w:kinsoku/>
        <w:wordWrap w:val="0"/>
        <w:overflowPunct/>
        <w:topLinePunct w:val="0"/>
        <w:autoSpaceDE/>
        <w:autoSpaceDN/>
        <w:bidi w:val="0"/>
        <w:adjustRightInd/>
        <w:snapToGrid/>
        <w:spacing w:before="360" w:beforeLines="150" w:after="240" w:afterLines="100" w:line="380" w:lineRule="atLeast"/>
        <w:ind w:left="0" w:firstLine="0" w:firstLineChars="0"/>
        <w:jc w:val="center"/>
        <w:textAlignment w:val="auto"/>
        <w:outlineLvl w:val="1"/>
        <w:rPr>
          <w:rFonts w:hint="default" w:ascii="Times New Roman" w:hAnsi="Times New Roman" w:eastAsia="黑体" w:cs="Times New Roman"/>
          <w:bCs/>
          <w:i w:val="0"/>
          <w:iCs w:val="0"/>
          <w:color w:val="auto"/>
          <w:kern w:val="44"/>
          <w:sz w:val="28"/>
          <w:szCs w:val="28"/>
          <w:highlight w:val="none"/>
        </w:rPr>
      </w:pPr>
      <w:bookmarkStart w:id="2453" w:name="_Toc593"/>
      <w:bookmarkStart w:id="2454" w:name="_Toc112032692"/>
      <w:bookmarkStart w:id="2455" w:name="_Toc13"/>
      <w:bookmarkStart w:id="2456" w:name="_Toc6736"/>
      <w:bookmarkStart w:id="2457" w:name="_Toc137074942"/>
      <w:bookmarkStart w:id="2458" w:name="_Toc458576166"/>
      <w:bookmarkStart w:id="2459" w:name="_Toc26154"/>
      <w:bookmarkStart w:id="2460" w:name="_Toc500352763"/>
      <w:bookmarkStart w:id="2461" w:name="_Toc8859"/>
      <w:bookmarkStart w:id="2462" w:name="_Toc438571660"/>
      <w:r>
        <w:rPr>
          <w:rFonts w:hint="default" w:ascii="Times New Roman" w:hAnsi="Times New Roman" w:eastAsia="黑体" w:cs="Times New Roman"/>
          <w:bCs/>
          <w:i w:val="0"/>
          <w:iCs w:val="0"/>
          <w:color w:val="auto"/>
          <w:kern w:val="44"/>
          <w:sz w:val="28"/>
          <w:szCs w:val="28"/>
          <w:highlight w:val="none"/>
        </w:rPr>
        <w:t>二、授权委托书或法定代表人身份证明</w:t>
      </w:r>
      <w:bookmarkEnd w:id="2453"/>
      <w:bookmarkEnd w:id="2454"/>
      <w:bookmarkEnd w:id="2455"/>
      <w:bookmarkEnd w:id="2456"/>
      <w:bookmarkEnd w:id="2457"/>
      <w:bookmarkEnd w:id="2458"/>
      <w:bookmarkEnd w:id="2459"/>
      <w:bookmarkEnd w:id="2460"/>
      <w:bookmarkEnd w:id="2461"/>
      <w:bookmarkEnd w:id="2462"/>
    </w:p>
    <w:p>
      <w:pPr>
        <w:rPr>
          <w:rFonts w:hint="default" w:ascii="Times New Roman" w:hAnsi="Times New Roman" w:eastAsia="黑体" w:cs="Times New Roman"/>
          <w:color w:val="auto"/>
          <w:szCs w:val="21"/>
          <w:highlight w:val="none"/>
        </w:rPr>
      </w:pPr>
    </w:p>
    <w:p>
      <w:pPr>
        <w:rPr>
          <w:rFonts w:hint="default" w:ascii="Times New Roman" w:hAnsi="Times New Roman" w:eastAsia="黑体" w:cs="Times New Roman"/>
          <w:color w:val="auto"/>
          <w:szCs w:val="21"/>
          <w:highlight w:val="none"/>
        </w:rPr>
      </w:pPr>
    </w:p>
    <w:p>
      <w:pPr>
        <w:pageBreakBefore w:val="0"/>
        <w:kinsoku/>
        <w:overflowPunct/>
        <w:autoSpaceDE/>
        <w:autoSpaceDN/>
        <w:bidi w:val="0"/>
        <w:spacing w:line="360" w:lineRule="auto"/>
        <w:textAlignment w:val="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注：</w:t>
      </w:r>
      <w:r>
        <w:rPr>
          <w:rFonts w:hint="default" w:ascii="Times New Roman" w:hAnsi="Times New Roman" w:cs="Times New Roman"/>
          <w:color w:val="auto"/>
          <w:sz w:val="24"/>
          <w:highlight w:val="none"/>
        </w:rPr>
        <w:t>①</w:t>
      </w:r>
      <w:r>
        <w:rPr>
          <w:rFonts w:hint="default" w:ascii="Times New Roman" w:hAnsi="Times New Roman" w:eastAsia="黑体" w:cs="Times New Roman"/>
          <w:color w:val="auto"/>
          <w:sz w:val="24"/>
          <w:highlight w:val="none"/>
        </w:rPr>
        <w:t>如果由投标人的委托代理人签署投标文件，则只须按要求提供《授权委托书》；</w:t>
      </w:r>
    </w:p>
    <w:p>
      <w:pPr>
        <w:pageBreakBefore w:val="0"/>
        <w:kinsoku/>
        <w:overflowPunct/>
        <w:autoSpaceDE/>
        <w:autoSpaceDN/>
        <w:bidi w:val="0"/>
        <w:spacing w:line="360" w:lineRule="auto"/>
        <w:ind w:firstLine="480" w:firstLineChars="200"/>
        <w:textAlignment w:val="auto"/>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②</w:t>
      </w:r>
      <w:r>
        <w:rPr>
          <w:rFonts w:hint="default" w:ascii="Times New Roman" w:hAnsi="Times New Roman" w:eastAsia="黑体" w:cs="Times New Roman"/>
          <w:color w:val="auto"/>
          <w:sz w:val="24"/>
          <w:highlight w:val="none"/>
        </w:rPr>
        <w:t>如果由投标人的法定代表人签署投标文件，则只须按要求提供《法定代表人身份证明》。</w:t>
      </w:r>
    </w:p>
    <w:p>
      <w:pPr>
        <w:spacing w:line="360" w:lineRule="auto"/>
        <w:ind w:firstLine="480" w:firstLineChars="200"/>
        <w:rPr>
          <w:rFonts w:hint="default" w:ascii="Times New Roman" w:hAnsi="Times New Roman" w:eastAsia="黑体" w:cs="Times New Roman"/>
          <w:color w:val="auto"/>
          <w:sz w:val="24"/>
          <w:highlight w:val="none"/>
        </w:rPr>
      </w:pPr>
    </w:p>
    <w:p>
      <w:pPr>
        <w:keepNext/>
        <w:keepLines/>
        <w:pageBreakBefore w:val="0"/>
        <w:widowControl/>
        <w:tabs>
          <w:tab w:val="left" w:pos="1440"/>
        </w:tabs>
        <w:kinsoku/>
        <w:wordWrap w:val="0"/>
        <w:overflowPunct/>
        <w:topLinePunct/>
        <w:autoSpaceDE/>
        <w:autoSpaceDN/>
        <w:bidi w:val="0"/>
        <w:adjustRightInd/>
        <w:snapToGrid/>
        <w:spacing w:line="440" w:lineRule="exact"/>
        <w:jc w:val="center"/>
        <w:textAlignment w:val="auto"/>
        <w:outlineLvl w:val="9"/>
        <w:rPr>
          <w:rFonts w:hint="default" w:ascii="Times New Roman" w:hAnsi="Times New Roman" w:eastAsia="黑体" w:cs="Times New Roman"/>
          <w:bCs/>
          <w:color w:val="auto"/>
          <w:kern w:val="0"/>
          <w:sz w:val="24"/>
          <w:highlight w:val="none"/>
        </w:rPr>
      </w:pPr>
      <w:r>
        <w:rPr>
          <w:rFonts w:hint="default" w:ascii="Times New Roman" w:hAnsi="Times New Roman" w:cs="Times New Roman"/>
          <w:color w:val="auto"/>
          <w:highlight w:val="none"/>
        </w:rPr>
        <w:br w:type="page"/>
      </w:r>
      <w:bookmarkStart w:id="2463" w:name="_Toc495663699"/>
      <w:bookmarkStart w:id="2464" w:name="_Toc500352764"/>
      <w:bookmarkStart w:id="2465" w:name="_Toc483640988"/>
      <w:r>
        <w:rPr>
          <w:rFonts w:hint="default" w:ascii="Times New Roman" w:hAnsi="Times New Roman" w:eastAsia="黑体" w:cs="Times New Roman"/>
          <w:bCs/>
          <w:color w:val="auto"/>
          <w:kern w:val="0"/>
          <w:sz w:val="24"/>
          <w:highlight w:val="none"/>
        </w:rPr>
        <w:t>（一）授权委托书</w:t>
      </w:r>
    </w:p>
    <w:p>
      <w:pPr>
        <w:pageBreakBefore w:val="0"/>
        <w:kinsoku/>
        <w:overflowPunct/>
        <w:topLinePunct/>
        <w:autoSpaceDE/>
        <w:autoSpaceDN/>
        <w:bidi w:val="0"/>
        <w:spacing w:line="44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（姓名）系</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（投标人名称）的法定代表人，现委托</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（姓名）为我方代理人。代理人根据授权，以我方名义签署、澄清确认、递交、撤回、修改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lang w:val="en-US" w:eastAsia="zh-CN"/>
        </w:rPr>
        <w:t>设计施工总承包</w:t>
      </w:r>
      <w:r>
        <w:rPr>
          <w:rFonts w:hint="default" w:ascii="Times New Roman" w:hAnsi="Times New Roman" w:cs="Times New Roman"/>
          <w:color w:val="auto"/>
          <w:sz w:val="24"/>
          <w:highlight w:val="none"/>
        </w:rPr>
        <w:t>投标文件、签订合同和处理有关事宜，其法律后果由我方承担。</w:t>
      </w:r>
    </w:p>
    <w:p>
      <w:pPr>
        <w:pageBreakBefore w:val="0"/>
        <w:kinsoku/>
        <w:overflow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委托期限：自本委托书签署之日起至投标有效期期满。</w:t>
      </w:r>
    </w:p>
    <w:p>
      <w:pPr>
        <w:pageBreakBefore w:val="0"/>
        <w:kinsoku/>
        <w:wordWrap w:val="0"/>
        <w:overflowPunct/>
        <w:topLinePunct/>
        <w:autoSpaceDE/>
        <w:autoSpaceDN/>
        <w:bidi w:val="0"/>
        <w:spacing w:line="44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代理人无转委托权。</w:t>
      </w:r>
    </w:p>
    <w:p>
      <w:pPr>
        <w:pageBreakBefore w:val="0"/>
        <w:kinsoku/>
        <w:wordWrap w:val="0"/>
        <w:overflowPunct/>
        <w:topLinePunct/>
        <w:autoSpaceDE/>
        <w:autoSpaceDN/>
        <w:bidi w:val="0"/>
        <w:spacing w:line="440" w:lineRule="exact"/>
        <w:ind w:firstLine="480" w:firstLineChars="200"/>
        <w:textAlignment w:val="auto"/>
        <w:outlineLvl w:val="9"/>
        <w:rPr>
          <w:rFonts w:hint="default" w:ascii="Times New Roman" w:hAnsi="Times New Roman" w:cs="Times New Roman"/>
          <w:color w:val="auto"/>
          <w:sz w:val="24"/>
          <w:highlight w:val="none"/>
        </w:rPr>
      </w:pPr>
    </w:p>
    <w:p>
      <w:pPr>
        <w:jc w:val="right"/>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法定代表人身份证</w:t>
      </w:r>
      <w:r>
        <w:rPr>
          <w:rFonts w:hint="default" w:ascii="Times New Roman" w:hAnsi="Times New Roman" w:eastAsia="黑体" w:cs="Times New Roman"/>
          <w:color w:val="auto"/>
          <w:sz w:val="24"/>
          <w:highlight w:val="none"/>
          <w:lang w:val="en-US" w:eastAsia="zh-CN"/>
        </w:rPr>
        <w:t>原件扫描件</w:t>
      </w:r>
      <w:r>
        <w:rPr>
          <w:rFonts w:hint="default" w:ascii="Times New Roman" w:hAnsi="Times New Roman" w:eastAsia="黑体" w:cs="Times New Roman"/>
          <w:color w:val="auto"/>
          <w:sz w:val="24"/>
          <w:highlight w:val="none"/>
        </w:rPr>
        <w:t xml:space="preserve">       委托代理人身份证</w:t>
      </w:r>
      <w:r>
        <w:rPr>
          <w:rFonts w:hint="default" w:ascii="Times New Roman" w:hAnsi="Times New Roman" w:eastAsia="黑体" w:cs="Times New Roman"/>
          <w:color w:val="auto"/>
          <w:sz w:val="24"/>
          <w:highlight w:val="none"/>
          <w:lang w:val="en-US" w:eastAsia="zh-CN"/>
        </w:rPr>
        <w:t>原件扫描件</w:t>
      </w:r>
    </w:p>
    <w:tbl>
      <w:tblPr>
        <w:tblStyle w:val="37"/>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pPr>
              <w:pageBreakBefore w:val="0"/>
              <w:kinsoku/>
              <w:overflowPunct/>
              <w:topLinePunct w:val="0"/>
              <w:autoSpaceDE/>
              <w:autoSpaceDN/>
              <w:bidi w:val="0"/>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国徽</w:t>
            </w:r>
            <w:r>
              <w:rPr>
                <w:rFonts w:hint="default" w:ascii="Times New Roman" w:hAnsi="Times New Roman" w:cs="Times New Roman"/>
                <w:color w:val="auto"/>
                <w:sz w:val="24"/>
                <w:highlight w:val="none"/>
              </w:rPr>
              <w:t>面）</w:t>
            </w:r>
          </w:p>
        </w:tc>
        <w:tc>
          <w:tcPr>
            <w:tcW w:w="4644" w:type="dxa"/>
            <w:vAlign w:val="center"/>
          </w:tcPr>
          <w:p>
            <w:pPr>
              <w:pageBreakBefore w:val="0"/>
              <w:kinsoku/>
              <w:overflowPunct/>
              <w:topLinePunct/>
              <w:autoSpaceDE/>
              <w:autoSpaceDN/>
              <w:bidi w:val="0"/>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国徽</w:t>
            </w:r>
            <w:r>
              <w:rPr>
                <w:rFonts w:hint="default" w:ascii="Times New Roman" w:hAnsi="Times New Roman" w:cs="Times New Roman"/>
                <w:color w:val="auto"/>
                <w:sz w:val="24"/>
                <w:highlight w:val="none"/>
              </w:rPr>
              <w:t>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pPr>
              <w:pageBreakBefore w:val="0"/>
              <w:kinsoku/>
              <w:overflowPunct/>
              <w:topLinePunct w:val="0"/>
              <w:autoSpaceDE/>
              <w:autoSpaceDN/>
              <w:bidi w:val="0"/>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人像</w:t>
            </w:r>
            <w:r>
              <w:rPr>
                <w:rFonts w:hint="default" w:ascii="Times New Roman" w:hAnsi="Times New Roman" w:cs="Times New Roman"/>
                <w:color w:val="auto"/>
                <w:sz w:val="24"/>
                <w:highlight w:val="none"/>
              </w:rPr>
              <w:t>面）</w:t>
            </w:r>
          </w:p>
        </w:tc>
        <w:tc>
          <w:tcPr>
            <w:tcW w:w="4644" w:type="dxa"/>
            <w:vAlign w:val="center"/>
          </w:tcPr>
          <w:p>
            <w:pPr>
              <w:pageBreakBefore w:val="0"/>
              <w:kinsoku/>
              <w:overflowPunct/>
              <w:autoSpaceDE/>
              <w:autoSpaceDN/>
              <w:bidi w:val="0"/>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人像</w:t>
            </w:r>
            <w:r>
              <w:rPr>
                <w:rFonts w:hint="default" w:ascii="Times New Roman" w:hAnsi="Times New Roman" w:cs="Times New Roman"/>
                <w:color w:val="auto"/>
                <w:sz w:val="24"/>
                <w:highlight w:val="none"/>
              </w:rPr>
              <w:t>面）</w:t>
            </w:r>
          </w:p>
        </w:tc>
      </w:tr>
    </w:tbl>
    <w:p>
      <w:pPr>
        <w:pageBreakBefore w:val="0"/>
        <w:kinsoku/>
        <w:wordWrap w:val="0"/>
        <w:overflowPunct/>
        <w:topLinePunct/>
        <w:autoSpaceDE/>
        <w:autoSpaceDN/>
        <w:bidi w:val="0"/>
        <w:spacing w:line="440" w:lineRule="exact"/>
        <w:textAlignment w:val="auto"/>
        <w:outlineLvl w:val="9"/>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（全称） （</w:t>
      </w:r>
      <w:r>
        <w:rPr>
          <w:rFonts w:hint="default" w:ascii="Times New Roman" w:hAnsi="Times New Roman" w:cs="Times New Roman"/>
          <w:color w:val="auto"/>
          <w:sz w:val="24"/>
          <w:highlight w:val="none"/>
          <w:lang w:val="en-US" w:eastAsia="zh-CN"/>
        </w:rPr>
        <w:t>盖单位电子印章</w:t>
      </w:r>
      <w:r>
        <w:rPr>
          <w:rFonts w:hint="default" w:ascii="Times New Roman" w:hAnsi="Times New Roman" w:cs="Times New Roman"/>
          <w:color w:val="auto"/>
          <w:sz w:val="24"/>
          <w:highlight w:val="none"/>
        </w:rPr>
        <w:t>）</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default" w:ascii="Times New Roman" w:hAnsi="Times New Roman"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身份证号码：</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outlineLvl w:val="9"/>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default" w:ascii="Times New Roman" w:hAnsi="Times New Roman"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身份证号码：</w:t>
      </w:r>
      <w:r>
        <w:rPr>
          <w:rFonts w:hint="default" w:ascii="Times New Roman" w:hAnsi="Times New Roman" w:cs="Times New Roman"/>
          <w:color w:val="auto"/>
          <w:sz w:val="24"/>
          <w:highlight w:val="none"/>
          <w:u w:val="single"/>
        </w:rPr>
        <w:t xml:space="preserve">                            </w:t>
      </w:r>
    </w:p>
    <w:p>
      <w:pPr>
        <w:pageBreakBefore w:val="0"/>
        <w:kinsoku/>
        <w:wordWrap w:val="0"/>
        <w:overflowPunct/>
        <w:topLinePunct/>
        <w:autoSpaceDE/>
        <w:autoSpaceDN/>
        <w:bidi w:val="0"/>
        <w:spacing w:line="400" w:lineRule="atLeast"/>
        <w:ind w:left="418" w:leftChars="199" w:firstLine="3720" w:firstLineChars="1550"/>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p>
    <w:p>
      <w:pPr>
        <w:wordWrap w:val="0"/>
        <w:topLinePunct/>
        <w:spacing w:line="400" w:lineRule="atLeast"/>
        <w:ind w:firstLine="420" w:firstLineChars="200"/>
        <w:rPr>
          <w:rFonts w:hint="default" w:ascii="Times New Roman" w:hAnsi="Times New Roman" w:eastAsia="黑体" w:cs="Times New Roman"/>
          <w:color w:val="auto"/>
          <w:szCs w:val="21"/>
          <w:highlight w:val="none"/>
        </w:rPr>
      </w:pPr>
    </w:p>
    <w:p>
      <w:pPr>
        <w:wordWrap w:val="0"/>
        <w:topLinePunct/>
        <w:spacing w:line="400" w:lineRule="atLeast"/>
        <w:ind w:firstLine="420" w:firstLineChars="200"/>
        <w:rPr>
          <w:rFonts w:hint="default" w:ascii="Times New Roman" w:hAnsi="Times New Roman" w:eastAsia="黑体" w:cs="Times New Roman"/>
          <w:color w:val="auto"/>
          <w:szCs w:val="21"/>
          <w:highlight w:val="none"/>
        </w:rPr>
      </w:pPr>
      <w:r>
        <w:rPr>
          <w:rFonts w:hint="default" w:ascii="Times New Roman" w:hAnsi="Times New Roman" w:cs="Times New Roman"/>
          <w:color w:val="auto"/>
          <w:kern w:val="2"/>
          <w:sz w:val="21"/>
          <w:szCs w:val="21"/>
          <w:highlight w:val="none"/>
        </w:rPr>
        <w:t>注：</w:t>
      </w:r>
      <w:r>
        <w:rPr>
          <w:rFonts w:hint="default" w:ascii="Times New Roman" w:hAnsi="Times New Roman" w:cs="Times New Roman"/>
          <w:color w:val="auto"/>
          <w:szCs w:val="21"/>
          <w:highlight w:val="none"/>
        </w:rPr>
        <w:t>以联合体形式投标的，本授权委托书应由联合体牵头人的法定代表人按上述规定签署。</w:t>
      </w:r>
    </w:p>
    <w:p>
      <w:pPr>
        <w:spacing w:line="360" w:lineRule="auto"/>
        <w:ind w:firstLine="3360"/>
        <w:jc w:val="right"/>
        <w:rPr>
          <w:rFonts w:hint="default" w:ascii="Times New Roman" w:hAnsi="Times New Roman" w:eastAsia="仿宋_GB2312" w:cs="Times New Roman"/>
          <w:color w:val="auto"/>
          <w:sz w:val="32"/>
          <w:szCs w:val="32"/>
          <w:highlight w:val="none"/>
        </w:rPr>
      </w:pPr>
    </w:p>
    <w:p>
      <w:pPr>
        <w:keepNext/>
        <w:keepLines/>
        <w:pageBreakBefore w:val="0"/>
        <w:widowControl/>
        <w:tabs>
          <w:tab w:val="left" w:pos="1440"/>
        </w:tabs>
        <w:kinsoku/>
        <w:wordWrap w:val="0"/>
        <w:overflowPunct/>
        <w:topLinePunct/>
        <w:autoSpaceDE/>
        <w:autoSpaceDN/>
        <w:bidi w:val="0"/>
        <w:adjustRightInd/>
        <w:snapToGrid/>
        <w:spacing w:line="440" w:lineRule="exact"/>
        <w:jc w:val="center"/>
        <w:textAlignment w:val="auto"/>
        <w:outlineLvl w:val="9"/>
        <w:rPr>
          <w:rFonts w:hint="default" w:ascii="Times New Roman" w:hAnsi="Times New Roman" w:eastAsia="黑体" w:cs="Times New Roman"/>
          <w:bCs/>
          <w:color w:val="auto"/>
          <w:kern w:val="0"/>
          <w:sz w:val="24"/>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bCs/>
          <w:color w:val="auto"/>
          <w:kern w:val="0"/>
          <w:sz w:val="24"/>
          <w:highlight w:val="none"/>
        </w:rPr>
        <w:t>（二）法定代表人身份证明</w:t>
      </w:r>
      <w:bookmarkEnd w:id="2463"/>
      <w:bookmarkEnd w:id="2464"/>
      <w:bookmarkEnd w:id="2465"/>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ageBreakBefore w:val="0"/>
        <w:kinsoku/>
        <w:wordWrap w:val="0"/>
        <w:overflowPunct/>
        <w:topLine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pageBreakBefore w:val="0"/>
        <w:kinsoku/>
        <w:wordWrap w:val="0"/>
        <w:overflowPunct/>
        <w:topLine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姓名：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bCs/>
          <w:color w:val="auto"/>
          <w:sz w:val="24"/>
          <w:highlight w:val="none"/>
          <w:u w:val="single"/>
        </w:rPr>
        <w:t>（法定代表人个人</w:t>
      </w:r>
      <w:r>
        <w:rPr>
          <w:rFonts w:hint="default" w:ascii="Times New Roman" w:hAnsi="Times New Roman" w:cs="Times New Roman"/>
          <w:bCs/>
          <w:color w:val="auto"/>
          <w:sz w:val="24"/>
          <w:highlight w:val="none"/>
          <w:u w:val="single"/>
          <w:lang w:eastAsia="zh-CN"/>
        </w:rPr>
        <w:t>电子签名</w:t>
      </w:r>
      <w:r>
        <w:rPr>
          <w:rFonts w:hint="default" w:ascii="Times New Roman" w:hAnsi="Times New Roman" w:cs="Times New Roman"/>
          <w:bCs/>
          <w:color w:val="auto"/>
          <w:sz w:val="24"/>
          <w:highlight w:val="none"/>
          <w:u w:val="single"/>
        </w:rPr>
        <w:t>或个人电子印章）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性别：</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职务：</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系</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（投标人名称）的法定代表人。</w:t>
      </w:r>
    </w:p>
    <w:p>
      <w:pPr>
        <w:pageBreakBefore w:val="0"/>
        <w:kinsoku/>
        <w:wordWrap w:val="0"/>
        <w:overflowPunct/>
        <w:topLinePunct/>
        <w:autoSpaceDE/>
        <w:autoSpaceDN/>
        <w:bidi w:val="0"/>
        <w:spacing w:line="44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特此证明。</w:t>
      </w:r>
    </w:p>
    <w:p>
      <w:pPr>
        <w:pageBreakBefore w:val="0"/>
        <w:kinsoku/>
        <w:wordWrap w:val="0"/>
        <w:overflowPunct/>
        <w:topLinePunct/>
        <w:autoSpaceDE/>
        <w:autoSpaceDN/>
        <w:bidi w:val="0"/>
        <w:spacing w:line="440" w:lineRule="exact"/>
        <w:textAlignment w:val="auto"/>
        <w:outlineLvl w:val="9"/>
        <w:rPr>
          <w:rFonts w:hint="default" w:ascii="Times New Roman" w:hAnsi="Times New Roman" w:cs="Times New Roman"/>
          <w:color w:val="auto"/>
          <w:sz w:val="24"/>
          <w:highlight w:val="none"/>
        </w:rPr>
      </w:pPr>
    </w:p>
    <w:p>
      <w:pPr>
        <w:keepNext w:val="0"/>
        <w:keepLines w:val="0"/>
        <w:pageBreakBefore w:val="0"/>
        <w:widowControl w:val="0"/>
        <w:kinsoku/>
        <w:wordWrap/>
        <w:overflowPunct/>
        <w:topLinePunct/>
        <w:autoSpaceDE/>
        <w:autoSpaceDN/>
        <w:bidi w:val="0"/>
        <w:adjustRightInd/>
        <w:snapToGrid/>
        <w:spacing w:line="440" w:lineRule="exact"/>
        <w:jc w:val="center"/>
        <w:textAlignment w:val="auto"/>
        <w:outlineLvl w:val="9"/>
        <w:rPr>
          <w:rFonts w:hint="default" w:ascii="Times New Roman" w:hAnsi="Times New Roman" w:eastAsia="黑体" w:cs="Times New Roman"/>
          <w:color w:val="auto"/>
          <w:sz w:val="24"/>
          <w:highlight w:val="none"/>
          <w:lang w:val="en-US" w:eastAsia="zh-CN"/>
        </w:rPr>
      </w:pPr>
      <w:bookmarkStart w:id="2466" w:name="_Toc12237"/>
      <w:r>
        <w:rPr>
          <w:rFonts w:hint="default" w:ascii="Times New Roman" w:hAnsi="Times New Roman" w:eastAsia="黑体" w:cs="Times New Roman"/>
          <w:color w:val="auto"/>
          <w:sz w:val="24"/>
          <w:highlight w:val="none"/>
        </w:rPr>
        <w:t>法定代表人身份证</w:t>
      </w:r>
      <w:r>
        <w:rPr>
          <w:rFonts w:hint="default" w:ascii="Times New Roman" w:hAnsi="Times New Roman" w:eastAsia="黑体" w:cs="Times New Roman"/>
          <w:color w:val="auto"/>
          <w:sz w:val="24"/>
          <w:highlight w:val="none"/>
          <w:lang w:val="en-US" w:eastAsia="zh-CN"/>
        </w:rPr>
        <w:t>原件扫描件</w:t>
      </w:r>
      <w:bookmarkEnd w:id="2466"/>
    </w:p>
    <w:p>
      <w:pPr>
        <w:ind w:firstLine="420"/>
        <w:rPr>
          <w:rFonts w:hint="default" w:ascii="Times New Roman" w:hAnsi="Times New Roman" w:cs="Times New Roman"/>
          <w:color w:val="auto"/>
          <w:highlight w:val="none"/>
        </w:rPr>
      </w:pPr>
    </w:p>
    <w:tbl>
      <w:tblPr>
        <w:tblStyle w:val="37"/>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trPr>
        <w:tc>
          <w:tcPr>
            <w:tcW w:w="4645" w:type="dxa"/>
            <w:vAlign w:val="center"/>
          </w:tcPr>
          <w:p>
            <w:pPr>
              <w:pageBreakBefore w:val="0"/>
              <w:kinsoku/>
              <w:wordWrap w:val="0"/>
              <w:overflowPunct/>
              <w:topLinePunct/>
              <w:autoSpaceDE/>
              <w:autoSpaceDN/>
              <w:bidi w:val="0"/>
              <w:spacing w:line="440" w:lineRule="exac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（国徽面）</w:t>
            </w:r>
          </w:p>
        </w:tc>
        <w:tc>
          <w:tcPr>
            <w:tcW w:w="4644" w:type="dxa"/>
            <w:vAlign w:val="center"/>
          </w:tcPr>
          <w:p>
            <w:pPr>
              <w:pageBreakBefore w:val="0"/>
              <w:kinsoku/>
              <w:wordWrap w:val="0"/>
              <w:overflowPunct/>
              <w:topLinePunct/>
              <w:autoSpaceDE/>
              <w:autoSpaceDN/>
              <w:bidi w:val="0"/>
              <w:spacing w:line="440" w:lineRule="exact"/>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（人像面）</w:t>
            </w:r>
          </w:p>
        </w:tc>
      </w:tr>
    </w:tbl>
    <w:p>
      <w:pPr>
        <w:pageBreakBefore w:val="0"/>
        <w:kinsoku/>
        <w:wordWrap w:val="0"/>
        <w:overflowPunct/>
        <w:topLine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topLine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topLine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topLine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（全称） （盖单位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pageBreakBefore w:val="0"/>
        <w:kinsoku/>
        <w:wordWrap w:val="0"/>
        <w:overflowPunct/>
        <w:topLinePunct/>
        <w:autoSpaceDE/>
        <w:autoSpaceDN/>
        <w:bidi w:val="0"/>
        <w:spacing w:line="44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wordWrap w:val="0"/>
        <w:topLinePunct/>
        <w:spacing w:line="440" w:lineRule="exact"/>
        <w:rPr>
          <w:rFonts w:hint="default" w:ascii="Times New Roman" w:hAnsi="Times New Roman" w:eastAsia="黑体" w:cs="Times New Roman"/>
          <w:color w:val="auto"/>
          <w:sz w:val="24"/>
          <w:highlight w:val="none"/>
        </w:rPr>
      </w:pPr>
    </w:p>
    <w:p>
      <w:pPr>
        <w:wordWrap w:val="0"/>
        <w:topLinePunct/>
        <w:spacing w:line="440" w:lineRule="exact"/>
        <w:rPr>
          <w:rFonts w:hint="default" w:ascii="Times New Roman" w:hAnsi="Times New Roman" w:eastAsia="黑体" w:cs="Times New Roman"/>
          <w:color w:val="auto"/>
          <w:sz w:val="24"/>
          <w:highlight w:val="none"/>
        </w:rPr>
      </w:pPr>
    </w:p>
    <w:p>
      <w:pPr>
        <w:pStyle w:val="2"/>
        <w:pageBreakBefore w:val="0"/>
        <w:kinsoku/>
        <w:wordWrap w:val="0"/>
        <w:overflowPunct/>
        <w:bidi w:val="0"/>
        <w:spacing w:beforeLines="150" w:afterLines="100" w:line="380" w:lineRule="atLeast"/>
        <w:jc w:val="center"/>
        <w:outlineLvl w:val="9"/>
        <w:rPr>
          <w:rFonts w:hint="default" w:ascii="Times New Roman" w:hAnsi="Times New Roman" w:eastAsia="黑体" w:cs="Times New Roman"/>
          <w:color w:val="auto"/>
          <w:sz w:val="28"/>
          <w:szCs w:val="28"/>
          <w:highlight w:val="none"/>
        </w:rPr>
        <w:sectPr>
          <w:headerReference r:id="rId49" w:type="even"/>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pPr>
        <w:pStyle w:val="2"/>
        <w:pageBreakBefore w:val="0"/>
        <w:kinsoku/>
        <w:wordWrap w:val="0"/>
        <w:overflowPunct/>
        <w:bidi w:val="0"/>
        <w:spacing w:before="360" w:beforeLines="150" w:after="240" w:afterLines="100" w:line="380" w:lineRule="atLeast"/>
        <w:jc w:val="center"/>
        <w:outlineLvl w:val="1"/>
        <w:rPr>
          <w:rFonts w:hint="default" w:ascii="Times New Roman" w:hAnsi="Times New Roman" w:eastAsia="黑体" w:cs="Times New Roman"/>
          <w:color w:val="auto"/>
          <w:sz w:val="28"/>
          <w:szCs w:val="28"/>
          <w:highlight w:val="none"/>
        </w:rPr>
      </w:pPr>
      <w:bookmarkStart w:id="2467" w:name="_Toc5495"/>
      <w:bookmarkStart w:id="2468" w:name="_Toc12483"/>
      <w:bookmarkStart w:id="2469" w:name="_Toc29442"/>
      <w:r>
        <w:rPr>
          <w:rFonts w:hint="default" w:ascii="Times New Roman" w:hAnsi="Times New Roman" w:eastAsia="黑体" w:cs="Times New Roman"/>
          <w:color w:val="auto"/>
          <w:sz w:val="28"/>
          <w:szCs w:val="28"/>
          <w:highlight w:val="none"/>
        </w:rPr>
        <w:t>三、</w:t>
      </w:r>
      <w:r>
        <w:rPr>
          <w:rFonts w:hint="default" w:ascii="Times New Roman" w:hAnsi="Times New Roman" w:eastAsia="黑体" w:cs="Times New Roman"/>
          <w:b w:val="0"/>
          <w:color w:val="auto"/>
          <w:sz w:val="28"/>
          <w:szCs w:val="28"/>
          <w:highlight w:val="none"/>
        </w:rPr>
        <w:t>联合体协议书</w:t>
      </w:r>
      <w:r>
        <w:rPr>
          <w:rStyle w:val="45"/>
          <w:rFonts w:hint="default" w:ascii="Times New Roman" w:hAnsi="Times New Roman" w:eastAsia="黑体" w:cs="Times New Roman"/>
          <w:color w:val="auto"/>
          <w:sz w:val="28"/>
          <w:szCs w:val="28"/>
          <w:highlight w:val="none"/>
        </w:rPr>
        <w:footnoteReference w:id="85"/>
      </w:r>
      <w:bookmarkEnd w:id="2450"/>
      <w:bookmarkEnd w:id="2451"/>
      <w:bookmarkEnd w:id="2452"/>
      <w:bookmarkEnd w:id="2467"/>
      <w:bookmarkEnd w:id="2468"/>
      <w:bookmarkEnd w:id="2469"/>
    </w:p>
    <w:p>
      <w:pPr>
        <w:pageBreakBefore w:val="0"/>
        <w:kinsoku/>
        <w:wordWrap w:val="0"/>
        <w:overflowPunct/>
        <w:bidi w:val="0"/>
        <w:spacing w:line="440" w:lineRule="exact"/>
        <w:jc w:val="center"/>
        <w:rPr>
          <w:rFonts w:hint="default" w:ascii="Times New Roman" w:hAnsi="Times New Roman" w:eastAsia="黑体" w:cs="Times New Roman"/>
          <w:color w:val="auto"/>
          <w:sz w:val="24"/>
          <w:highlight w:val="none"/>
        </w:rPr>
      </w:pPr>
    </w:p>
    <w:p>
      <w:pPr>
        <w:pageBreakBefore w:val="0"/>
        <w:kinsoku/>
        <w:wordWrap w:val="0"/>
        <w:overflowPunct/>
        <w:autoSpaceDE/>
        <w:autoSpaceDN/>
        <w:bidi w:val="0"/>
        <w:spacing w:line="400" w:lineRule="atLeast"/>
        <w:ind w:firstLine="360"/>
        <w:textAlignment w:val="auto"/>
        <w:outlineLvl w:val="9"/>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u w:val="single"/>
        </w:rPr>
        <w:t xml:space="preserve">                </w:t>
      </w:r>
      <w:r>
        <w:rPr>
          <w:rFonts w:hint="default" w:ascii="Times New Roman" w:hAnsi="Times New Roman" w:eastAsia="黑体" w:cs="Times New Roman"/>
          <w:color w:val="auto"/>
          <w:sz w:val="24"/>
          <w:highlight w:val="none"/>
        </w:rPr>
        <w:t>（</w:t>
      </w:r>
      <w:r>
        <w:rPr>
          <w:rFonts w:hint="default" w:ascii="Times New Roman" w:hAnsi="Times New Roman" w:cs="Times New Roman"/>
          <w:color w:val="auto"/>
          <w:sz w:val="24"/>
          <w:highlight w:val="none"/>
        </w:rPr>
        <w:t>所有成员单位名称）自愿组成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（联合体名称）联合体，共同参加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标段设计施工总承包投标。现就联合体投标事宜订立如下协议。</w:t>
      </w:r>
    </w:p>
    <w:p>
      <w:pPr>
        <w:pageBreakBefore w:val="0"/>
        <w:kinsoku/>
        <w:wordWrap w:val="0"/>
        <w:overflowPunct/>
        <w:autoSpaceDE/>
        <w:autoSpaceDN/>
        <w:bidi w:val="0"/>
        <w:spacing w:line="400" w:lineRule="atLeast"/>
        <w:ind w:firstLine="39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（某成员单位名称）为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（联合体名称）牵头人。</w:t>
      </w:r>
    </w:p>
    <w:p>
      <w:pPr>
        <w:pageBreakBefore w:val="0"/>
        <w:kinsoku/>
        <w:wordWrap w:val="0"/>
        <w:overflowPunct/>
        <w:autoSpaceDE/>
        <w:autoSpaceDN/>
        <w:bidi w:val="0"/>
        <w:spacing w:line="400" w:lineRule="atLeast"/>
        <w:ind w:firstLine="39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2.联合体各成员授权牵头人代表联合体参加投标活动，签署文件，提交和接收相</w:t>
      </w:r>
      <w:bookmarkStart w:id="2470" w:name="_Toc384308378"/>
      <w:bookmarkStart w:id="2471" w:name="_Toc152045790"/>
      <w:bookmarkStart w:id="2472" w:name="_Toc144974859"/>
      <w:bookmarkStart w:id="2473" w:name="_Toc300835212"/>
      <w:bookmarkStart w:id="2474" w:name="_Toc247527830"/>
      <w:bookmarkStart w:id="2475" w:name="_Toc361508755"/>
      <w:bookmarkStart w:id="2476" w:name="_Toc152042579"/>
      <w:bookmarkStart w:id="2477" w:name="_Toc247514249"/>
      <w:r>
        <w:rPr>
          <w:rFonts w:hint="default" w:ascii="Times New Roman" w:hAnsi="Times New Roman" w:cs="Times New Roman"/>
          <w:color w:val="auto"/>
          <w:sz w:val="24"/>
          <w:highlight w:val="none"/>
        </w:rPr>
        <w:t>关的</w:t>
      </w:r>
      <w:bookmarkStart w:id="2478" w:name="_Toc369531700"/>
      <w:bookmarkStart w:id="2479" w:name="_Toc7749"/>
      <w:bookmarkStart w:id="2480" w:name="_Toc352691664"/>
      <w:r>
        <w:rPr>
          <w:rFonts w:hint="default" w:ascii="Times New Roman" w:hAnsi="Times New Roman" w:cs="Times New Roman"/>
          <w:color w:val="auto"/>
          <w:sz w:val="24"/>
          <w:highlight w:val="none"/>
        </w:rPr>
        <w:t>资料、信息及</w:t>
      </w:r>
      <w:bookmarkEnd w:id="2478"/>
      <w:bookmarkEnd w:id="2479"/>
      <w:bookmarkEnd w:id="2480"/>
      <w:r>
        <w:rPr>
          <w:rFonts w:hint="default" w:ascii="Times New Roman" w:hAnsi="Times New Roman" w:cs="Times New Roman"/>
          <w:color w:val="auto"/>
          <w:sz w:val="24"/>
          <w:highlight w:val="none"/>
        </w:rPr>
        <w:t>指</w:t>
      </w:r>
      <w:bookmarkEnd w:id="2470"/>
      <w:bookmarkEnd w:id="2471"/>
      <w:bookmarkEnd w:id="2472"/>
      <w:bookmarkEnd w:id="2473"/>
      <w:bookmarkEnd w:id="2474"/>
      <w:bookmarkEnd w:id="2475"/>
      <w:bookmarkEnd w:id="2476"/>
      <w:bookmarkEnd w:id="2477"/>
      <w:r>
        <w:rPr>
          <w:rFonts w:hint="default" w:ascii="Times New Roman" w:hAnsi="Times New Roman" w:cs="Times New Roman"/>
          <w:color w:val="auto"/>
          <w:sz w:val="24"/>
          <w:highlight w:val="none"/>
        </w:rPr>
        <w:t>示，进行合同谈判活动，负责合同实施阶段的组织和协调工作，以及处理与本招标项目有关的一切事宜。</w:t>
      </w:r>
    </w:p>
    <w:p>
      <w:pPr>
        <w:pageBreakBefore w:val="0"/>
        <w:kinsoku/>
        <w:wordWrap w:val="0"/>
        <w:overflowPunct/>
        <w:autoSpaceDE/>
        <w:autoSpaceDN/>
        <w:bidi w:val="0"/>
        <w:spacing w:line="400" w:lineRule="atLeast"/>
        <w:ind w:firstLine="39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3.联合体牵头人在本项目中签署的一切文件和处理的一切事宜，联合体各成员均予以承认。联合体各成员将严格按照招标文件、投标文件和合同的要求全面履行义务，并向招标人承担连带责任。</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4.联合体各成员单位内部的职责分工如下：</w:t>
      </w:r>
      <w:r>
        <w:rPr>
          <w:rFonts w:hint="default" w:ascii="Times New Roman" w:hAnsi="Times New Roman" w:cs="Times New Roman"/>
          <w:color w:val="auto"/>
          <w:sz w:val="24"/>
          <w:highlight w:val="none"/>
          <w:u w:val="single"/>
        </w:rPr>
        <w:t>（牵头人名称）</w:t>
      </w:r>
      <w:r>
        <w:rPr>
          <w:rFonts w:hint="default" w:ascii="Times New Roman" w:hAnsi="Times New Roman" w:cs="Times New Roman"/>
          <w:color w:val="auto"/>
          <w:sz w:val="24"/>
          <w:highlight w:val="none"/>
        </w:rPr>
        <w:t>承担</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专业工程，占总工程量的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Style w:val="45"/>
          <w:rFonts w:hint="default" w:ascii="Times New Roman" w:hAnsi="Times New Roman" w:cs="Times New Roman"/>
          <w:color w:val="auto"/>
          <w:sz w:val="24"/>
          <w:highlight w:val="none"/>
        </w:rPr>
        <w:footnoteReference w:id="86"/>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（成员一名称）</w:t>
      </w:r>
      <w:r>
        <w:rPr>
          <w:rFonts w:hint="default" w:ascii="Times New Roman" w:hAnsi="Times New Roman" w:cs="Times New Roman"/>
          <w:color w:val="auto"/>
          <w:sz w:val="24"/>
          <w:highlight w:val="none"/>
        </w:rPr>
        <w:t>承担</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专业工程，占总工程量的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overflowPunct/>
        <w:topLine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5.投标工作和联合体在中标后工程实施过程中的有关费用按各自承担的工作量分摊。</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6.本协议书自所有成员单位法定代表人签字并加盖单位章之日起生效，合同履行完毕后自动失效。</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7.本协议书一式</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份，联合体成员和招标人各执一份。</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p>
    <w:p>
      <w:pPr>
        <w:pageBreakBefore w:val="0"/>
        <w:kinsoku/>
        <w:overflowPunct/>
        <w:topLinePunct/>
        <w:autoSpaceDE/>
        <w:autoSpaceDN/>
        <w:bidi w:val="0"/>
        <w:spacing w:line="400" w:lineRule="atLeast"/>
        <w:ind w:firstLine="470" w:firstLineChars="196"/>
        <w:textAlignment w:val="auto"/>
        <w:outlineLvl w:val="9"/>
        <w:rPr>
          <w:rFonts w:hint="default" w:ascii="Times New Roman" w:hAnsi="Times New Roman" w:cs="Times New Roman"/>
          <w:color w:val="auto"/>
          <w:sz w:val="24"/>
          <w:highlight w:val="none"/>
        </w:rPr>
      </w:pPr>
      <w:bookmarkStart w:id="2481" w:name="_Toc234833262"/>
      <w:r>
        <w:rPr>
          <w:rFonts w:hint="default" w:ascii="Times New Roman" w:hAnsi="Times New Roman" w:cs="Times New Roman"/>
          <w:color w:val="auto"/>
          <w:sz w:val="24"/>
          <w:highlight w:val="none"/>
        </w:rPr>
        <w:t>联合体牵头人名称：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lang w:val="en-US" w:eastAsia="zh-CN"/>
        </w:rPr>
        <w:t>或盖单位电子印章</w:t>
      </w:r>
      <w:r>
        <w:rPr>
          <w:rFonts w:hint="default" w:ascii="Times New Roman" w:hAnsi="Times New Roman" w:cs="Times New Roman"/>
          <w:color w:val="auto"/>
          <w:sz w:val="24"/>
          <w:highlight w:val="none"/>
        </w:rPr>
        <w:t>）</w:t>
      </w:r>
    </w:p>
    <w:p>
      <w:pPr>
        <w:pageBreakBefore w:val="0"/>
        <w:kinsoku/>
        <w:overflowPunct/>
        <w:topLinePunct/>
        <w:autoSpaceDE/>
        <w:autoSpaceDN/>
        <w:bidi w:val="0"/>
        <w:spacing w:line="400" w:lineRule="atLeast"/>
        <w:ind w:firstLine="470" w:firstLineChars="196"/>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r>
        <w:rPr>
          <w:rFonts w:hint="default" w:ascii="Times New Roman" w:hAnsi="Times New Roman" w:cs="Times New Roman"/>
          <w:color w:val="auto"/>
          <w:sz w:val="24"/>
          <w:highlight w:val="none"/>
          <w:lang w:val="en-US" w:eastAsia="zh-CN"/>
        </w:rPr>
        <w:t>或</w:t>
      </w:r>
      <w:r>
        <w:rPr>
          <w:rFonts w:hint="default" w:ascii="Times New Roman" w:hAnsi="Times New Roman" w:cs="Times New Roman"/>
          <w:color w:val="auto"/>
          <w:sz w:val="24"/>
          <w:highlight w:val="none"/>
        </w:rPr>
        <w:t>个人</w:t>
      </w:r>
      <w:r>
        <w:rPr>
          <w:rFonts w:hint="default" w:ascii="Times New Roman" w:hAnsi="Times New Roman"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topLinePunct/>
        <w:spacing w:line="400" w:lineRule="atLeast"/>
        <w:ind w:firstLine="411" w:firstLineChars="196"/>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w:t>
      </w:r>
    </w:p>
    <w:p>
      <w:pPr>
        <w:pageBreakBefore w:val="0"/>
        <w:kinsoku/>
        <w:overflowPunct/>
        <w:topLinePunct/>
        <w:autoSpaceDE/>
        <w:autoSpaceDN/>
        <w:bidi w:val="0"/>
        <w:spacing w:line="400" w:lineRule="atLeast"/>
        <w:ind w:firstLine="470" w:firstLineChars="196"/>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联合体成员名称：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lang w:val="en-US" w:eastAsia="zh-CN"/>
        </w:rPr>
        <w:t>或盖单位电子印章</w:t>
      </w:r>
      <w:r>
        <w:rPr>
          <w:rFonts w:hint="default" w:ascii="Times New Roman" w:hAnsi="Times New Roman" w:cs="Times New Roman"/>
          <w:color w:val="auto"/>
          <w:sz w:val="24"/>
          <w:highlight w:val="none"/>
        </w:rPr>
        <w:t>）</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r>
        <w:rPr>
          <w:rFonts w:hint="default" w:ascii="Times New Roman" w:hAnsi="Times New Roman" w:cs="Times New Roman"/>
          <w:color w:val="auto"/>
          <w:sz w:val="24"/>
          <w:highlight w:val="none"/>
          <w:lang w:val="en-US" w:eastAsia="zh-CN"/>
        </w:rPr>
        <w:t>或</w:t>
      </w:r>
      <w:r>
        <w:rPr>
          <w:rFonts w:hint="default" w:ascii="Times New Roman" w:hAnsi="Times New Roman" w:cs="Times New Roman"/>
          <w:color w:val="auto"/>
          <w:sz w:val="24"/>
          <w:highlight w:val="none"/>
        </w:rPr>
        <w:t>个人</w:t>
      </w:r>
      <w:r>
        <w:rPr>
          <w:rFonts w:hint="default" w:ascii="Times New Roman" w:hAnsi="Times New Roman"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pageBreakBefore w:val="0"/>
        <w:kinsoku/>
        <w:wordWrap w:val="0"/>
        <w:overflowPunct/>
        <w:bidi w:val="0"/>
        <w:spacing w:line="400" w:lineRule="atLeast"/>
        <w:ind w:firstLine="480" w:firstLineChars="200"/>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w:t>
      </w:r>
    </w:p>
    <w:p>
      <w:pPr>
        <w:pageBreakBefore w:val="0"/>
        <w:kinsoku/>
        <w:wordWrap w:val="0"/>
        <w:overflowPunct/>
        <w:autoSpaceDE/>
        <w:autoSpaceDN/>
        <w:bidi w:val="0"/>
        <w:spacing w:line="400" w:lineRule="atLeast"/>
        <w:ind w:firstLine="2700" w:firstLineChars="1125"/>
        <w:jc w:val="right"/>
        <w:textAlignment w:val="auto"/>
        <w:outlineLvl w:val="9"/>
        <w:rPr>
          <w:rFonts w:hint="default" w:ascii="Times New Roman" w:hAnsi="Times New Roman" w:eastAsia="黑体" w:cs="Times New Roman"/>
          <w:color w:val="auto"/>
          <w:sz w:val="24"/>
          <w:highlight w:val="none"/>
          <w:u w:val="singl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overflowPunct/>
        <w:bidi w:val="0"/>
        <w:spacing w:before="360" w:beforeLines="150" w:after="240" w:afterLines="100" w:line="380" w:lineRule="atLeast"/>
        <w:jc w:val="center"/>
        <w:outlineLvl w:val="1"/>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b w:val="0"/>
          <w:color w:val="auto"/>
          <w:sz w:val="28"/>
          <w:szCs w:val="28"/>
          <w:highlight w:val="none"/>
        </w:rPr>
        <w:br w:type="page"/>
      </w:r>
      <w:bookmarkStart w:id="2482" w:name="_Toc501257485"/>
      <w:bookmarkStart w:id="2483" w:name="_Toc3140"/>
      <w:bookmarkStart w:id="2484" w:name="_Toc23747869"/>
      <w:bookmarkStart w:id="2485" w:name="_Toc18047"/>
      <w:bookmarkStart w:id="2486" w:name="_Toc32363"/>
      <w:r>
        <w:rPr>
          <w:rFonts w:hint="default" w:ascii="Times New Roman" w:hAnsi="Times New Roman" w:eastAsia="黑体" w:cs="Times New Roman"/>
          <w:b w:val="0"/>
          <w:color w:val="auto"/>
          <w:sz w:val="28"/>
          <w:szCs w:val="28"/>
          <w:highlight w:val="none"/>
        </w:rPr>
        <w:t>四、投标保证金</w:t>
      </w:r>
      <w:bookmarkEnd w:id="2481"/>
      <w:bookmarkEnd w:id="2482"/>
      <w:bookmarkEnd w:id="2483"/>
      <w:bookmarkEnd w:id="2484"/>
      <w:bookmarkEnd w:id="2485"/>
      <w:bookmarkEnd w:id="2486"/>
    </w:p>
    <w:p>
      <w:pPr>
        <w:pageBreakBefore w:val="0"/>
        <w:kinsoku/>
        <w:overflowPunct/>
        <w:autoSpaceDE/>
        <w:autoSpaceDN/>
        <w:bidi w:val="0"/>
        <w:spacing w:line="400" w:lineRule="atLeast"/>
        <w:ind w:firstLine="508" w:firstLineChars="212"/>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若采用现金，投标人应在此提供汇款凭证的</w:t>
      </w:r>
      <w:r>
        <w:rPr>
          <w:rFonts w:hint="default" w:ascii="Times New Roman" w:hAnsi="Times New Roman" w:cs="Times New Roman"/>
          <w:color w:val="auto"/>
          <w:sz w:val="24"/>
          <w:highlight w:val="none"/>
          <w:lang w:val="en-US" w:eastAsia="zh-CN"/>
        </w:rPr>
        <w:t>原件扫描件</w:t>
      </w:r>
      <w:r>
        <w:rPr>
          <w:rFonts w:hint="default" w:ascii="Times New Roman" w:hAnsi="Times New Roman" w:cs="Times New Roman"/>
          <w:color w:val="auto"/>
          <w:sz w:val="24"/>
          <w:highlight w:val="none"/>
        </w:rPr>
        <w:t>。</w:t>
      </w:r>
    </w:p>
    <w:p>
      <w:pPr>
        <w:pageBreakBefore w:val="0"/>
        <w:kinsoku/>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若采用电子保函，投标人应在此提供电子化保函验真渠道和从投标人基本账户支出的保函财务费用支付凭证</w:t>
      </w:r>
      <w:r>
        <w:rPr>
          <w:rFonts w:hint="default" w:ascii="Times New Roman" w:hAnsi="Times New Roman" w:cs="Times New Roman"/>
          <w:b w:val="0"/>
          <w:bCs w:val="0"/>
          <w:color w:val="auto"/>
          <w:sz w:val="24"/>
          <w:szCs w:val="24"/>
          <w:highlight w:val="none"/>
          <w:lang w:val="en-US" w:eastAsia="zh-CN"/>
        </w:rPr>
        <w:t>。</w:t>
      </w:r>
    </w:p>
    <w:p>
      <w:pPr>
        <w:pageBreakBefore w:val="0"/>
        <w:kinsoku/>
        <w:overflowPunct/>
        <w:autoSpaceDE/>
        <w:autoSpaceDN/>
        <w:bidi w:val="0"/>
        <w:spacing w:line="400" w:lineRule="exact"/>
        <w:ind w:firstLine="480" w:firstLineChars="200"/>
        <w:textAlignment w:val="auto"/>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lang w:val="en-US" w:eastAsia="zh-CN"/>
        </w:rPr>
        <w:t>若</w:t>
      </w:r>
      <w:r>
        <w:rPr>
          <w:rFonts w:hint="default" w:ascii="Times New Roman" w:hAnsi="Times New Roman" w:cs="Times New Roman"/>
          <w:color w:val="auto"/>
          <w:sz w:val="24"/>
          <w:highlight w:val="none"/>
        </w:rPr>
        <w:t>采用银行保函，投标人应在此提供银行保函</w:t>
      </w:r>
      <w:r>
        <w:rPr>
          <w:rFonts w:hint="default" w:ascii="Times New Roman" w:hAnsi="Times New Roman" w:cs="Times New Roman"/>
          <w:color w:val="auto"/>
          <w:sz w:val="24"/>
          <w:highlight w:val="none"/>
          <w:lang w:val="en-US" w:eastAsia="zh-CN"/>
        </w:rPr>
        <w:t>原件扫描件</w:t>
      </w:r>
      <w:r>
        <w:rPr>
          <w:rFonts w:hint="default" w:ascii="Times New Roman" w:hAnsi="Times New Roman" w:cs="Times New Roman"/>
          <w:color w:val="auto"/>
          <w:sz w:val="24"/>
          <w:highlight w:val="none"/>
        </w:rPr>
        <w:t>，格式如下。</w:t>
      </w:r>
    </w:p>
    <w:p>
      <w:pPr>
        <w:pageBreakBefore w:val="0"/>
        <w:kinsoku/>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rPr>
      </w:pPr>
    </w:p>
    <w:p>
      <w:pPr>
        <w:spacing w:line="40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投标保函</w:t>
      </w:r>
    </w:p>
    <w:p>
      <w:pPr>
        <w:spacing w:line="400" w:lineRule="exact"/>
        <w:rPr>
          <w:rFonts w:hint="default" w:ascii="Times New Roman" w:hAnsi="Times New Roman" w:cs="Times New Roman"/>
          <w:color w:val="auto"/>
          <w:sz w:val="24"/>
          <w:highlight w:val="none"/>
          <w:u w:val="single"/>
        </w:rPr>
      </w:pPr>
    </w:p>
    <w:p>
      <w:pPr>
        <w:pageBreakBefore w:val="0"/>
        <w:kinsoku/>
        <w:overflowPunct/>
        <w:autoSpaceDE/>
        <w:autoSpaceDN/>
        <w:bidi w:val="0"/>
        <w:spacing w:line="40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你方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pPr>
        <w:pageBreakBefore w:val="0"/>
        <w:kinsoku/>
        <w:overflowPunct/>
        <w:autoSpaceDE/>
        <w:autoSpaceDN/>
        <w:bidi w:val="0"/>
        <w:spacing w:line="400" w:lineRule="exact"/>
        <w:jc w:val="center"/>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（投标人名称）（以下称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lang w:val="en-US" w:eastAsia="zh-CN"/>
        </w:rPr>
        <w:t>设计施工总承包</w:t>
      </w:r>
      <w:r>
        <w:rPr>
          <w:rFonts w:hint="default" w:ascii="Times New Roman" w:hAnsi="Times New Roman" w:cs="Times New Roman"/>
          <w:color w:val="auto"/>
          <w:sz w:val="24"/>
          <w:highlight w:val="none"/>
        </w:rPr>
        <w:t>的投标，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（担保人名称，以下简称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我方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无条件地、不可撤销地保证：若投标人在投标有效期内撤销投标文件，中标后无正当理由不与招标人订立合同，在签订合同时向招标人提出附加条件，不按照招标文件要求提交履约保证金，或发生招标文件明确规定可以不予退还投标保证金的其他情形，我方承担保证责任。投标人发生以上任一情况时，收到你方书面通知后，我方在7日内向你方无条件支付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p>
    <w:p>
      <w:pPr>
        <w:pageBreakBefore w:val="0"/>
        <w:kinsoku/>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本保函在投标有效期或经延长的投标有效期内保持有效。要求我方承担保证责任的通知应在上述期限内送达我方。你方延长投标有效期的决定，应通知我方。</w:t>
      </w:r>
    </w:p>
    <w:p>
      <w:pPr>
        <w:pageBreakBefore w:val="0"/>
        <w:kinsoku/>
        <w:overflowPunct/>
        <w:autoSpaceDE/>
        <w:autoSpaceDN/>
        <w:bidi w:val="0"/>
        <w:textAlignment w:val="auto"/>
        <w:outlineLvl w:val="9"/>
        <w:rPr>
          <w:rFonts w:hint="default" w:ascii="Times New Roman" w:hAnsi="Times New Roman" w:cs="Times New Roman"/>
          <w:color w:val="auto"/>
          <w:sz w:val="24"/>
          <w:highlight w:val="none"/>
        </w:rPr>
      </w:pPr>
    </w:p>
    <w:p>
      <w:pPr>
        <w:pageBreakBefore w:val="0"/>
        <w:kinsoku/>
        <w:overflowPunct/>
        <w:autoSpaceDE/>
        <w:autoSpaceDN/>
        <w:bidi w:val="0"/>
        <w:textAlignment w:val="auto"/>
        <w:outlineLvl w:val="9"/>
        <w:rPr>
          <w:rFonts w:hint="default" w:ascii="Times New Roman" w:hAnsi="Times New Roman" w:cs="Times New Roman"/>
          <w:color w:val="auto"/>
          <w:sz w:val="24"/>
          <w:highlight w:val="none"/>
        </w:rPr>
      </w:pPr>
    </w:p>
    <w:p>
      <w:pPr>
        <w:pageBreakBefore w:val="0"/>
        <w:kinsoku/>
        <w:overflowPunct/>
        <w:autoSpaceDE/>
        <w:autoSpaceDN/>
        <w:bidi w:val="0"/>
        <w:spacing w:line="40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担保人名称：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overflowPunct/>
        <w:autoSpaceDE/>
        <w:autoSpaceDN/>
        <w:bidi w:val="0"/>
        <w:adjustRightInd w:val="0"/>
        <w:spacing w:line="400" w:lineRule="atLeast"/>
        <w:ind w:firstLine="2400" w:firstLineChars="1000"/>
        <w:jc w:val="lef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担保人法定代表人或其委托代理人（签字）：</w:t>
      </w:r>
      <w:r>
        <w:rPr>
          <w:rFonts w:hint="default" w:ascii="Times New Roman" w:hAnsi="Times New Roman" w:cs="Times New Roman"/>
          <w:color w:val="auto"/>
          <w:sz w:val="24"/>
          <w:highlight w:val="none"/>
          <w:u w:val="single"/>
        </w:rPr>
        <w:t xml:space="preserve">                 </w:t>
      </w:r>
    </w:p>
    <w:p>
      <w:pPr>
        <w:pageBreakBefore w:val="0"/>
        <w:kinsoku/>
        <w:overflowPunct/>
        <w:autoSpaceDE/>
        <w:autoSpaceDN/>
        <w:bidi w:val="0"/>
        <w:adjustRightInd w:val="0"/>
        <w:spacing w:line="400" w:lineRule="atLeast"/>
        <w:ind w:left="2409" w:leftChars="1147"/>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担保人地址：</w:t>
      </w:r>
      <w:r>
        <w:rPr>
          <w:rFonts w:hint="default" w:ascii="Times New Roman" w:hAnsi="Times New Roman" w:cs="Times New Roman"/>
          <w:color w:val="auto"/>
          <w:sz w:val="24"/>
          <w:highlight w:val="none"/>
          <w:u w:val="single"/>
        </w:rPr>
        <w:t xml:space="preserve">                                        </w:t>
      </w:r>
    </w:p>
    <w:p>
      <w:pPr>
        <w:pageBreakBefore w:val="0"/>
        <w:kinsoku/>
        <w:overflowPunct/>
        <w:autoSpaceDE/>
        <w:autoSpaceDN/>
        <w:bidi w:val="0"/>
        <w:adjustRightInd w:val="0"/>
        <w:spacing w:line="400" w:lineRule="atLeast"/>
        <w:ind w:left="2409" w:leftChars="1147"/>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担保人电话：</w:t>
      </w:r>
      <w:r>
        <w:rPr>
          <w:rFonts w:hint="default" w:ascii="Times New Roman" w:hAnsi="Times New Roman" w:cs="Times New Roman"/>
          <w:color w:val="auto"/>
          <w:sz w:val="24"/>
          <w:highlight w:val="none"/>
          <w:u w:val="single"/>
        </w:rPr>
        <w:t xml:space="preserve">                  </w:t>
      </w:r>
    </w:p>
    <w:p>
      <w:pPr>
        <w:pageBreakBefore w:val="0"/>
        <w:kinsoku/>
        <w:overflowPunct/>
        <w:autoSpaceDE/>
        <w:autoSpaceDN/>
        <w:bidi w:val="0"/>
        <w:adjustRightInd w:val="0"/>
        <w:spacing w:line="400" w:lineRule="atLeast"/>
        <w:ind w:left="2409" w:leftChars="1147"/>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担保人传真：</w:t>
      </w:r>
      <w:r>
        <w:rPr>
          <w:rFonts w:hint="default" w:ascii="Times New Roman" w:hAnsi="Times New Roman" w:cs="Times New Roman"/>
          <w:color w:val="auto"/>
          <w:sz w:val="24"/>
          <w:highlight w:val="none"/>
          <w:u w:val="single"/>
        </w:rPr>
        <w:t xml:space="preserve">                  </w:t>
      </w:r>
    </w:p>
    <w:p>
      <w:pPr>
        <w:pageBreakBefore w:val="0"/>
        <w:kinsoku/>
        <w:wordWrap w:val="0"/>
        <w:overflowPunct/>
        <w:autoSpaceDE/>
        <w:autoSpaceDN/>
        <w:bidi w:val="0"/>
        <w:spacing w:line="440" w:lineRule="exact"/>
        <w:ind w:firstLine="5040" w:firstLineChars="21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autoSpaceDE/>
        <w:autoSpaceDN/>
        <w:bidi w:val="0"/>
        <w:spacing w:line="440" w:lineRule="exact"/>
        <w:textAlignment w:val="auto"/>
        <w:outlineLvl w:val="9"/>
        <w:rPr>
          <w:rFonts w:hint="default" w:ascii="Times New Roman" w:hAnsi="Times New Roman" w:cs="Times New Roman"/>
          <w:color w:val="auto"/>
          <w:sz w:val="24"/>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p>
    <w:p>
      <w:pPr>
        <w:pageBreakBefore w:val="0"/>
        <w:kinsoku/>
        <w:wordWrap w:val="0"/>
        <w:overflowPunct/>
        <w:autoSpaceDE/>
        <w:autoSpaceDN/>
        <w:bidi w:val="0"/>
        <w:spacing w:line="400" w:lineRule="atLeast"/>
        <w:ind w:firstLine="593" w:firstLineChars="212"/>
        <w:textAlignment w:val="auto"/>
        <w:outlineLvl w:val="9"/>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8"/>
          <w:szCs w:val="28"/>
          <w:highlight w:val="none"/>
        </w:rPr>
        <w:br w:type="page"/>
      </w:r>
    </w:p>
    <w:p>
      <w:pPr>
        <w:pStyle w:val="2"/>
        <w:pageBreakBefore w:val="0"/>
        <w:kinsoku/>
        <w:wordWrap w:val="0"/>
        <w:overflowPunct/>
        <w:bidi w:val="0"/>
        <w:spacing w:before="360" w:beforeLines="150" w:after="240" w:afterLines="100" w:line="380" w:lineRule="atLeast"/>
        <w:jc w:val="center"/>
        <w:outlineLvl w:val="1"/>
        <w:rPr>
          <w:rFonts w:hint="default" w:ascii="Times New Roman" w:hAnsi="Times New Roman" w:eastAsia="黑体" w:cs="Times New Roman"/>
          <w:b w:val="0"/>
          <w:color w:val="auto"/>
          <w:sz w:val="28"/>
          <w:szCs w:val="28"/>
          <w:highlight w:val="none"/>
        </w:rPr>
      </w:pPr>
      <w:bookmarkStart w:id="2487" w:name="_Toc234833264"/>
      <w:bookmarkStart w:id="2488" w:name="_Toc21836"/>
      <w:bookmarkStart w:id="2489" w:name="_Toc8671"/>
      <w:bookmarkStart w:id="2490" w:name="_Toc23747870"/>
      <w:bookmarkStart w:id="2491" w:name="_Toc1351"/>
      <w:r>
        <w:rPr>
          <w:rFonts w:hint="default" w:ascii="Times New Roman" w:hAnsi="Times New Roman" w:eastAsia="黑体" w:cs="Times New Roman"/>
          <w:b w:val="0"/>
          <w:color w:val="auto"/>
          <w:sz w:val="28"/>
          <w:szCs w:val="28"/>
          <w:highlight w:val="none"/>
        </w:rPr>
        <w:t>五、</w:t>
      </w:r>
      <w:bookmarkEnd w:id="2487"/>
      <w:r>
        <w:rPr>
          <w:rFonts w:hint="default" w:ascii="Times New Roman" w:hAnsi="Times New Roman" w:eastAsia="黑体" w:cs="Times New Roman"/>
          <w:b w:val="0"/>
          <w:color w:val="auto"/>
          <w:sz w:val="28"/>
          <w:szCs w:val="28"/>
          <w:highlight w:val="none"/>
        </w:rPr>
        <w:t>承包人建议书</w:t>
      </w:r>
      <w:bookmarkEnd w:id="2488"/>
      <w:bookmarkEnd w:id="2489"/>
      <w:bookmarkEnd w:id="2490"/>
      <w:bookmarkEnd w:id="2491"/>
    </w:p>
    <w:p>
      <w:pPr>
        <w:pageBreakBefore w:val="0"/>
        <w:kinsoku/>
        <w:wordWrap w:val="0"/>
        <w:overflowPunct/>
        <w:bidi w:val="0"/>
        <w:snapToGrid w:val="0"/>
        <w:spacing w:line="400" w:lineRule="atLeast"/>
        <w:ind w:firstLine="480" w:firstLineChars="200"/>
        <w:rPr>
          <w:rFonts w:hint="default" w:ascii="Times New Roman" w:hAnsi="Times New Roman" w:cs="Times New Roman"/>
          <w:color w:val="auto"/>
          <w:position w:val="5"/>
          <w:sz w:val="24"/>
          <w:highlight w:val="none"/>
        </w:rPr>
      </w:pPr>
      <w:r>
        <w:rPr>
          <w:rFonts w:hint="default" w:ascii="Times New Roman" w:hAnsi="Times New Roman" w:cs="Times New Roman"/>
          <w:color w:val="auto"/>
          <w:position w:val="5"/>
          <w:sz w:val="24"/>
          <w:highlight w:val="none"/>
        </w:rPr>
        <w:t>说明：承包人建议书应满足招标文件合同条款、发包人要求、计划工期、节点工期的要求，并作为对投标文件进行详细评审的重要依据。其中，施工图总体设计方案包括但不限于以下内容：重点、难点技术分析以及处理措施、施工图总体设计比较优化方案（含初步施工图预算、经济指标、工程量指标及用地指标对比）；初步设计批复意见的落实情况；交通运输部设计新理念的落实情况等。投标人所提交的施工图总体设计方案必须符合招标文件和国家强制性标准要求（现行标准）、必须符合社会公众安全和社会公众利益需要且重大技术方案不得与初步设计批复意见冲突。另外，投标人应根据初步设计图纸、详勘资料和施工图总体设计方案，编制切合实际、能够真正指导工程实施的施工组织设计。施工组织设计应满足招标文件合同条款、发包人要求、计划工期等的要求。</w:t>
      </w:r>
    </w:p>
    <w:p>
      <w:pPr>
        <w:pageBreakBefore w:val="0"/>
        <w:kinsoku/>
        <w:wordWrap w:val="0"/>
        <w:overflowPunct/>
        <w:bidi w:val="0"/>
        <w:snapToGrid w:val="0"/>
        <w:spacing w:line="400" w:lineRule="atLeast"/>
        <w:ind w:firstLine="480" w:firstLineChars="200"/>
        <w:rPr>
          <w:rFonts w:hint="default" w:ascii="Times New Roman" w:hAnsi="Times New Roman" w:cs="Times New Roman"/>
          <w:color w:val="auto"/>
          <w:position w:val="5"/>
          <w:sz w:val="24"/>
          <w:highlight w:val="none"/>
        </w:rPr>
      </w:pPr>
    </w:p>
    <w:p>
      <w:pPr>
        <w:pageBreakBefore w:val="0"/>
        <w:kinsoku/>
        <w:wordWrap w:val="0"/>
        <w:overflowPunct/>
        <w:bidi w:val="0"/>
        <w:rPr>
          <w:rFonts w:hint="default" w:ascii="Times New Roman" w:hAnsi="Times New Roman" w:cs="Times New Roman"/>
          <w:b/>
          <w:color w:val="auto"/>
          <w:highlight w:val="none"/>
        </w:rPr>
      </w:pPr>
    </w:p>
    <w:p>
      <w:pPr>
        <w:pageBreakBefore w:val="0"/>
        <w:widowControl w:val="0"/>
        <w:kinsoku/>
        <w:wordWrap w:val="0"/>
        <w:overflowPunct/>
        <w:topLinePunct w:val="0"/>
        <w:autoSpaceDE/>
        <w:autoSpaceDN/>
        <w:bidi w:val="0"/>
        <w:spacing w:line="360" w:lineRule="auto"/>
        <w:jc w:val="center"/>
        <w:outlineLvl w:val="9"/>
        <w:rPr>
          <w:rFonts w:hint="default" w:ascii="Times New Roman" w:hAnsi="Times New Roman" w:eastAsia="黑体" w:cs="Times New Roman"/>
          <w:color w:val="auto"/>
          <w:sz w:val="24"/>
          <w:highlight w:val="none"/>
        </w:rPr>
      </w:pPr>
      <w:bookmarkStart w:id="2492" w:name="_Toc246824539"/>
      <w:bookmarkStart w:id="2493" w:name="_Toc250552451"/>
      <w:bookmarkStart w:id="2494" w:name="_Toc271808970"/>
      <w:r>
        <w:rPr>
          <w:rFonts w:hint="default" w:ascii="Times New Roman" w:hAnsi="Times New Roman" w:eastAsia="黑体" w:cs="Times New Roman"/>
          <w:color w:val="auto"/>
          <w:highlight w:val="none"/>
        </w:rPr>
        <w:t>（一）</w:t>
      </w:r>
      <w:bookmarkEnd w:id="2492"/>
      <w:bookmarkEnd w:id="2493"/>
      <w:bookmarkEnd w:id="2494"/>
      <w:r>
        <w:rPr>
          <w:rFonts w:hint="default" w:ascii="Times New Roman" w:hAnsi="Times New Roman" w:eastAsia="黑体" w:cs="Times New Roman"/>
          <w:color w:val="auto"/>
          <w:sz w:val="24"/>
          <w:highlight w:val="none"/>
        </w:rPr>
        <w:t>施工图设计技术方案</w:t>
      </w:r>
      <w:r>
        <w:rPr>
          <w:rFonts w:hint="default" w:ascii="Times New Roman" w:hAnsi="Times New Roman" w:eastAsia="黑体" w:cs="Times New Roman"/>
          <w:color w:val="auto"/>
          <w:sz w:val="28"/>
          <w:szCs w:val="28"/>
          <w:highlight w:val="none"/>
          <w:vertAlign w:val="superscript"/>
        </w:rPr>
        <w:footnoteReference w:id="87"/>
      </w:r>
    </w:p>
    <w:p>
      <w:pPr>
        <w:pageBreakBefore w:val="0"/>
        <w:widowControl w:val="0"/>
        <w:kinsoku/>
        <w:wordWrap w:val="0"/>
        <w:overflowPunct/>
        <w:topLinePunct w:val="0"/>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主要内容包括：</w:t>
      </w:r>
    </w:p>
    <w:p>
      <w:pPr>
        <w:pStyle w:val="15"/>
        <w:pageBreakBefore w:val="0"/>
        <w:widowControl w:val="0"/>
        <w:kinsoku/>
        <w:wordWrap w:val="0"/>
        <w:overflowPunct/>
        <w:topLinePunct w:val="0"/>
        <w:autoSpaceDE/>
        <w:autoSpaceDN/>
        <w:bidi w:val="0"/>
        <w:spacing w:line="400" w:lineRule="exact"/>
        <w:ind w:firstLine="480" w:firstLineChars="200"/>
        <w:outlineLvl w:val="9"/>
        <w:rPr>
          <w:rFonts w:hint="default" w:ascii="Times New Roman" w:hAnsi="Times New Roman" w:cs="Times New Roman"/>
          <w:color w:val="auto"/>
          <w:szCs w:val="24"/>
          <w:highlight w:val="none"/>
        </w:rPr>
      </w:pPr>
      <w:bookmarkStart w:id="2495" w:name="_Toc245202202"/>
      <w:bookmarkStart w:id="2496" w:name="_Toc271808971"/>
      <w:bookmarkStart w:id="2497" w:name="_Toc246824540"/>
      <w:bookmarkStart w:id="2498" w:name="_Toc250552452"/>
      <w:r>
        <w:rPr>
          <w:rFonts w:hint="default" w:ascii="Times New Roman" w:hAnsi="Times New Roman" w:cs="Times New Roman"/>
          <w:color w:val="auto"/>
          <w:szCs w:val="24"/>
          <w:highlight w:val="none"/>
        </w:rPr>
        <w:t>（1）设计单位的人员名单；</w:t>
      </w:r>
      <w:bookmarkEnd w:id="2495"/>
      <w:bookmarkEnd w:id="2496"/>
      <w:bookmarkEnd w:id="2497"/>
      <w:bookmarkEnd w:id="2498"/>
    </w:p>
    <w:p>
      <w:pPr>
        <w:pStyle w:val="15"/>
        <w:pageBreakBefore w:val="0"/>
        <w:widowControl w:val="0"/>
        <w:kinsoku/>
        <w:wordWrap w:val="0"/>
        <w:overflowPunct/>
        <w:topLinePunct w:val="0"/>
        <w:autoSpaceDE/>
        <w:autoSpaceDN/>
        <w:bidi w:val="0"/>
        <w:spacing w:line="400" w:lineRule="exact"/>
        <w:ind w:firstLine="480" w:firstLineChars="200"/>
        <w:outlineLvl w:val="9"/>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2）施工图总体设计方案，包括但不限于以下内容：重点、难点技术分析以及处理措施、比较优化方案（含初步施工图预算、经济指标、工程量指标及用地指标对比）；初步设计批复意见的落实情况；交通运输部设计新理念的落实情况；设计服务年限和服务质量承诺；对初步设计的优化建议等；</w:t>
      </w:r>
    </w:p>
    <w:p>
      <w:pPr>
        <w:pStyle w:val="15"/>
        <w:pageBreakBefore w:val="0"/>
        <w:widowControl w:val="0"/>
        <w:kinsoku/>
        <w:wordWrap w:val="0"/>
        <w:overflowPunct/>
        <w:topLinePunct w:val="0"/>
        <w:autoSpaceDE/>
        <w:autoSpaceDN/>
        <w:bidi w:val="0"/>
        <w:spacing w:line="400" w:lineRule="exact"/>
        <w:ind w:firstLine="480" w:firstLineChars="200"/>
        <w:outlineLvl w:val="9"/>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（3）施工图总体设计方案图纸；</w:t>
      </w:r>
    </w:p>
    <w:p>
      <w:pPr>
        <w:pStyle w:val="15"/>
        <w:pageBreakBefore w:val="0"/>
        <w:widowControl w:val="0"/>
        <w:kinsoku/>
        <w:wordWrap w:val="0"/>
        <w:overflowPunct/>
        <w:topLinePunct w:val="0"/>
        <w:autoSpaceDE/>
        <w:autoSpaceDN/>
        <w:bidi w:val="0"/>
        <w:spacing w:line="400" w:lineRule="exact"/>
        <w:ind w:firstLine="480" w:firstLineChars="200"/>
        <w:outlineLvl w:val="9"/>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（4）工程量指标表；</w:t>
      </w:r>
    </w:p>
    <w:p>
      <w:pPr>
        <w:pStyle w:val="15"/>
        <w:pageBreakBefore w:val="0"/>
        <w:widowControl w:val="0"/>
        <w:kinsoku/>
        <w:wordWrap w:val="0"/>
        <w:overflowPunct/>
        <w:topLinePunct w:val="0"/>
        <w:autoSpaceDE/>
        <w:autoSpaceDN/>
        <w:bidi w:val="0"/>
        <w:spacing w:line="400" w:lineRule="exact"/>
        <w:ind w:firstLine="480" w:firstLineChars="200"/>
        <w:outlineLvl w:val="9"/>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（5）经济指标表；</w:t>
      </w:r>
    </w:p>
    <w:p>
      <w:pPr>
        <w:pStyle w:val="15"/>
        <w:pageBreakBefore w:val="0"/>
        <w:widowControl w:val="0"/>
        <w:kinsoku/>
        <w:wordWrap w:val="0"/>
        <w:overflowPunct/>
        <w:topLinePunct w:val="0"/>
        <w:autoSpaceDE/>
        <w:autoSpaceDN/>
        <w:bidi w:val="0"/>
        <w:spacing w:line="400" w:lineRule="exact"/>
        <w:ind w:firstLine="480" w:firstLineChars="200"/>
        <w:outlineLvl w:val="9"/>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（6）用地指标表；</w:t>
      </w:r>
    </w:p>
    <w:p>
      <w:pPr>
        <w:pStyle w:val="6"/>
        <w:pageBreakBefore w:val="0"/>
        <w:widowControl w:val="0"/>
        <w:kinsoku/>
        <w:wordWrap w:val="0"/>
        <w:overflowPunct/>
        <w:topLinePunct w:val="0"/>
        <w:autoSpaceDE/>
        <w:autoSpaceDN/>
        <w:bidi w:val="0"/>
        <w:spacing w:line="400" w:lineRule="exact"/>
        <w:ind w:firstLine="48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（7）初步施工图预算（预算文件格式必须符合交通运输部有关规定）</w:t>
      </w:r>
    </w:p>
    <w:p>
      <w:pPr>
        <w:pageBreakBefore w:val="0"/>
        <w:widowControl w:val="0"/>
        <w:kinsoku/>
        <w:wordWrap w:val="0"/>
        <w:overflowPunct/>
        <w:topLinePunct w:val="0"/>
        <w:autoSpaceDE/>
        <w:autoSpaceDN/>
        <w:bidi w:val="0"/>
        <w:spacing w:line="360" w:lineRule="auto"/>
        <w:outlineLvl w:val="9"/>
        <w:rPr>
          <w:rFonts w:hint="default" w:ascii="Times New Roman" w:hAnsi="Times New Roman" w:eastAsia="黑体" w:cs="Times New Roman"/>
          <w:color w:val="auto"/>
          <w:sz w:val="24"/>
          <w:highlight w:val="none"/>
        </w:rPr>
      </w:pPr>
    </w:p>
    <w:p>
      <w:pPr>
        <w:pageBreakBefore w:val="0"/>
        <w:widowControl w:val="0"/>
        <w:kinsoku/>
        <w:wordWrap w:val="0"/>
        <w:overflowPunct/>
        <w:topLinePunct w:val="0"/>
        <w:autoSpaceDE/>
        <w:autoSpaceDN/>
        <w:bidi w:val="0"/>
        <w:spacing w:line="360" w:lineRule="auto"/>
        <w:jc w:val="center"/>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(二)施工组织设计</w:t>
      </w:r>
    </w:p>
    <w:p>
      <w:pPr>
        <w:pageBreakBefore w:val="0"/>
        <w:widowControl w:val="0"/>
        <w:kinsoku/>
        <w:wordWrap w:val="0"/>
        <w:overflowPunct/>
        <w:topLinePunct w:val="0"/>
        <w:autoSpaceDE/>
        <w:autoSpaceDN/>
        <w:bidi w:val="0"/>
        <w:spacing w:line="440" w:lineRule="exact"/>
        <w:ind w:firstLine="48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投标人应按以下要点编制施工组织设计（文字宜精炼、内容具有针对性）：</w:t>
      </w:r>
    </w:p>
    <w:p>
      <w:pPr>
        <w:pageBreakBefore w:val="0"/>
        <w:widowControl w:val="0"/>
        <w:kinsoku/>
        <w:wordWrap w:val="0"/>
        <w:overflowPunct/>
        <w:topLinePunct w:val="0"/>
        <w:autoSpaceDE/>
        <w:autoSpaceDN/>
        <w:bidi w:val="0"/>
        <w:spacing w:line="440" w:lineRule="exact"/>
        <w:ind w:firstLine="48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（1）总体施工组织布置及规划</w:t>
      </w:r>
    </w:p>
    <w:p>
      <w:pPr>
        <w:pageBreakBefore w:val="0"/>
        <w:widowControl w:val="0"/>
        <w:kinsoku/>
        <w:wordWrap w:val="0"/>
        <w:overflowPunct/>
        <w:topLinePunct w:val="0"/>
        <w:autoSpaceDE/>
        <w:autoSpaceDN/>
        <w:bidi w:val="0"/>
        <w:spacing w:line="440" w:lineRule="exact"/>
        <w:ind w:firstLine="48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（2）主要工程项目的施工方案、方法与技术措施（尤其对重点、关键和难点工程的施工方案、方法及措施）</w:t>
      </w:r>
    </w:p>
    <w:p>
      <w:pPr>
        <w:pageBreakBefore w:val="0"/>
        <w:widowControl w:val="0"/>
        <w:kinsoku/>
        <w:wordWrap w:val="0"/>
        <w:overflowPunct/>
        <w:topLinePunct w:val="0"/>
        <w:autoSpaceDE/>
        <w:autoSpaceDN/>
        <w:bidi w:val="0"/>
        <w:spacing w:line="440" w:lineRule="exact"/>
        <w:ind w:firstLine="48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（3）工期保证体系及保证措施</w:t>
      </w:r>
    </w:p>
    <w:p>
      <w:pPr>
        <w:pageBreakBefore w:val="0"/>
        <w:widowControl w:val="0"/>
        <w:kinsoku/>
        <w:wordWrap w:val="0"/>
        <w:overflowPunct/>
        <w:topLinePunct w:val="0"/>
        <w:autoSpaceDE/>
        <w:autoSpaceDN/>
        <w:bidi w:val="0"/>
        <w:spacing w:line="440" w:lineRule="exact"/>
        <w:ind w:firstLine="48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（4）工程质量管理体系及保证措施</w:t>
      </w:r>
    </w:p>
    <w:p>
      <w:pPr>
        <w:pageBreakBefore w:val="0"/>
        <w:widowControl w:val="0"/>
        <w:kinsoku/>
        <w:wordWrap w:val="0"/>
        <w:overflowPunct/>
        <w:topLinePunct w:val="0"/>
        <w:autoSpaceDE/>
        <w:autoSpaceDN/>
        <w:bidi w:val="0"/>
        <w:spacing w:line="440" w:lineRule="exact"/>
        <w:ind w:firstLine="48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（5）安全生产管理体系及保证措施</w:t>
      </w:r>
    </w:p>
    <w:p>
      <w:pPr>
        <w:pageBreakBefore w:val="0"/>
        <w:widowControl w:val="0"/>
        <w:kinsoku/>
        <w:wordWrap w:val="0"/>
        <w:overflowPunct/>
        <w:topLinePunct w:val="0"/>
        <w:autoSpaceDE/>
        <w:autoSpaceDN/>
        <w:bidi w:val="0"/>
        <w:spacing w:line="440" w:lineRule="exact"/>
        <w:ind w:firstLine="48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（6）环境保护、水土保持保证体系及保证措施</w:t>
      </w:r>
    </w:p>
    <w:p>
      <w:pPr>
        <w:pageBreakBefore w:val="0"/>
        <w:widowControl w:val="0"/>
        <w:kinsoku/>
        <w:wordWrap w:val="0"/>
        <w:overflowPunct/>
        <w:topLinePunct w:val="0"/>
        <w:autoSpaceDE/>
        <w:autoSpaceDN/>
        <w:bidi w:val="0"/>
        <w:spacing w:line="440" w:lineRule="exact"/>
        <w:ind w:firstLine="48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（7）文明施工、文物保护保证体系及保证措施</w:t>
      </w:r>
    </w:p>
    <w:p>
      <w:pPr>
        <w:pageBreakBefore w:val="0"/>
        <w:widowControl w:val="0"/>
        <w:kinsoku/>
        <w:wordWrap w:val="0"/>
        <w:overflowPunct/>
        <w:topLinePunct w:val="0"/>
        <w:autoSpaceDE/>
        <w:autoSpaceDN/>
        <w:bidi w:val="0"/>
        <w:spacing w:line="440" w:lineRule="exact"/>
        <w:ind w:firstLine="48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（8）项目风险预测与防范，事故应急预案</w:t>
      </w:r>
    </w:p>
    <w:p>
      <w:pPr>
        <w:pageBreakBefore w:val="0"/>
        <w:widowControl w:val="0"/>
        <w:kinsoku/>
        <w:wordWrap w:val="0"/>
        <w:overflowPunct/>
        <w:topLinePunct w:val="0"/>
        <w:autoSpaceDE/>
        <w:autoSpaceDN/>
        <w:bidi w:val="0"/>
        <w:spacing w:line="440" w:lineRule="exact"/>
        <w:ind w:firstLine="48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（9）其他应说明的事项</w:t>
      </w:r>
    </w:p>
    <w:p>
      <w:pPr>
        <w:pageBreakBefore w:val="0"/>
        <w:widowControl w:val="0"/>
        <w:kinsoku/>
        <w:wordWrap w:val="0"/>
        <w:overflowPunct/>
        <w:topLinePunct w:val="0"/>
        <w:autoSpaceDE/>
        <w:autoSpaceDN/>
        <w:bidi w:val="0"/>
        <w:spacing w:line="440" w:lineRule="exact"/>
        <w:ind w:firstLine="48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施工组织设计除采用文字表述外可附下列图表，图表及格式要求附后。</w:t>
      </w:r>
    </w:p>
    <w:p>
      <w:pPr>
        <w:pageBreakBefore w:val="0"/>
        <w:widowControl w:val="0"/>
        <w:kinsoku/>
        <w:wordWrap w:val="0"/>
        <w:overflowPunct/>
        <w:topLinePunct w:val="0"/>
        <w:autoSpaceDE/>
        <w:autoSpaceDN/>
        <w:bidi w:val="0"/>
        <w:spacing w:line="440" w:lineRule="exact"/>
        <w:ind w:firstLine="900" w:firstLineChars="375"/>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附表一  施工总体计划表</w:t>
      </w:r>
    </w:p>
    <w:p>
      <w:pPr>
        <w:pageBreakBefore w:val="0"/>
        <w:widowControl w:val="0"/>
        <w:kinsoku/>
        <w:wordWrap w:val="0"/>
        <w:overflowPunct/>
        <w:topLinePunct w:val="0"/>
        <w:autoSpaceDE/>
        <w:autoSpaceDN/>
        <w:bidi w:val="0"/>
        <w:spacing w:line="440" w:lineRule="exact"/>
        <w:ind w:firstLine="900" w:firstLineChars="375"/>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附表二  分项工程进度率计划（斜率图）</w:t>
      </w:r>
    </w:p>
    <w:p>
      <w:pPr>
        <w:pageBreakBefore w:val="0"/>
        <w:widowControl w:val="0"/>
        <w:kinsoku/>
        <w:wordWrap w:val="0"/>
        <w:overflowPunct/>
        <w:topLinePunct w:val="0"/>
        <w:autoSpaceDE/>
        <w:autoSpaceDN/>
        <w:bidi w:val="0"/>
        <w:spacing w:line="440" w:lineRule="exact"/>
        <w:ind w:firstLine="900" w:firstLineChars="375"/>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附表三  工程管理曲线</w:t>
      </w:r>
    </w:p>
    <w:p>
      <w:pPr>
        <w:pageBreakBefore w:val="0"/>
        <w:widowControl w:val="0"/>
        <w:kinsoku/>
        <w:wordWrap w:val="0"/>
        <w:overflowPunct/>
        <w:topLinePunct w:val="0"/>
        <w:autoSpaceDE/>
        <w:autoSpaceDN/>
        <w:bidi w:val="0"/>
        <w:spacing w:line="440" w:lineRule="exact"/>
        <w:ind w:firstLine="900" w:firstLineChars="375"/>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附表四  分项工程生产率和施工周期表</w:t>
      </w:r>
    </w:p>
    <w:p>
      <w:pPr>
        <w:pageBreakBefore w:val="0"/>
        <w:widowControl w:val="0"/>
        <w:kinsoku/>
        <w:wordWrap w:val="0"/>
        <w:overflowPunct/>
        <w:topLinePunct w:val="0"/>
        <w:autoSpaceDE/>
        <w:autoSpaceDN/>
        <w:bidi w:val="0"/>
        <w:spacing w:line="440" w:lineRule="exact"/>
        <w:ind w:firstLine="900" w:firstLineChars="375"/>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附表五  施工总平面图</w:t>
      </w:r>
    </w:p>
    <w:p>
      <w:pPr>
        <w:pageBreakBefore w:val="0"/>
        <w:widowControl w:val="0"/>
        <w:kinsoku/>
        <w:wordWrap w:val="0"/>
        <w:overflowPunct/>
        <w:topLinePunct w:val="0"/>
        <w:autoSpaceDE/>
        <w:autoSpaceDN/>
        <w:bidi w:val="0"/>
        <w:spacing w:line="440" w:lineRule="exact"/>
        <w:ind w:firstLine="900" w:firstLineChars="375"/>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附表六  劳动力计划表     </w:t>
      </w:r>
    </w:p>
    <w:p>
      <w:pPr>
        <w:pageBreakBefore w:val="0"/>
        <w:widowControl w:val="0"/>
        <w:kinsoku/>
        <w:wordWrap w:val="0"/>
        <w:overflowPunct/>
        <w:topLinePunct w:val="0"/>
        <w:autoSpaceDE/>
        <w:autoSpaceDN/>
        <w:bidi w:val="0"/>
        <w:spacing w:line="440" w:lineRule="exact"/>
        <w:ind w:firstLine="900" w:firstLineChars="375"/>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附表七  临时占地计划表</w:t>
      </w:r>
    </w:p>
    <w:p>
      <w:pPr>
        <w:pageBreakBefore w:val="0"/>
        <w:widowControl w:val="0"/>
        <w:kinsoku/>
        <w:wordWrap w:val="0"/>
        <w:overflowPunct/>
        <w:topLinePunct w:val="0"/>
        <w:autoSpaceDE/>
        <w:autoSpaceDN/>
        <w:bidi w:val="0"/>
        <w:spacing w:line="440" w:lineRule="exact"/>
        <w:ind w:firstLine="900" w:firstLineChars="375"/>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附表八  外供电力需求计划表</w:t>
      </w:r>
    </w:p>
    <w:p>
      <w:pPr>
        <w:pageBreakBefore w:val="0"/>
        <w:widowControl w:val="0"/>
        <w:kinsoku/>
        <w:wordWrap w:val="0"/>
        <w:overflowPunct/>
        <w:topLinePunct w:val="0"/>
        <w:autoSpaceDE/>
        <w:autoSpaceDN/>
        <w:bidi w:val="0"/>
        <w:spacing w:line="400" w:lineRule="exact"/>
        <w:ind w:firstLine="480"/>
        <w:outlineLvl w:val="9"/>
        <w:rPr>
          <w:rFonts w:hint="default" w:ascii="Times New Roman" w:hAnsi="Times New Roman" w:eastAsia="黑体" w:cs="Times New Roman"/>
          <w:color w:val="auto"/>
          <w:sz w:val="24"/>
          <w:highlight w:val="none"/>
        </w:rPr>
      </w:pPr>
    </w:p>
    <w:p>
      <w:pPr>
        <w:pageBreakBefore w:val="0"/>
        <w:widowControl w:val="0"/>
        <w:kinsoku/>
        <w:wordWrap w:val="0"/>
        <w:overflowPunct/>
        <w:topLinePunct w:val="0"/>
        <w:autoSpaceDE/>
        <w:autoSpaceDN/>
        <w:bidi w:val="0"/>
        <w:spacing w:line="360" w:lineRule="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(三)对发包人要求错误的说明</w:t>
      </w:r>
    </w:p>
    <w:p>
      <w:pPr>
        <w:pageBreakBefore w:val="0"/>
        <w:widowControl w:val="0"/>
        <w:kinsoku/>
        <w:wordWrap w:val="0"/>
        <w:overflowPunct/>
        <w:topLinePunct w:val="0"/>
        <w:autoSpaceDE/>
        <w:autoSpaceDN/>
        <w:bidi w:val="0"/>
        <w:spacing w:line="360" w:lineRule="auto"/>
        <w:outlineLvl w:val="9"/>
        <w:rPr>
          <w:rFonts w:hint="default" w:ascii="Times New Roman" w:hAnsi="Times New Roman" w:eastAsia="黑体" w:cs="Times New Roman"/>
          <w:color w:val="auto"/>
          <w:sz w:val="24"/>
          <w:highlight w:val="none"/>
        </w:rPr>
      </w:pPr>
    </w:p>
    <w:p>
      <w:pPr>
        <w:pageBreakBefore w:val="0"/>
        <w:widowControl w:val="0"/>
        <w:kinsoku/>
        <w:wordWrap w:val="0"/>
        <w:overflowPunct/>
        <w:topLinePunct w:val="0"/>
        <w:autoSpaceDE/>
        <w:autoSpaceDN/>
        <w:bidi w:val="0"/>
        <w:spacing w:line="360" w:lineRule="auto"/>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(四)其他</w:t>
      </w:r>
    </w:p>
    <w:p>
      <w:pPr>
        <w:pageBreakBefore w:val="0"/>
        <w:widowControl w:val="0"/>
        <w:kinsoku/>
        <w:wordWrap w:val="0"/>
        <w:overflowPunct/>
        <w:topLinePunct w:val="0"/>
        <w:autoSpaceDE/>
        <w:autoSpaceDN/>
        <w:bidi w:val="0"/>
        <w:spacing w:line="440" w:lineRule="exact"/>
        <w:ind w:firstLine="480" w:firstLineChars="200"/>
        <w:textAlignment w:val="auto"/>
        <w:outlineLvl w:val="9"/>
        <w:rPr>
          <w:rFonts w:hint="default" w:ascii="Times New Roman" w:hAnsi="Times New Roman" w:cs="Times New Roman"/>
          <w:color w:val="auto"/>
          <w:sz w:val="24"/>
          <w:highlight w:val="none"/>
        </w:rPr>
      </w:pPr>
    </w:p>
    <w:p>
      <w:pPr>
        <w:pageBreakBefore w:val="0"/>
        <w:widowControl w:val="0"/>
        <w:kinsoku/>
        <w:wordWrap w:val="0"/>
        <w:overflowPunct/>
        <w:topLinePunct w:val="0"/>
        <w:autoSpaceDE/>
        <w:autoSpaceDN/>
        <w:bidi w:val="0"/>
        <w:spacing w:line="440" w:lineRule="exact"/>
        <w:textAlignment w:val="auto"/>
        <w:outlineLvl w:val="9"/>
        <w:rPr>
          <w:rFonts w:hint="default" w:ascii="Times New Roman" w:hAnsi="Times New Roman" w:cs="Times New Roman"/>
          <w:color w:val="auto"/>
          <w:sz w:val="24"/>
          <w:highlight w:val="none"/>
        </w:rPr>
      </w:pPr>
    </w:p>
    <w:p>
      <w:pPr>
        <w:pStyle w:val="74"/>
        <w:pageBreakBefore w:val="0"/>
        <w:widowControl w:val="0"/>
        <w:kinsoku/>
        <w:wordWrap w:val="0"/>
        <w:overflowPunct/>
        <w:topLinePunct w:val="0"/>
        <w:autoSpaceDE/>
        <w:autoSpaceDN/>
        <w:bidi w:val="0"/>
        <w:snapToGrid w:val="0"/>
        <w:spacing w:before="0" w:after="0" w:line="400" w:lineRule="atLeast"/>
        <w:jc w:val="center"/>
        <w:outlineLvl w:val="9"/>
        <w:rPr>
          <w:rFonts w:hint="default" w:ascii="Times New Roman" w:hAnsi="Times New Roman" w:cs="Times New Roman"/>
          <w:color w:val="auto"/>
          <w:sz w:val="20"/>
          <w:highlight w:val="none"/>
        </w:rPr>
        <w:sectPr>
          <w:footerReference r:id="rId51" w:type="default"/>
          <w:headerReference r:id="rId50" w:type="even"/>
          <w:footerReference r:id="rId52" w:type="even"/>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p>
    <w:p>
      <w:pPr>
        <w:pageBreakBefore w:val="0"/>
        <w:widowControl w:val="0"/>
        <w:kinsoku/>
        <w:wordWrap w:val="0"/>
        <w:overflowPunct/>
        <w:topLinePunct w:val="0"/>
        <w:autoSpaceDE/>
        <w:autoSpaceDN/>
        <w:bidi w:val="0"/>
        <w:spacing w:before="0" w:after="0" w:line="380" w:lineRule="atLeast"/>
        <w:outlineLvl w:val="9"/>
        <w:rPr>
          <w:rFonts w:hint="default" w:ascii="Times New Roman" w:hAnsi="Times New Roman" w:eastAsia="黑体" w:cs="Times New Roman"/>
          <w:b w:val="0"/>
          <w:color w:val="auto"/>
          <w:sz w:val="28"/>
          <w:szCs w:val="28"/>
          <w:highlight w:val="none"/>
        </w:rPr>
      </w:pPr>
      <w:bookmarkStart w:id="2499" w:name="_Toc23747871"/>
      <w:bookmarkStart w:id="2500" w:name="_Toc501257488"/>
      <w:bookmarkStart w:id="2501" w:name="_Toc234833265"/>
      <w:r>
        <w:rPr>
          <w:rFonts w:hint="default" w:ascii="Times New Roman" w:hAnsi="Times New Roman" w:eastAsia="黑体" w:cs="Times New Roman"/>
          <w:b w:val="0"/>
          <w:color w:val="auto"/>
          <w:sz w:val="28"/>
          <w:szCs w:val="28"/>
          <w:highlight w:val="none"/>
        </w:rPr>
        <w:t>附表一 施工总体计划表</w:t>
      </w:r>
      <w:bookmarkEnd w:id="2499"/>
      <w:bookmarkEnd w:id="2500"/>
      <w:bookmarkEnd w:id="2501"/>
    </w:p>
    <w:p>
      <w:pPr>
        <w:pStyle w:val="25"/>
        <w:pageBreakBefore w:val="0"/>
        <w:tabs>
          <w:tab w:val="clear" w:pos="4153"/>
          <w:tab w:val="clear" w:pos="8306"/>
        </w:tabs>
        <w:kinsoku/>
        <w:wordWrap w:val="0"/>
        <w:overflowPunct/>
        <w:bidi w:val="0"/>
        <w:spacing w:after="60" w:line="400" w:lineRule="atLeast"/>
        <w:jc w:val="right"/>
        <w:rPr>
          <w:rFonts w:hint="default" w:ascii="Times New Roman" w:hAnsi="Times New Roman" w:cs="Times New Roman"/>
          <w:color w:val="auto"/>
          <w:sz w:val="24"/>
          <w:highlight w:val="none"/>
        </w:rPr>
      </w:pPr>
    </w:p>
    <w:tbl>
      <w:tblPr>
        <w:tblStyle w:val="37"/>
        <w:tblW w:w="0" w:type="auto"/>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5"/>
        <w:gridCol w:w="424"/>
        <w:gridCol w:w="424"/>
        <w:gridCol w:w="425"/>
        <w:gridCol w:w="424"/>
        <w:gridCol w:w="424"/>
        <w:gridCol w:w="425"/>
        <w:gridCol w:w="424"/>
        <w:gridCol w:w="425"/>
        <w:gridCol w:w="424"/>
        <w:gridCol w:w="424"/>
        <w:gridCol w:w="425"/>
        <w:gridCol w:w="424"/>
        <w:gridCol w:w="424"/>
        <w:gridCol w:w="425"/>
        <w:gridCol w:w="424"/>
        <w:gridCol w:w="425"/>
        <w:gridCol w:w="424"/>
        <w:gridCol w:w="424"/>
        <w:gridCol w:w="425"/>
        <w:gridCol w:w="424"/>
        <w:gridCol w:w="424"/>
        <w:gridCol w:w="425"/>
        <w:gridCol w:w="424"/>
        <w:gridCol w:w="425"/>
        <w:gridCol w:w="357"/>
        <w:gridCol w:w="357"/>
        <w:gridCol w:w="357"/>
        <w:gridCol w:w="357"/>
        <w:gridCol w:w="3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15" w:type="dxa"/>
            <w:vAlign w:val="center"/>
          </w:tcPr>
          <w:p>
            <w:pPr>
              <w:pageBreakBefore w:val="0"/>
              <w:kinsoku/>
              <w:wordWrap w:val="0"/>
              <w:overflowPunct/>
              <w:autoSpaceDE w:val="0"/>
              <w:autoSpaceDN w:val="0"/>
              <w:bidi w:val="0"/>
              <w:spacing w:line="360" w:lineRule="atLeast"/>
              <w:ind w:left="-57"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年      度</w:t>
            </w:r>
          </w:p>
        </w:tc>
        <w:tc>
          <w:tcPr>
            <w:tcW w:w="5092" w:type="dxa"/>
            <w:gridSpan w:val="12"/>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u w:val="single"/>
              </w:rPr>
              <w:t xml:space="preserve">     </w:t>
            </w:r>
            <w:r>
              <w:rPr>
                <w:rFonts w:hint="default" w:ascii="Times New Roman" w:hAnsi="Times New Roman" w:cs="Times New Roman"/>
                <w:color w:val="auto"/>
                <w:sz w:val="20"/>
                <w:szCs w:val="20"/>
                <w:highlight w:val="none"/>
              </w:rPr>
              <w:t>年</w:t>
            </w:r>
          </w:p>
        </w:tc>
        <w:tc>
          <w:tcPr>
            <w:tcW w:w="5093" w:type="dxa"/>
            <w:gridSpan w:val="12"/>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u w:val="single"/>
              </w:rPr>
              <w:t xml:space="preserve">     </w:t>
            </w:r>
            <w:r>
              <w:rPr>
                <w:rFonts w:hint="default" w:ascii="Times New Roman" w:hAnsi="Times New Roman" w:cs="Times New Roman"/>
                <w:color w:val="auto"/>
                <w:sz w:val="20"/>
                <w:szCs w:val="20"/>
                <w:highlight w:val="none"/>
              </w:rPr>
              <w:t>年</w:t>
            </w:r>
          </w:p>
        </w:tc>
        <w:tc>
          <w:tcPr>
            <w:tcW w:w="1785" w:type="dxa"/>
            <w:gridSpan w:val="5"/>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u w:val="single"/>
              </w:rPr>
              <w:t xml:space="preserve">     </w:t>
            </w:r>
            <w:r>
              <w:rPr>
                <w:rFonts w:hint="default" w:ascii="Times New Roman" w:hAnsi="Times New Roman" w:cs="Times New Roman"/>
                <w:color w:val="auto"/>
                <w:sz w:val="20"/>
                <w:szCs w:val="20"/>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5" w:type="dxa"/>
            <w:tcBorders>
              <w:tl2br w:val="single" w:color="auto" w:sz="4" w:space="0"/>
            </w:tcBorders>
          </w:tcPr>
          <w:p>
            <w:pPr>
              <w:pageBreakBefore w:val="0"/>
              <w:kinsoku/>
              <w:wordWrap w:val="0"/>
              <w:overflowPunct/>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主要工程项目      月份</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w:t>
            </w: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w:t>
            </w: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8</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w:t>
            </w: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11</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12</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w:t>
            </w: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8</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w:t>
            </w: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11</w:t>
            </w: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12</w:t>
            </w: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Pr>
          <w:p>
            <w:pPr>
              <w:pageBreakBefore w:val="0"/>
              <w:kinsoku/>
              <w:wordWrap w:val="0"/>
              <w:overflowPunct/>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1.施工准备</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Pr>
          <w:p>
            <w:pPr>
              <w:pageBreakBefore w:val="0"/>
              <w:kinsoku/>
              <w:wordWrap w:val="0"/>
              <w:overflowPunct/>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2.路基处理</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Pr>
          <w:p>
            <w:pPr>
              <w:pageBreakBefore w:val="0"/>
              <w:kinsoku/>
              <w:wordWrap w:val="0"/>
              <w:overflowPunct/>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3.路基填筑</w:t>
            </w: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4.涵洞</w:t>
            </w: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tabs>
                <w:tab w:val="clear" w:pos="4153"/>
                <w:tab w:val="clear" w:pos="8306"/>
              </w:tabs>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5.通道</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6.防护及排水</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7.路面基层</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firstLine="264"/>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（1）底基层</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firstLine="264"/>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（2）基层</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8.路面铺筑</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9.路面标志标线</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10.桥梁工程</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firstLine="264"/>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（1）基础工程</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firstLine="264"/>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（2）墩台工程</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firstLine="264"/>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（3）梁体工程</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firstLine="264"/>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（4）梁体安装</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firstLine="264"/>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（5）桥面铺装及人行道</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11.隧道</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tcPr>
          <w:p>
            <w:pPr>
              <w:pageBreakBefore w:val="0"/>
              <w:kinsoku/>
              <w:wordWrap w:val="0"/>
              <w:overflowPunct/>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12.其他</w:t>
            </w: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tcPr>
          <w:p>
            <w:pPr>
              <w:pStyle w:val="25"/>
              <w:pageBreakBefore w:val="0"/>
              <w:kinsoku/>
              <w:wordWrap w:val="0"/>
              <w:overflowPunct/>
              <w:bidi w:val="0"/>
              <w:spacing w:line="360" w:lineRule="atLeast"/>
              <w:ind w:left="-57" w:right="-57"/>
              <w:rPr>
                <w:rFonts w:hint="default" w:ascii="Times New Roman" w:hAnsi="Times New Roman" w:cs="Times New Roman"/>
                <w:color w:val="auto"/>
                <w:sz w:val="20"/>
                <w:szCs w:val="20"/>
                <w:highlight w:val="none"/>
              </w:rPr>
            </w:pPr>
          </w:p>
        </w:tc>
      </w:tr>
    </w:tbl>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0"/>
          <w:szCs w:val="20"/>
          <w:highlight w:val="none"/>
        </w:rPr>
        <w:br w:type="page"/>
      </w:r>
      <w:bookmarkStart w:id="2502" w:name="_Toc234833266"/>
      <w:bookmarkStart w:id="2503" w:name="_Toc23747872"/>
      <w:bookmarkStart w:id="2504" w:name="_Toc501257489"/>
      <w:r>
        <w:rPr>
          <w:rFonts w:hint="default" w:ascii="Times New Roman" w:hAnsi="Times New Roman" w:eastAsia="黑体" w:cs="Times New Roman"/>
          <w:b w:val="0"/>
          <w:color w:val="auto"/>
          <w:sz w:val="28"/>
          <w:szCs w:val="28"/>
          <w:highlight w:val="none"/>
        </w:rPr>
        <w:t>附表二 分项工程进度率计划（斜率图）</w:t>
      </w:r>
      <w:bookmarkEnd w:id="2502"/>
      <w:bookmarkEnd w:id="2503"/>
      <w:bookmarkEnd w:id="2504"/>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tbl>
      <w:tblPr>
        <w:tblStyle w:val="37"/>
        <w:tblW w:w="143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6"/>
        <w:gridCol w:w="735"/>
        <w:gridCol w:w="485"/>
        <w:gridCol w:w="485"/>
        <w:gridCol w:w="485"/>
        <w:gridCol w:w="485"/>
        <w:gridCol w:w="485"/>
        <w:gridCol w:w="485"/>
        <w:gridCol w:w="485"/>
        <w:gridCol w:w="485"/>
        <w:gridCol w:w="485"/>
        <w:gridCol w:w="485"/>
        <w:gridCol w:w="485"/>
        <w:gridCol w:w="486"/>
        <w:gridCol w:w="485"/>
        <w:gridCol w:w="485"/>
        <w:gridCol w:w="485"/>
        <w:gridCol w:w="485"/>
        <w:gridCol w:w="485"/>
        <w:gridCol w:w="485"/>
        <w:gridCol w:w="485"/>
        <w:gridCol w:w="485"/>
        <w:gridCol w:w="485"/>
        <w:gridCol w:w="485"/>
        <w:gridCol w:w="4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201" w:type="dxa"/>
            <w:gridSpan w:val="2"/>
            <w:tcBorders>
              <w:bottom w:val="nil"/>
            </w:tcBorders>
          </w:tcPr>
          <w:p>
            <w:pPr>
              <w:pageBreakBefore w:val="0"/>
              <w:kinsoku/>
              <w:wordWrap w:val="0"/>
              <w:overflowPunct/>
              <w:autoSpaceDE w:val="0"/>
              <w:autoSpaceDN w:val="0"/>
              <w:bidi w:val="0"/>
              <w:spacing w:before="120" w:beforeLines="50"/>
              <w:ind w:left="-57"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年  度</w:t>
            </w:r>
          </w:p>
        </w:tc>
        <w:tc>
          <w:tcPr>
            <w:tcW w:w="5821" w:type="dxa"/>
            <w:gridSpan w:val="12"/>
          </w:tcPr>
          <w:p>
            <w:pPr>
              <w:pStyle w:val="25"/>
              <w:pageBreakBefore w:val="0"/>
              <w:tabs>
                <w:tab w:val="clear" w:pos="4153"/>
                <w:tab w:val="clear" w:pos="8306"/>
              </w:tabs>
              <w:kinsoku/>
              <w:wordWrap w:val="0"/>
              <w:overflowPunct/>
              <w:bidi w:val="0"/>
              <w:spacing w:before="60" w:beforeLines="25"/>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u w:val="single"/>
              </w:rPr>
              <w:t xml:space="preserve">     </w:t>
            </w:r>
            <w:r>
              <w:rPr>
                <w:rFonts w:hint="default" w:ascii="Times New Roman" w:hAnsi="Times New Roman" w:cs="Times New Roman"/>
                <w:color w:val="auto"/>
                <w:sz w:val="20"/>
                <w:szCs w:val="20"/>
                <w:highlight w:val="none"/>
              </w:rPr>
              <w:t>年</w:t>
            </w:r>
          </w:p>
        </w:tc>
        <w:tc>
          <w:tcPr>
            <w:tcW w:w="5336" w:type="dxa"/>
            <w:gridSpan w:val="11"/>
          </w:tcPr>
          <w:p>
            <w:pPr>
              <w:pStyle w:val="25"/>
              <w:pageBreakBefore w:val="0"/>
              <w:tabs>
                <w:tab w:val="clear" w:pos="4153"/>
                <w:tab w:val="clear" w:pos="8306"/>
              </w:tabs>
              <w:kinsoku/>
              <w:wordWrap w:val="0"/>
              <w:overflowPunct/>
              <w:bidi w:val="0"/>
              <w:spacing w:before="60" w:beforeLines="25"/>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u w:val="single"/>
              </w:rPr>
              <w:t xml:space="preserve">     </w:t>
            </w:r>
            <w:r>
              <w:rPr>
                <w:rFonts w:hint="default" w:ascii="Times New Roman" w:hAnsi="Times New Roman" w:cs="Times New Roman"/>
                <w:color w:val="auto"/>
                <w:sz w:val="20"/>
                <w:szCs w:val="20"/>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201" w:type="dxa"/>
            <w:gridSpan w:val="2"/>
            <w:tcBorders>
              <w:bottom w:val="nil"/>
            </w:tcBorders>
          </w:tcPr>
          <w:p>
            <w:pPr>
              <w:pageBreakBefore w:val="0"/>
              <w:kinsoku/>
              <w:wordWrap w:val="0"/>
              <w:overflowPunct/>
              <w:autoSpaceDE w:val="0"/>
              <w:autoSpaceDN w:val="0"/>
              <w:bidi w:val="0"/>
              <w:spacing w:before="120" w:beforeLines="50"/>
              <w:ind w:left="-57"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季  度</w:t>
            </w:r>
          </w:p>
        </w:tc>
        <w:tc>
          <w:tcPr>
            <w:tcW w:w="1455" w:type="dxa"/>
            <w:gridSpan w:val="3"/>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一</w:t>
            </w:r>
          </w:p>
        </w:tc>
        <w:tc>
          <w:tcPr>
            <w:tcW w:w="1455" w:type="dxa"/>
            <w:gridSpan w:val="3"/>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二</w:t>
            </w:r>
          </w:p>
        </w:tc>
        <w:tc>
          <w:tcPr>
            <w:tcW w:w="1455" w:type="dxa"/>
            <w:gridSpan w:val="3"/>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三</w:t>
            </w:r>
          </w:p>
        </w:tc>
        <w:tc>
          <w:tcPr>
            <w:tcW w:w="1456" w:type="dxa"/>
            <w:gridSpan w:val="3"/>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四</w:t>
            </w:r>
          </w:p>
        </w:tc>
        <w:tc>
          <w:tcPr>
            <w:tcW w:w="1455" w:type="dxa"/>
            <w:gridSpan w:val="3"/>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一</w:t>
            </w:r>
          </w:p>
        </w:tc>
        <w:tc>
          <w:tcPr>
            <w:tcW w:w="1455" w:type="dxa"/>
            <w:gridSpan w:val="3"/>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二</w:t>
            </w:r>
          </w:p>
        </w:tc>
        <w:tc>
          <w:tcPr>
            <w:tcW w:w="1455" w:type="dxa"/>
            <w:gridSpan w:val="3"/>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三</w:t>
            </w:r>
          </w:p>
        </w:tc>
        <w:tc>
          <w:tcPr>
            <w:tcW w:w="971" w:type="dxa"/>
            <w:gridSpan w:val="2"/>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201" w:type="dxa"/>
            <w:gridSpan w:val="2"/>
            <w:tcBorders>
              <w:bottom w:val="single" w:color="auto" w:sz="4" w:space="0"/>
            </w:tcBorders>
          </w:tcPr>
          <w:p>
            <w:pPr>
              <w:pageBreakBefore w:val="0"/>
              <w:kinsoku/>
              <w:wordWrap w:val="0"/>
              <w:overflowPunct/>
              <w:autoSpaceDE w:val="0"/>
              <w:autoSpaceDN w:val="0"/>
              <w:bidi w:val="0"/>
              <w:spacing w:before="120" w:beforeLines="50"/>
              <w:ind w:left="-57"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月  份</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8</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11</w:t>
            </w:r>
          </w:p>
        </w:tc>
        <w:tc>
          <w:tcPr>
            <w:tcW w:w="486"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12</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8</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w:t>
            </w:r>
          </w:p>
        </w:tc>
        <w:tc>
          <w:tcPr>
            <w:tcW w:w="485" w:type="dxa"/>
            <w:vAlign w:val="center"/>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w:t>
            </w:r>
          </w:p>
        </w:tc>
        <w:tc>
          <w:tcPr>
            <w:tcW w:w="486" w:type="dxa"/>
            <w:vAlign w:val="center"/>
          </w:tcPr>
          <w:p>
            <w:pPr>
              <w:pageBreakBefore w:val="0"/>
              <w:kinsoku/>
              <w:wordWrap w:val="0"/>
              <w:overflowPunct/>
              <w:bidi w:val="0"/>
              <w:rPr>
                <w:rFonts w:hint="default" w:ascii="Times New Roman" w:hAnsi="Times New Roman" w:cs="Times New Roman"/>
                <w:color w:val="auto"/>
                <w:highlight w:val="none"/>
              </w:rPr>
            </w:pPr>
            <w:bookmarkStart w:id="2505" w:name="_Toc234833267"/>
            <w:r>
              <w:rPr>
                <w:rFonts w:hint="default" w:ascii="Times New Roman" w:hAnsi="Times New Roman" w:cs="Times New Roman"/>
                <w:color w:val="auto"/>
                <w:highlight w:val="none"/>
              </w:rPr>
              <w:t>…</w:t>
            </w:r>
            <w:bookmarkEnd w:id="2505"/>
          </w:p>
          <w:p>
            <w:pPr>
              <w:pageBreakBefore w:val="0"/>
              <w:kinsoku/>
              <w:wordWrap w:val="0"/>
              <w:overflowPunct/>
              <w:bidi w:val="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single" w:color="auto" w:sz="4" w:space="0"/>
              <w:left w:val="single" w:color="auto" w:sz="4" w:space="0"/>
              <w:bottom w:val="single" w:color="auto" w:sz="4" w:space="0"/>
              <w:right w:val="nil"/>
            </w:tcBorders>
          </w:tcPr>
          <w:p>
            <w:pPr>
              <w:pageBreakBefore w:val="0"/>
              <w:kinsoku/>
              <w:wordWrap w:val="0"/>
              <w:overflowPunct/>
              <w:autoSpaceDE w:val="0"/>
              <w:autoSpaceDN w:val="0"/>
              <w:bidi w:val="0"/>
              <w:ind w:left="-57" w:right="-57" w:firstLine="142"/>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mc:AlternateContent>
                <mc:Choice Requires="wps">
                  <w:drawing>
                    <wp:anchor distT="0" distB="0" distL="114300" distR="114300" simplePos="0" relativeHeight="251659264" behindDoc="0" locked="0" layoutInCell="0" allowOverlap="1">
                      <wp:simplePos x="0" y="0"/>
                      <wp:positionH relativeFrom="column">
                        <wp:posOffset>600075</wp:posOffset>
                      </wp:positionH>
                      <wp:positionV relativeFrom="paragraph">
                        <wp:posOffset>1095375</wp:posOffset>
                      </wp:positionV>
                      <wp:extent cx="0" cy="0"/>
                      <wp:effectExtent l="0" t="0" r="0" b="0"/>
                      <wp:wrapNone/>
                      <wp:docPr id="6" name="直线 22"/>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2" o:spid="_x0000_s1026" o:spt="20" style="position:absolute;left:0pt;margin-left:47.25pt;margin-top:86.25pt;height:0pt;width:0pt;z-index:251659264;mso-width-relative:page;mso-height-relative:page;" filled="f" stroked="t" coordsize="21600,21600" o:allowincell="f" o:gfxdata="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BTILew0wAAAAkBAAAPAAAAAAAAAAEAIAAAADgA&#10;AABkcnMvZG93bnJldi54bWxQSwECFAAUAAAACACHTuJAV969CL8BAAB8AwAADgAAAAAAAAABACAA&#10;AAA4AQAAZHJzL2Uyb0RvYy54bWxQSwUGAAAAAAYABgBZAQAAaQUAAAAA&#10;">
                      <v:fill on="f" focussize="0,0"/>
                      <v:stroke color="#000000" joinstyle="round"/>
                      <v:imagedata o:title=""/>
                      <o:lock v:ext="edit" aspectratio="f"/>
                    </v:line>
                  </w:pict>
                </mc:Fallback>
              </mc:AlternateContent>
            </w:r>
            <w:r>
              <w:rPr>
                <w:rFonts w:hint="default" w:ascii="Times New Roman" w:hAnsi="Times New Roman" w:cs="Times New Roman"/>
                <w:color w:val="auto"/>
                <w:sz w:val="20"/>
                <w:szCs w:val="20"/>
                <w:highlight w:val="none"/>
              </w:rPr>
              <w:t>图例：</w:t>
            </w:r>
          </w:p>
          <w:p>
            <w:pPr>
              <w:pageBreakBefore w:val="0"/>
              <w:kinsoku/>
              <w:wordWrap w:val="0"/>
              <w:overflowPunct/>
              <w:autoSpaceDE w:val="0"/>
              <w:autoSpaceDN w:val="0"/>
              <w:bidi w:val="0"/>
              <w:ind w:left="-57" w:right="-57" w:firstLine="142"/>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100（%）</w:t>
            </w: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ageBreakBefore w:val="0"/>
              <w:kinsoku/>
              <w:wordWrap w:val="0"/>
              <w:overflowPunct/>
              <w:bidi w:val="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top w:val="nil"/>
              <w:left w:val="single" w:color="auto" w:sz="4" w:space="0"/>
              <w:bottom w:val="single" w:color="auto" w:sz="4" w:space="0"/>
              <w:right w:val="nil"/>
            </w:tcBorders>
          </w:tcPr>
          <w:p>
            <w:pPr>
              <w:pageBreakBefore w:val="0"/>
              <w:kinsoku/>
              <w:wordWrap w:val="0"/>
              <w:overflowPunct/>
              <w:autoSpaceDE w:val="0"/>
              <w:autoSpaceDN w:val="0"/>
              <w:bidi w:val="0"/>
              <w:ind w:left="-57" w:right="-57" w:firstLine="142"/>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single" w:color="auto" w:sz="4" w:space="0"/>
              <w:left w:val="single" w:color="auto" w:sz="4" w:space="0"/>
              <w:bottom w:val="double" w:color="auto" w:sz="4" w:space="0"/>
              <w:right w:val="nil"/>
            </w:tcBorders>
          </w:tcPr>
          <w:p>
            <w:pPr>
              <w:pageBreakBefore w:val="0"/>
              <w:kinsoku/>
              <w:wordWrap w:val="0"/>
              <w:overflowPunct/>
              <w:autoSpaceDE w:val="0"/>
              <w:autoSpaceDN w:val="0"/>
              <w:bidi w:val="0"/>
              <w:ind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施工准备</w:t>
            </w: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90</w:t>
            </w: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top w:val="single" w:color="auto" w:sz="4" w:space="0"/>
              <w:left w:val="single" w:color="auto" w:sz="4" w:space="0"/>
              <w:bottom w:val="double" w:color="auto" w:sz="4" w:space="0"/>
              <w:right w:val="nil"/>
            </w:tcBorders>
          </w:tcPr>
          <w:p>
            <w:pPr>
              <w:pageBreakBefore w:val="0"/>
              <w:kinsoku/>
              <w:wordWrap w:val="0"/>
              <w:overflowPunct/>
              <w:autoSpaceDE w:val="0"/>
              <w:autoSpaceDN w:val="0"/>
              <w:bidi w:val="0"/>
              <w:ind w:left="-57" w:right="-57" w:firstLine="142"/>
              <w:jc w:val="center"/>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double" w:color="auto" w:sz="4" w:space="0"/>
              <w:left w:val="single" w:color="auto" w:sz="4" w:space="0"/>
              <w:bottom w:val="single" w:color="auto" w:sz="4" w:space="0"/>
              <w:right w:val="nil"/>
            </w:tcBorders>
          </w:tcPr>
          <w:p>
            <w:pPr>
              <w:pageBreakBefore w:val="0"/>
              <w:kinsoku/>
              <w:wordWrap w:val="0"/>
              <w:overflowPunct/>
              <w:autoSpaceDE w:val="0"/>
              <w:autoSpaceDN w:val="0"/>
              <w:bidi w:val="0"/>
              <w:ind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路基填筑</w:t>
            </w: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80</w:t>
            </w: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top w:val="nil"/>
              <w:left w:val="single" w:color="auto" w:sz="4" w:space="0"/>
              <w:bottom w:val="dashDotStroked" w:color="auto" w:sz="24" w:space="0"/>
              <w:right w:val="nil"/>
            </w:tcBorders>
          </w:tcPr>
          <w:p>
            <w:pPr>
              <w:pageBreakBefore w:val="0"/>
              <w:kinsoku/>
              <w:wordWrap w:val="0"/>
              <w:overflowPunct/>
              <w:autoSpaceDE w:val="0"/>
              <w:autoSpaceDN w:val="0"/>
              <w:bidi w:val="0"/>
              <w:ind w:left="-57" w:right="-57" w:firstLine="142"/>
              <w:jc w:val="center"/>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dashDotStroked" w:color="auto" w:sz="24" w:space="0"/>
              <w:left w:val="single" w:color="auto" w:sz="4" w:space="0"/>
              <w:bottom w:val="thinThickThinSmallGap" w:color="auto" w:sz="12" w:space="0"/>
              <w:right w:val="nil"/>
            </w:tcBorders>
          </w:tcPr>
          <w:p>
            <w:pPr>
              <w:pageBreakBefore w:val="0"/>
              <w:kinsoku/>
              <w:wordWrap w:val="0"/>
              <w:overflowPunct/>
              <w:autoSpaceDE w:val="0"/>
              <w:autoSpaceDN w:val="0"/>
              <w:bidi w:val="0"/>
              <w:ind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路面基层</w:t>
            </w: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70</w:t>
            </w: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top w:val="thinThickThinSmallGap" w:color="auto" w:sz="12" w:space="0"/>
              <w:left w:val="single" w:color="auto" w:sz="4" w:space="0"/>
              <w:bottom w:val="thinThickThinSmallGap" w:color="auto" w:sz="12" w:space="0"/>
              <w:right w:val="nil"/>
            </w:tcBorders>
          </w:tcPr>
          <w:p>
            <w:pPr>
              <w:pageBreakBefore w:val="0"/>
              <w:kinsoku/>
              <w:wordWrap w:val="0"/>
              <w:overflowPunct/>
              <w:autoSpaceDE w:val="0"/>
              <w:autoSpaceDN w:val="0"/>
              <w:bidi w:val="0"/>
              <w:ind w:left="-57" w:right="-57" w:firstLine="142"/>
              <w:jc w:val="center"/>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thinThickThinSmallGap" w:color="auto" w:sz="12" w:space="0"/>
              <w:left w:val="single" w:color="auto" w:sz="4" w:space="0"/>
              <w:bottom w:val="single" w:color="auto" w:sz="4" w:space="0"/>
              <w:right w:val="nil"/>
            </w:tcBorders>
          </w:tcPr>
          <w:p>
            <w:pPr>
              <w:pageBreakBefore w:val="0"/>
              <w:kinsoku/>
              <w:wordWrap w:val="0"/>
              <w:overflowPunct/>
              <w:autoSpaceDE w:val="0"/>
              <w:autoSpaceDN w:val="0"/>
              <w:bidi w:val="0"/>
              <w:ind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路面面层</w:t>
            </w: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60</w:t>
            </w: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top w:val="nil"/>
              <w:left w:val="single" w:color="auto" w:sz="4" w:space="0"/>
              <w:bottom w:val="wave" w:color="auto" w:sz="12" w:space="0"/>
              <w:right w:val="nil"/>
            </w:tcBorders>
          </w:tcPr>
          <w:p>
            <w:pPr>
              <w:pageBreakBefore w:val="0"/>
              <w:kinsoku/>
              <w:wordWrap w:val="0"/>
              <w:overflowPunct/>
              <w:autoSpaceDE w:val="0"/>
              <w:autoSpaceDN w:val="0"/>
              <w:bidi w:val="0"/>
              <w:ind w:left="-57" w:right="-57" w:firstLine="142"/>
              <w:jc w:val="center"/>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wave" w:color="auto" w:sz="12" w:space="0"/>
              <w:left w:val="single" w:color="auto" w:sz="4" w:space="0"/>
              <w:bottom w:val="wave" w:color="auto" w:sz="6" w:space="0"/>
              <w:right w:val="nil"/>
            </w:tcBorders>
          </w:tcPr>
          <w:p>
            <w:pPr>
              <w:pageBreakBefore w:val="0"/>
              <w:kinsoku/>
              <w:wordWrap w:val="0"/>
              <w:overflowPunct/>
              <w:autoSpaceDE w:val="0"/>
              <w:autoSpaceDN w:val="0"/>
              <w:bidi w:val="0"/>
              <w:ind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防护及排水</w:t>
            </w: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50</w:t>
            </w: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5"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c>
          <w:tcPr>
            <w:tcW w:w="486" w:type="dxa"/>
          </w:tcPr>
          <w:p>
            <w:pPr>
              <w:pStyle w:val="25"/>
              <w:pageBreakBefore w:val="0"/>
              <w:tabs>
                <w:tab w:val="clear" w:pos="4153"/>
                <w:tab w:val="clear" w:pos="8306"/>
              </w:tabs>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top w:val="thickThinSmallGap" w:color="auto" w:sz="18" w:space="0"/>
              <w:left w:val="single" w:color="auto" w:sz="4" w:space="0"/>
              <w:bottom w:val="dotDash" w:color="auto" w:sz="12" w:space="0"/>
              <w:right w:val="nil"/>
            </w:tcBorders>
          </w:tcPr>
          <w:p>
            <w:pPr>
              <w:pageBreakBefore w:val="0"/>
              <w:kinsoku/>
              <w:wordWrap w:val="0"/>
              <w:overflowPunct/>
              <w:autoSpaceDE w:val="0"/>
              <w:autoSpaceDN w:val="0"/>
              <w:bidi w:val="0"/>
              <w:ind w:left="-57" w:right="-57" w:firstLine="372"/>
              <w:jc w:val="center"/>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dotDash" w:color="auto" w:sz="12" w:space="0"/>
              <w:left w:val="single" w:color="auto" w:sz="4" w:space="0"/>
              <w:bottom w:val="thickThinSmallGap" w:color="auto" w:sz="24" w:space="0"/>
              <w:right w:val="nil"/>
            </w:tcBorders>
          </w:tcPr>
          <w:p>
            <w:pPr>
              <w:pageBreakBefore w:val="0"/>
              <w:kinsoku/>
              <w:wordWrap w:val="0"/>
              <w:overflowPunct/>
              <w:autoSpaceDE w:val="0"/>
              <w:autoSpaceDN w:val="0"/>
              <w:bidi w:val="0"/>
              <w:ind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涵洞及通道</w:t>
            </w: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40</w:t>
            </w: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top w:val="thickThinSmallGap" w:color="auto" w:sz="24" w:space="0"/>
              <w:left w:val="single" w:color="auto" w:sz="4" w:space="0"/>
              <w:bottom w:val="thickThinSmallGap" w:color="auto" w:sz="24" w:space="0"/>
              <w:right w:val="nil"/>
            </w:tcBorders>
          </w:tcPr>
          <w:p>
            <w:pPr>
              <w:pageBreakBefore w:val="0"/>
              <w:kinsoku/>
              <w:wordWrap w:val="0"/>
              <w:overflowPunct/>
              <w:autoSpaceDE w:val="0"/>
              <w:autoSpaceDN w:val="0"/>
              <w:bidi w:val="0"/>
              <w:ind w:left="-57" w:right="-57" w:firstLine="372"/>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thickThinSmallGap" w:color="auto" w:sz="24" w:space="0"/>
              <w:left w:val="single" w:color="auto" w:sz="4" w:space="0"/>
              <w:right w:val="nil"/>
            </w:tcBorders>
            <w:shd w:val="clear" w:color="auto" w:fill="auto"/>
          </w:tcPr>
          <w:p>
            <w:pPr>
              <w:pageBreakBefore w:val="0"/>
              <w:kinsoku/>
              <w:wordWrap w:val="0"/>
              <w:overflowPunct/>
              <w:autoSpaceDE w:val="0"/>
              <w:autoSpaceDN w:val="0"/>
              <w:bidi w:val="0"/>
              <w:ind w:left="-57" w:right="-57" w:firstLine="142"/>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桥梁下部工程</w:t>
            </w: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30</w:t>
            </w: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left w:val="single" w:color="auto" w:sz="4" w:space="0"/>
              <w:bottom w:val="thinThickSmallGap" w:color="auto" w:sz="24" w:space="0"/>
              <w:right w:val="nil"/>
            </w:tcBorders>
            <w:shd w:val="clear" w:color="auto" w:fill="auto"/>
          </w:tcPr>
          <w:p>
            <w:pPr>
              <w:pageBreakBefore w:val="0"/>
              <w:kinsoku/>
              <w:wordWrap w:val="0"/>
              <w:overflowPunct/>
              <w:autoSpaceDE w:val="0"/>
              <w:autoSpaceDN w:val="0"/>
              <w:bidi w:val="0"/>
              <w:ind w:left="-57" w:right="-57"/>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thinThickSmallGap" w:color="auto" w:sz="24" w:space="0"/>
              <w:left w:val="single" w:color="auto" w:sz="4" w:space="0"/>
              <w:right w:val="nil"/>
            </w:tcBorders>
            <w:shd w:val="clear" w:color="auto" w:fill="auto"/>
          </w:tcPr>
          <w:p>
            <w:pPr>
              <w:pageBreakBefore w:val="0"/>
              <w:kinsoku/>
              <w:wordWrap w:val="0"/>
              <w:overflowPunct/>
              <w:autoSpaceDE w:val="0"/>
              <w:autoSpaceDN w:val="0"/>
              <w:bidi w:val="0"/>
              <w:ind w:left="-57" w:right="-57" w:firstLine="142"/>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桥梁上部工程</w:t>
            </w: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20</w:t>
            </w: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left w:val="single" w:color="auto" w:sz="4" w:space="0"/>
              <w:bottom w:val="dashed" w:color="auto" w:sz="12" w:space="0"/>
              <w:right w:val="nil"/>
            </w:tcBorders>
            <w:shd w:val="clear" w:color="auto" w:fill="auto"/>
          </w:tcPr>
          <w:p>
            <w:pPr>
              <w:pageBreakBefore w:val="0"/>
              <w:kinsoku/>
              <w:wordWrap w:val="0"/>
              <w:overflowPunct/>
              <w:autoSpaceDE w:val="0"/>
              <w:autoSpaceDN w:val="0"/>
              <w:bidi w:val="0"/>
              <w:ind w:left="-57" w:right="-57"/>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dashed" w:color="auto" w:sz="12" w:space="0"/>
              <w:left w:val="single" w:color="auto" w:sz="4" w:space="0"/>
              <w:right w:val="nil"/>
            </w:tcBorders>
            <w:shd w:val="clear" w:color="auto" w:fill="auto"/>
          </w:tcPr>
          <w:p>
            <w:pPr>
              <w:pageBreakBefore w:val="0"/>
              <w:kinsoku/>
              <w:wordWrap w:val="0"/>
              <w:overflowPunct/>
              <w:autoSpaceDE w:val="0"/>
              <w:autoSpaceDN w:val="0"/>
              <w:bidi w:val="0"/>
              <w:ind w:left="-57"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隧道</w:t>
            </w:r>
          </w:p>
        </w:tc>
        <w:tc>
          <w:tcPr>
            <w:tcW w:w="735" w:type="dxa"/>
            <w:tcBorders>
              <w:top w:val="nil"/>
              <w:left w:val="nil"/>
              <w:bottom w:val="nil"/>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w:t>
            </w: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left w:val="single" w:color="auto" w:sz="4" w:space="0"/>
              <w:bottom w:val="single" w:color="auto" w:sz="4" w:space="0"/>
              <w:right w:val="nil"/>
            </w:tcBorders>
            <w:shd w:val="clear" w:color="auto" w:fill="auto"/>
          </w:tcPr>
          <w:p>
            <w:pPr>
              <w:pageBreakBefore w:val="0"/>
              <w:kinsoku/>
              <w:wordWrap w:val="0"/>
              <w:overflowPunct/>
              <w:autoSpaceDE w:val="0"/>
              <w:autoSpaceDN w:val="0"/>
              <w:bidi w:val="0"/>
              <w:ind w:left="-57" w:right="-57"/>
              <w:rPr>
                <w:rFonts w:hint="default" w:ascii="Times New Roman" w:hAnsi="Times New Roman" w:cs="Times New Roman"/>
                <w:color w:val="auto"/>
                <w:sz w:val="20"/>
                <w:szCs w:val="20"/>
                <w:highlight w:val="none"/>
              </w:rPr>
            </w:pPr>
          </w:p>
        </w:tc>
        <w:tc>
          <w:tcPr>
            <w:tcW w:w="735" w:type="dxa"/>
            <w:tcBorders>
              <w:top w:val="nil"/>
              <w:left w:val="nil"/>
              <w:bottom w:val="single" w:color="auto" w:sz="4" w:space="0"/>
              <w:right w:val="single" w:color="auto" w:sz="4" w:space="0"/>
            </w:tcBorders>
          </w:tcPr>
          <w:p>
            <w:pPr>
              <w:pageBreakBefore w:val="0"/>
              <w:kinsoku/>
              <w:wordWrap w:val="0"/>
              <w:overflowPunct/>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tcPr>
          <w:p>
            <w:pPr>
              <w:pStyle w:val="25"/>
              <w:pageBreakBefore w:val="0"/>
              <w:kinsoku/>
              <w:wordWrap w:val="0"/>
              <w:overflowPunct/>
              <w:bidi w:val="0"/>
              <w:ind w:left="-57" w:right="-57"/>
              <w:rPr>
                <w:rFonts w:hint="default" w:ascii="Times New Roman" w:hAnsi="Times New Roman" w:cs="Times New Roman"/>
                <w:color w:val="auto"/>
                <w:sz w:val="20"/>
                <w:szCs w:val="20"/>
                <w:highlight w:val="none"/>
              </w:rPr>
            </w:pPr>
          </w:p>
        </w:tc>
      </w:tr>
    </w:tbl>
    <w:p>
      <w:pPr>
        <w:pageBreakBefore w:val="0"/>
        <w:kinsoku/>
        <w:wordWrap w:val="0"/>
        <w:overflowPunct/>
        <w:bidi w:val="0"/>
        <w:spacing w:line="440" w:lineRule="exact"/>
        <w:ind w:firstLine="400" w:firstLineChars="200"/>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 xml:space="preserve">注：1.应按各标段实际工程内容填写。 </w:t>
      </w:r>
    </w:p>
    <w:p>
      <w:pPr>
        <w:pageBreakBefore w:val="0"/>
        <w:kinsoku/>
        <w:wordWrap w:val="0"/>
        <w:overflowPunct/>
        <w:bidi w:val="0"/>
        <w:spacing w:line="440" w:lineRule="exact"/>
        <w:ind w:firstLine="800" w:firstLineChars="400"/>
        <w:rPr>
          <w:rFonts w:hint="default" w:ascii="Times New Roman" w:hAnsi="Times New Roman" w:eastAsia="黑体" w:cs="Times New Roman"/>
          <w:b/>
          <w:color w:val="auto"/>
          <w:sz w:val="20"/>
          <w:szCs w:val="20"/>
          <w:highlight w:val="none"/>
        </w:rPr>
        <w:sectPr>
          <w:footerReference r:id="rId53" w:type="default"/>
          <w:footnotePr>
            <w:numFmt w:val="decimalEnclosedCircleChinese"/>
            <w:numRestart w:val="eachPage"/>
          </w:footnotePr>
          <w:pgSz w:w="16840" w:h="11907" w:orient="landscape"/>
          <w:pgMar w:top="1644" w:right="1588" w:bottom="1588" w:left="1474" w:header="851" w:footer="851" w:gutter="0"/>
          <w:pgNumType w:fmt="decimal"/>
          <w:cols w:space="425" w:num="1"/>
          <w:docGrid w:linePitch="312" w:charSpace="0"/>
        </w:sectPr>
      </w:pPr>
      <w:r>
        <w:rPr>
          <w:rFonts w:hint="default" w:ascii="Times New Roman" w:hAnsi="Times New Roman" w:cs="Times New Roman"/>
          <w:color w:val="auto"/>
          <w:sz w:val="20"/>
          <w:szCs w:val="20"/>
          <w:highlight w:val="none"/>
        </w:rPr>
        <w:t>2.各个项目的进程可用线条的长短来表示。</w:t>
      </w:r>
    </w:p>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b w:val="0"/>
          <w:color w:val="auto"/>
          <w:sz w:val="28"/>
          <w:szCs w:val="28"/>
          <w:highlight w:val="none"/>
        </w:rPr>
      </w:pPr>
      <w:bookmarkStart w:id="2506" w:name="_Toc23747873"/>
      <w:bookmarkStart w:id="2507" w:name="_Toc234833268"/>
      <w:bookmarkStart w:id="2508" w:name="_Toc501257490"/>
      <w:r>
        <w:rPr>
          <w:rFonts w:hint="default" w:ascii="Times New Roman" w:hAnsi="Times New Roman" w:eastAsia="黑体" w:cs="Times New Roman"/>
          <w:b w:val="0"/>
          <w:color w:val="auto"/>
          <w:sz w:val="28"/>
          <w:szCs w:val="28"/>
          <w:highlight w:val="none"/>
        </w:rPr>
        <w:t>附表三 工程管理曲线</w:t>
      </w:r>
      <w:bookmarkEnd w:id="2506"/>
      <w:bookmarkEnd w:id="2507"/>
      <w:bookmarkEnd w:id="2508"/>
    </w:p>
    <w:p>
      <w:pPr>
        <w:pageBreakBefore w:val="0"/>
        <w:kinsoku/>
        <w:wordWrap w:val="0"/>
        <w:overflowPunct/>
        <w:bidi w:val="0"/>
        <w:rPr>
          <w:rFonts w:hint="default" w:ascii="Times New Roman" w:hAnsi="Times New Roman" w:cs="Times New Roman"/>
          <w:color w:val="auto"/>
          <w:highlight w:val="none"/>
        </w:rPr>
      </w:pPr>
    </w:p>
    <w:tbl>
      <w:tblPr>
        <w:tblStyle w:val="37"/>
        <w:tblW w:w="9351"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413"/>
        <w:gridCol w:w="404"/>
        <w:gridCol w:w="21"/>
        <w:gridCol w:w="384"/>
        <w:gridCol w:w="43"/>
        <w:gridCol w:w="362"/>
        <w:gridCol w:w="65"/>
        <w:gridCol w:w="341"/>
        <w:gridCol w:w="86"/>
        <w:gridCol w:w="319"/>
        <w:gridCol w:w="108"/>
        <w:gridCol w:w="297"/>
        <w:gridCol w:w="130"/>
        <w:gridCol w:w="275"/>
        <w:gridCol w:w="152"/>
        <w:gridCol w:w="254"/>
        <w:gridCol w:w="173"/>
        <w:gridCol w:w="232"/>
        <w:gridCol w:w="195"/>
        <w:gridCol w:w="210"/>
        <w:gridCol w:w="216"/>
        <w:gridCol w:w="190"/>
        <w:gridCol w:w="237"/>
        <w:gridCol w:w="168"/>
        <w:gridCol w:w="259"/>
        <w:gridCol w:w="147"/>
        <w:gridCol w:w="280"/>
        <w:gridCol w:w="126"/>
        <w:gridCol w:w="301"/>
        <w:gridCol w:w="105"/>
        <w:gridCol w:w="322"/>
        <w:gridCol w:w="84"/>
        <w:gridCol w:w="343"/>
        <w:gridCol w:w="63"/>
        <w:gridCol w:w="364"/>
        <w:gridCol w:w="42"/>
        <w:gridCol w:w="385"/>
        <w:gridCol w:w="23"/>
        <w:gridCol w:w="4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exact"/>
        </w:trPr>
        <w:tc>
          <w:tcPr>
            <w:tcW w:w="1237" w:type="dxa"/>
            <w:gridSpan w:val="2"/>
            <w:tcBorders>
              <w:bottom w:val="nil"/>
              <w:tl2br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s">
                  <w:drawing>
                    <wp:anchor distT="0" distB="0" distL="114300" distR="114300" simplePos="0" relativeHeight="251660288" behindDoc="0" locked="0" layoutInCell="0" allowOverlap="1">
                      <wp:simplePos x="0" y="0"/>
                      <wp:positionH relativeFrom="column">
                        <wp:posOffset>-133350</wp:posOffset>
                      </wp:positionH>
                      <wp:positionV relativeFrom="paragraph">
                        <wp:posOffset>6350</wp:posOffset>
                      </wp:positionV>
                      <wp:extent cx="819150" cy="519430"/>
                      <wp:effectExtent l="2540" t="3810" r="3810" b="10160"/>
                      <wp:wrapNone/>
                      <wp:docPr id="12" name="直线 41"/>
                      <wp:cNvGraphicFramePr/>
                      <a:graphic xmlns:a="http://schemas.openxmlformats.org/drawingml/2006/main">
                        <a:graphicData uri="http://schemas.microsoft.com/office/word/2010/wordprocessingShape">
                          <wps:wsp>
                            <wps:cNvCnPr/>
                            <wps:spPr>
                              <a:xfrm>
                                <a:off x="0" y="0"/>
                                <a:ext cx="819150" cy="519430"/>
                              </a:xfrm>
                              <a:prstGeom prst="line">
                                <a:avLst/>
                              </a:prstGeom>
                              <a:ln w="6350" cap="flat" cmpd="sng">
                                <a:solidFill>
                                  <a:srgbClr val="000000"/>
                                </a:solidFill>
                                <a:prstDash val="solid"/>
                                <a:headEnd type="none" w="med" len="med"/>
                                <a:tailEnd type="none" w="med" len="med"/>
                              </a:ln>
                            </wps:spPr>
                            <wps:bodyPr/>
                          </wps:wsp>
                        </a:graphicData>
                      </a:graphic>
                    </wp:anchor>
                  </w:drawing>
                </mc:Choice>
                <mc:Fallback>
                  <w:pict>
                    <v:line id="直线 41" o:spid="_x0000_s1026" o:spt="20" style="position:absolute;left:0pt;margin-left:-10.5pt;margin-top:0.5pt;height:40.9pt;width:64.5pt;z-index:251660288;mso-width-relative:page;mso-height-relative:page;" filled="f" stroked="t" coordsize="21600,21600" o:allowincell="f" o:gfxdata="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DcpMCzUAAAACAEAAA8AAAAA&#10;AAAAAQAgAAAAOAAAAGRycy9kb3ducmV2LnhtbFBLAQIUABQAAAAIAIdO4kB94Ee+yQEAAIcDAAAO&#10;AAAAAAAAAAEAIAAAADkBAABkcnMvZTJvRG9jLnhtbFBLBQYAAAAABgAGAFkBAAB0BQAAAAA=&#10;">
                      <v:fill on="f" focussize="0,0"/>
                      <v:stroke weight="0.5pt" color="#000000" joinstyle="round"/>
                      <v:imagedata o:title=""/>
                      <o:lock v:ext="edit" aspectratio="f"/>
                    </v:line>
                  </w:pict>
                </mc:Fallback>
              </mc:AlternateContent>
            </w:r>
            <w:r>
              <w:rPr>
                <w:rFonts w:hint="default" w:ascii="Times New Roman" w:hAnsi="Times New Roman" w:cs="Times New Roman"/>
                <w:color w:val="auto"/>
                <w:highlight w:val="none"/>
              </w:rPr>
              <w:t>年度</w:t>
            </w:r>
          </w:p>
        </w:tc>
        <w:tc>
          <w:tcPr>
            <w:tcW w:w="4862" w:type="dxa"/>
            <w:gridSpan w:val="23"/>
            <w:vAlign w:val="center"/>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年</w:t>
            </w:r>
          </w:p>
        </w:tc>
        <w:tc>
          <w:tcPr>
            <w:tcW w:w="3252" w:type="dxa"/>
            <w:gridSpan w:val="15"/>
            <w:vAlign w:val="center"/>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37" w:type="dxa"/>
            <w:gridSpan w:val="2"/>
            <w:tcBorders>
              <w:top w:val="nil"/>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季度</w:t>
            </w:r>
          </w:p>
          <w:p>
            <w:pPr>
              <w:pageBreakBefore w:val="0"/>
              <w:kinsoku/>
              <w:wordWrap w:val="0"/>
              <w:overflowPunct/>
              <w:bidi w:val="0"/>
              <w:ind w:left="-105" w:leftChars="-50" w:right="-105" w:rightChars="-50"/>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729615</wp:posOffset>
                      </wp:positionH>
                      <wp:positionV relativeFrom="paragraph">
                        <wp:posOffset>68580</wp:posOffset>
                      </wp:positionV>
                      <wp:extent cx="5133340" cy="0"/>
                      <wp:effectExtent l="0" t="0" r="0" b="0"/>
                      <wp:wrapNone/>
                      <wp:docPr id="13" name="直线 36"/>
                      <wp:cNvGraphicFramePr/>
                      <a:graphic xmlns:a="http://schemas.openxmlformats.org/drawingml/2006/main">
                        <a:graphicData uri="http://schemas.microsoft.com/office/word/2010/wordprocessingShape">
                          <wps:wsp>
                            <wps:cNvCnPr/>
                            <wps:spPr>
                              <a:xfrm>
                                <a:off x="0" y="0"/>
                                <a:ext cx="513334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36" o:spid="_x0000_s1026" o:spt="20" style="position:absolute;left:0pt;margin-left:57.45pt;margin-top:5.4pt;height:0pt;width:404.2pt;z-index:251660288;mso-width-relative:page;mso-height-relative:page;" filled="f" stroked="t" coordsize="21600,21600" o:gfxdata="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A350wH1QAAAAkBAAAPAAAAAAAA&#10;AAEAIAAAADgAAABkcnMvZG93bnJldi54bWxQSwECFAAUAAAACACHTuJAPVQRF8YBAACDAwAADgAA&#10;AAAAAAABACAAAAA6AQAAZHJzL2Uyb0RvYy54bWxQSwUGAAAAAAYABgBZAQAAcgUAAAAA&#10;">
                      <v:fill on="f" focussize="0,0"/>
                      <v:stroke color="#000000" joinstyle="round"/>
                      <v:imagedata o:title=""/>
                      <o:lock v:ext="edit" aspectratio="f"/>
                    </v:line>
                  </w:pict>
                </mc:Fallback>
              </mc:AlternateContent>
            </w:r>
            <w:r>
              <w:rPr>
                <w:rFonts w:hint="default" w:ascii="Times New Roman" w:hAnsi="Times New Roman" w:cs="Times New Roman"/>
                <w:color w:val="auto"/>
                <w:highlight w:val="none"/>
              </w:rPr>
              <w:t>进度</w:t>
            </w:r>
          </w:p>
        </w:tc>
        <w:tc>
          <w:tcPr>
            <w:tcW w:w="404" w:type="dxa"/>
            <w:tcBorders>
              <w:righ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405" w:type="dxa"/>
            <w:gridSpan w:val="2"/>
            <w:tcBorders>
              <w:left w:val="nil"/>
              <w:righ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一</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405" w:type="dxa"/>
            <w:gridSpan w:val="2"/>
            <w:tcBorders>
              <w:lef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406" w:type="dxa"/>
            <w:gridSpan w:val="2"/>
            <w:tcBorders>
              <w:righ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405" w:type="dxa"/>
            <w:gridSpan w:val="2"/>
            <w:tcBorders>
              <w:left w:val="nil"/>
              <w:righ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二</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405" w:type="dxa"/>
            <w:gridSpan w:val="2"/>
            <w:tcBorders>
              <w:lef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6</w:t>
            </w:r>
          </w:p>
        </w:tc>
        <w:tc>
          <w:tcPr>
            <w:tcW w:w="405" w:type="dxa"/>
            <w:gridSpan w:val="2"/>
            <w:tcBorders>
              <w:righ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7</w:t>
            </w:r>
          </w:p>
        </w:tc>
        <w:tc>
          <w:tcPr>
            <w:tcW w:w="406" w:type="dxa"/>
            <w:gridSpan w:val="2"/>
            <w:tcBorders>
              <w:left w:val="nil"/>
              <w:righ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三</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8</w:t>
            </w:r>
          </w:p>
        </w:tc>
        <w:tc>
          <w:tcPr>
            <w:tcW w:w="405" w:type="dxa"/>
            <w:gridSpan w:val="2"/>
            <w:tcBorders>
              <w:lef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9</w:t>
            </w:r>
          </w:p>
        </w:tc>
        <w:tc>
          <w:tcPr>
            <w:tcW w:w="405" w:type="dxa"/>
            <w:gridSpan w:val="2"/>
            <w:tcBorders>
              <w:righ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10</w:t>
            </w:r>
          </w:p>
        </w:tc>
        <w:tc>
          <w:tcPr>
            <w:tcW w:w="406" w:type="dxa"/>
            <w:gridSpan w:val="2"/>
            <w:tcBorders>
              <w:left w:val="nil"/>
              <w:righ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四</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11</w:t>
            </w:r>
          </w:p>
        </w:tc>
        <w:tc>
          <w:tcPr>
            <w:tcW w:w="405" w:type="dxa"/>
            <w:gridSpan w:val="2"/>
            <w:tcBorders>
              <w:lef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12</w:t>
            </w:r>
          </w:p>
        </w:tc>
        <w:tc>
          <w:tcPr>
            <w:tcW w:w="406" w:type="dxa"/>
            <w:gridSpan w:val="2"/>
            <w:tcBorders>
              <w:righ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406" w:type="dxa"/>
            <w:gridSpan w:val="2"/>
            <w:tcBorders>
              <w:left w:val="nil"/>
              <w:righ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一</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406" w:type="dxa"/>
            <w:gridSpan w:val="2"/>
            <w:tcBorders>
              <w:lef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406" w:type="dxa"/>
            <w:gridSpan w:val="2"/>
            <w:tcBorders>
              <w:righ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406" w:type="dxa"/>
            <w:gridSpan w:val="2"/>
            <w:tcBorders>
              <w:left w:val="nil"/>
              <w:righ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二</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406" w:type="dxa"/>
            <w:gridSpan w:val="2"/>
            <w:tcBorders>
              <w:left w:val="nil"/>
            </w:tcBorders>
            <w:vAlign w:val="bottom"/>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6</w:t>
            </w:r>
          </w:p>
        </w:tc>
        <w:tc>
          <w:tcPr>
            <w:tcW w:w="816" w:type="dxa"/>
            <w:gridSpan w:val="3"/>
            <w:shd w:val="clear" w:color="auto" w:fill="auto"/>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restart"/>
            <w:tcBorders>
              <w:right w:val="nil"/>
            </w:tcBorders>
            <w:vAlign w:val="center"/>
          </w:tcPr>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程</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完</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成</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的</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百</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分</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比</w:t>
            </w:r>
          </w:p>
          <w:p>
            <w:pPr>
              <w:pageBreakBefore w:val="0"/>
              <w:kinsoku/>
              <w:wordWrap w:val="0"/>
              <w:overflowPunct/>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100</w:t>
            </w: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90</w:t>
            </w: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80</w:t>
            </w: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70</w:t>
            </w: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60</w:t>
            </w: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50</w:t>
            </w: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40</w:t>
            </w: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30</w:t>
            </w: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20</w:t>
            </w: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4" w:type="dxa"/>
            <w:vMerge w:val="continue"/>
            <w:tcBorders>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10</w:t>
            </w:r>
          </w:p>
        </w:tc>
        <w:tc>
          <w:tcPr>
            <w:tcW w:w="404" w:type="dxa"/>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tcBorders>
              <w:bottom w:val="single" w:color="auto" w:sz="4" w:space="0"/>
            </w:tcBorders>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tcBorders>
              <w:bottom w:val="single" w:color="auto" w:sz="4" w:space="0"/>
            </w:tcBorders>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Borders>
              <w:top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single" w:color="auto" w:sz="4" w:space="0"/>
              <w:right w:val="single" w:color="auto" w:sz="4" w:space="0"/>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4" w:type="dxa"/>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gridSpan w:val="2"/>
            <w:tcBorders>
              <w:bottom w:val="single" w:color="auto" w:sz="4" w:space="0"/>
            </w:tcBorders>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08" w:type="dxa"/>
            <w:tcBorders>
              <w:bottom w:val="single" w:color="auto" w:sz="4" w:space="0"/>
            </w:tcBorders>
            <w:shd w:val="clear" w:color="auto" w:fill="auto"/>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Borders>
              <w:top w:val="single" w:color="auto" w:sz="4" w:space="0"/>
              <w:left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nil"/>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0</w:t>
            </w:r>
          </w:p>
        </w:tc>
        <w:tc>
          <w:tcPr>
            <w:tcW w:w="425" w:type="dxa"/>
            <w:gridSpan w:val="2"/>
            <w:tcBorders>
              <w:top w:val="single" w:color="auto" w:sz="4" w:space="0"/>
              <w:left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10</w:t>
            </w: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20</w:t>
            </w: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30</w:t>
            </w: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40</w:t>
            </w: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26" w:type="dxa"/>
            <w:gridSpan w:val="2"/>
            <w:tcBorders>
              <w:top w:val="single" w:color="auto" w:sz="4" w:space="0"/>
              <w:left w:val="nil"/>
              <w:bottom w:val="nil"/>
              <w:right w:val="nil"/>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50</w:t>
            </w: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r>
              <w:rPr>
                <w:rFonts w:hint="default" w:ascii="Times New Roman" w:hAnsi="Times New Roman" w:cs="Times New Roman"/>
                <w:color w:val="auto"/>
                <w:highlight w:val="none"/>
              </w:rPr>
              <w:t>60</w:t>
            </w: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r>
              <w:rPr>
                <w:rFonts w:hint="default" w:ascii="Times New Roman" w:hAnsi="Times New Roman" w:cs="Times New Roman"/>
                <w:color w:val="auto"/>
                <w:highlight w:val="none"/>
              </w:rPr>
              <w:t>70</w:t>
            </w: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r>
              <w:rPr>
                <w:rFonts w:hint="default" w:ascii="Times New Roman" w:hAnsi="Times New Roman" w:cs="Times New Roman"/>
                <w:color w:val="auto"/>
                <w:highlight w:val="none"/>
              </w:rPr>
              <w:t>80</w:t>
            </w: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tcPr>
          <w:p>
            <w:pPr>
              <w:pageBreakBefore w:val="0"/>
              <w:kinsoku/>
              <w:wordWrap w:val="0"/>
              <w:overflowPunct/>
              <w:bidi w:val="0"/>
              <w:ind w:left="-105" w:leftChars="-50" w:right="-105" w:rightChars="-50"/>
              <w:rPr>
                <w:rFonts w:hint="default" w:ascii="Times New Roman" w:hAnsi="Times New Roman" w:cs="Times New Roman"/>
                <w:color w:val="auto"/>
                <w:highlight w:val="none"/>
              </w:rPr>
            </w:pPr>
            <w:r>
              <w:rPr>
                <w:rFonts w:hint="default" w:ascii="Times New Roman" w:hAnsi="Times New Roman" w:cs="Times New Roman"/>
                <w:color w:val="auto"/>
                <w:highlight w:val="none"/>
              </w:rPr>
              <w:t>90</w:t>
            </w:r>
          </w:p>
        </w:tc>
        <w:tc>
          <w:tcPr>
            <w:tcW w:w="431" w:type="dxa"/>
            <w:gridSpan w:val="2"/>
            <w:tcBorders>
              <w:top w:val="single" w:color="auto" w:sz="4" w:space="0"/>
              <w:left w:val="nil"/>
              <w:bottom w:val="nil"/>
              <w:right w:val="nil"/>
            </w:tcBorders>
          </w:tcPr>
          <w:p>
            <w:pPr>
              <w:pageBreakBefore w:val="0"/>
              <w:kinsoku/>
              <w:wordWrap w:val="0"/>
              <w:overflowPunct/>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100</w:t>
            </w:r>
          </w:p>
        </w:tc>
      </w:tr>
    </w:tbl>
    <w:p>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default" w:ascii="Times New Roman" w:hAnsi="Times New Roman" w:eastAsia="黑体" w:cs="Times New Roman"/>
          <w:color w:val="auto"/>
          <w:szCs w:val="21"/>
          <w:highlight w:val="none"/>
        </w:rPr>
      </w:pPr>
      <w:bookmarkStart w:id="2509" w:name="_Toc15593"/>
      <w:r>
        <w:rPr>
          <w:rFonts w:hint="default" w:ascii="Times New Roman" w:hAnsi="Times New Roman" w:cs="Times New Roman"/>
          <w:color w:val="auto"/>
          <w:szCs w:val="21"/>
          <w:highlight w:val="none"/>
        </w:rPr>
        <w:t>工期历程的百分比（%）</w:t>
      </w:r>
      <w:bookmarkEnd w:id="2509"/>
    </w:p>
    <w:p>
      <w:pPr>
        <w:pageBreakBefore w:val="0"/>
        <w:kinsoku/>
        <w:wordWrap w:val="0"/>
        <w:overflowPunct/>
        <w:bidi w:val="0"/>
        <w:spacing w:line="440" w:lineRule="exact"/>
        <w:rPr>
          <w:rFonts w:hint="default" w:ascii="Times New Roman" w:hAnsi="Times New Roman" w:eastAsia="黑体" w:cs="Times New Roman"/>
          <w:color w:val="auto"/>
          <w:szCs w:val="21"/>
          <w:highlight w:val="none"/>
        </w:rPr>
        <w:sectPr>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p>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b w:val="0"/>
          <w:color w:val="auto"/>
          <w:sz w:val="28"/>
          <w:szCs w:val="28"/>
          <w:highlight w:val="none"/>
        </w:rPr>
      </w:pPr>
      <w:bookmarkStart w:id="2510" w:name="_Toc501257491"/>
      <w:bookmarkStart w:id="2511" w:name="_Toc23747874"/>
      <w:bookmarkStart w:id="2512" w:name="_Toc234833269"/>
      <w:r>
        <w:rPr>
          <w:rFonts w:hint="default" w:ascii="Times New Roman" w:hAnsi="Times New Roman" w:eastAsia="黑体" w:cs="Times New Roman"/>
          <w:b w:val="0"/>
          <w:color w:val="auto"/>
          <w:sz w:val="28"/>
          <w:szCs w:val="28"/>
          <w:highlight w:val="none"/>
        </w:rPr>
        <w:t>附表四 分项工程生产率和施工周期表</w:t>
      </w:r>
      <w:bookmarkEnd w:id="2510"/>
      <w:bookmarkEnd w:id="2511"/>
      <w:bookmarkEnd w:id="2512"/>
    </w:p>
    <w:p>
      <w:pPr>
        <w:pageBreakBefore w:val="0"/>
        <w:kinsoku/>
        <w:wordWrap w:val="0"/>
        <w:overflowPunct/>
        <w:bidi w:val="0"/>
        <w:snapToGrid w:val="0"/>
        <w:spacing w:line="400" w:lineRule="atLeast"/>
        <w:rPr>
          <w:rFonts w:hint="default" w:ascii="Times New Roman" w:hAnsi="Times New Roman" w:eastAsia="黑体" w:cs="Times New Roman"/>
          <w:color w:val="auto"/>
          <w:highlight w:val="none"/>
        </w:rPr>
      </w:pPr>
    </w:p>
    <w:tbl>
      <w:tblPr>
        <w:tblStyle w:val="3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14"/>
        <w:gridCol w:w="1994"/>
        <w:gridCol w:w="900"/>
        <w:gridCol w:w="900"/>
        <w:gridCol w:w="2700"/>
        <w:gridCol w:w="2160"/>
        <w:gridCol w:w="2146"/>
        <w:gridCol w:w="247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序号</w:t>
            </w:r>
          </w:p>
        </w:tc>
        <w:tc>
          <w:tcPr>
            <w:tcW w:w="1994" w:type="dxa"/>
            <w:vAlign w:val="center"/>
          </w:tcPr>
          <w:p>
            <w:pPr>
              <w:pStyle w:val="86"/>
              <w:pageBreakBefore w:val="0"/>
              <w:kinsoku/>
              <w:wordWrap w:val="0"/>
              <w:overflowPunct/>
              <w:bidi w:val="0"/>
              <w:snapToGrid w:val="0"/>
              <w:spacing w:line="400" w:lineRule="atLeast"/>
              <w:rPr>
                <w:rFonts w:hint="default" w:ascii="Times New Roman" w:hAnsi="Times New Roman" w:cs="Times New Roman"/>
                <w:color w:val="auto"/>
                <w:sz w:val="20"/>
                <w:highlight w:val="none"/>
              </w:rPr>
            </w:pPr>
            <w:r>
              <w:rPr>
                <w:rFonts w:hint="default" w:ascii="Times New Roman" w:hAnsi="Times New Roman" w:cs="Times New Roman"/>
                <w:color w:val="auto"/>
                <w:sz w:val="20"/>
                <w:highlight w:val="none"/>
              </w:rPr>
              <w:t>工程项目</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单位</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数量</w:t>
            </w:r>
          </w:p>
        </w:tc>
        <w:tc>
          <w:tcPr>
            <w:tcW w:w="27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平均每生产单位规模（</w:t>
            </w:r>
            <w:r>
              <w:rPr>
                <w:rFonts w:hint="default" w:ascii="Times New Roman" w:hAnsi="Times New Roman" w:cs="Times New Roman"/>
                <w:color w:val="auto"/>
                <w:sz w:val="20"/>
                <w:szCs w:val="20"/>
                <w:highlight w:val="none"/>
                <w:u w:val="single"/>
              </w:rPr>
              <w:t xml:space="preserve">  </w:t>
            </w:r>
            <w:r>
              <w:rPr>
                <w:rFonts w:hint="default" w:ascii="Times New Roman" w:hAnsi="Times New Roman" w:cs="Times New Roman"/>
                <w:color w:val="auto"/>
                <w:sz w:val="20"/>
                <w:szCs w:val="20"/>
                <w:highlight w:val="none"/>
              </w:rPr>
              <w:t>人，各种机械</w:t>
            </w:r>
            <w:r>
              <w:rPr>
                <w:rFonts w:hint="default" w:ascii="Times New Roman" w:hAnsi="Times New Roman" w:cs="Times New Roman"/>
                <w:color w:val="auto"/>
                <w:sz w:val="20"/>
                <w:szCs w:val="20"/>
                <w:highlight w:val="none"/>
                <w:u w:val="single"/>
              </w:rPr>
              <w:t xml:space="preserve">  </w:t>
            </w:r>
            <w:r>
              <w:rPr>
                <w:rFonts w:hint="default" w:ascii="Times New Roman" w:hAnsi="Times New Roman" w:cs="Times New Roman"/>
                <w:color w:val="auto"/>
                <w:sz w:val="20"/>
                <w:szCs w:val="20"/>
                <w:highlight w:val="none"/>
              </w:rPr>
              <w:t>台）</w:t>
            </w:r>
          </w:p>
        </w:tc>
        <w:tc>
          <w:tcPr>
            <w:tcW w:w="216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平均每单位生产率</w:t>
            </w:r>
          </w:p>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（数量、每周）</w:t>
            </w:r>
          </w:p>
        </w:tc>
        <w:tc>
          <w:tcPr>
            <w:tcW w:w="2146"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每生产单位</w:t>
            </w:r>
          </w:p>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平均施工时间 （周）</w:t>
            </w:r>
          </w:p>
        </w:tc>
        <w:tc>
          <w:tcPr>
            <w:tcW w:w="2477"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生产单位总数</w:t>
            </w:r>
          </w:p>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1994" w:type="dxa"/>
            <w:vAlign w:val="center"/>
          </w:tcPr>
          <w:p>
            <w:pPr>
              <w:pStyle w:val="24"/>
              <w:pageBreakBefore w:val="0"/>
              <w:tabs>
                <w:tab w:val="clear" w:pos="4153"/>
                <w:tab w:val="clear" w:pos="8306"/>
              </w:tabs>
              <w:kinsoku/>
              <w:wordWrap w:val="0"/>
              <w:overflowPunct/>
              <w:bidi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特殊路基处理</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7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6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46"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477"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1994" w:type="dxa"/>
            <w:vAlign w:val="center"/>
          </w:tcPr>
          <w:p>
            <w:pPr>
              <w:pageBreakBefore w:val="0"/>
              <w:kinsoku/>
              <w:wordWrap w:val="0"/>
              <w:overflowPunct/>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路基填筑</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万m</w:t>
            </w:r>
            <w:r>
              <w:rPr>
                <w:rFonts w:hint="default" w:ascii="Times New Roman" w:hAnsi="Times New Roman" w:cs="Times New Roman"/>
                <w:color w:val="auto"/>
                <w:sz w:val="20"/>
                <w:szCs w:val="20"/>
                <w:highlight w:val="none"/>
                <w:vertAlign w:val="superscript"/>
              </w:rPr>
              <w:t>3</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7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6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46"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477"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1994" w:type="dxa"/>
            <w:vAlign w:val="center"/>
          </w:tcPr>
          <w:p>
            <w:pPr>
              <w:pageBreakBefore w:val="0"/>
              <w:kinsoku/>
              <w:wordWrap w:val="0"/>
              <w:overflowPunct/>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路面基层</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万m</w:t>
            </w:r>
            <w:r>
              <w:rPr>
                <w:rFonts w:hint="default" w:ascii="Times New Roman" w:hAnsi="Times New Roman" w:cs="Times New Roman"/>
                <w:color w:val="auto"/>
                <w:sz w:val="20"/>
                <w:szCs w:val="20"/>
                <w:highlight w:val="none"/>
                <w:vertAlign w:val="superscript"/>
              </w:rPr>
              <w:t>2</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7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6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46"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477"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1994" w:type="dxa"/>
            <w:vAlign w:val="center"/>
          </w:tcPr>
          <w:p>
            <w:pPr>
              <w:pageBreakBefore w:val="0"/>
              <w:kinsoku/>
              <w:wordWrap w:val="0"/>
              <w:overflowPunct/>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路面面层</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万m</w:t>
            </w:r>
            <w:r>
              <w:rPr>
                <w:rFonts w:hint="default" w:ascii="Times New Roman" w:hAnsi="Times New Roman" w:cs="Times New Roman"/>
                <w:color w:val="auto"/>
                <w:sz w:val="20"/>
                <w:szCs w:val="20"/>
                <w:highlight w:val="none"/>
                <w:vertAlign w:val="superscript"/>
              </w:rPr>
              <w:t>2</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7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6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46"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477"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w:t>
            </w:r>
          </w:p>
        </w:tc>
        <w:tc>
          <w:tcPr>
            <w:tcW w:w="1994" w:type="dxa"/>
            <w:vAlign w:val="center"/>
          </w:tcPr>
          <w:p>
            <w:pPr>
              <w:pageBreakBefore w:val="0"/>
              <w:kinsoku/>
              <w:wordWrap w:val="0"/>
              <w:overflowPunct/>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路基防护及排水</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7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6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46"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477"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w:t>
            </w:r>
          </w:p>
        </w:tc>
        <w:tc>
          <w:tcPr>
            <w:tcW w:w="1994" w:type="dxa"/>
            <w:vAlign w:val="center"/>
          </w:tcPr>
          <w:p>
            <w:pPr>
              <w:pageBreakBefore w:val="0"/>
              <w:kinsoku/>
              <w:wordWrap w:val="0"/>
              <w:overflowPunct/>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涵洞</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道</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7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6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46"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477"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w:t>
            </w:r>
          </w:p>
        </w:tc>
        <w:tc>
          <w:tcPr>
            <w:tcW w:w="1994" w:type="dxa"/>
            <w:vAlign w:val="center"/>
          </w:tcPr>
          <w:p>
            <w:pPr>
              <w:pageBreakBefore w:val="0"/>
              <w:kinsoku/>
              <w:wordWrap w:val="0"/>
              <w:overflowPunct/>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通道</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道</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7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6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46"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477"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8</w:t>
            </w:r>
          </w:p>
        </w:tc>
        <w:tc>
          <w:tcPr>
            <w:tcW w:w="1994" w:type="dxa"/>
            <w:vAlign w:val="center"/>
          </w:tcPr>
          <w:p>
            <w:pPr>
              <w:pageBreakBefore w:val="0"/>
              <w:kinsoku/>
              <w:wordWrap w:val="0"/>
              <w:overflowPunct/>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桥梁基桩</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根</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7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6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46"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477"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w:t>
            </w:r>
          </w:p>
        </w:tc>
        <w:tc>
          <w:tcPr>
            <w:tcW w:w="1994" w:type="dxa"/>
            <w:vAlign w:val="center"/>
          </w:tcPr>
          <w:p>
            <w:pPr>
              <w:pageBreakBefore w:val="0"/>
              <w:kinsoku/>
              <w:wordWrap w:val="0"/>
              <w:overflowPunct/>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桥梁墩台</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座</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7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6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46"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477"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w:t>
            </w:r>
          </w:p>
        </w:tc>
        <w:tc>
          <w:tcPr>
            <w:tcW w:w="1994" w:type="dxa"/>
            <w:vAlign w:val="center"/>
          </w:tcPr>
          <w:p>
            <w:pPr>
              <w:pageBreakBefore w:val="0"/>
              <w:kinsoku/>
              <w:wordWrap w:val="0"/>
              <w:overflowPunct/>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梁体预制安装</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片</w:t>
            </w:r>
          </w:p>
        </w:tc>
        <w:tc>
          <w:tcPr>
            <w:tcW w:w="9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7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6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146"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c>
          <w:tcPr>
            <w:tcW w:w="2477"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 w:val="20"/>
                <w:szCs w:val="20"/>
                <w:highlight w:val="none"/>
              </w:rPr>
            </w:pPr>
          </w:p>
        </w:tc>
      </w:tr>
    </w:tbl>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cs="Times New Roman"/>
          <w:color w:val="auto"/>
          <w:sz w:val="20"/>
          <w:szCs w:val="20"/>
          <w:highlight w:val="none"/>
        </w:rPr>
        <w:t>注：互通立交、分离立交的匝道、匝道涵洞、通道、桥梁分别归入表中相关的项目内。</w:t>
      </w: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sectPr>
          <w:footerReference r:id="rId54" w:type="default"/>
          <w:footnotePr>
            <w:numFmt w:val="decimalEnclosedCircleChinese"/>
            <w:numRestart w:val="eachPage"/>
          </w:footnotePr>
          <w:pgSz w:w="16840" w:h="11907" w:orient="landscape"/>
          <w:pgMar w:top="1644" w:right="1588" w:bottom="1588" w:left="1474" w:header="851" w:footer="851" w:gutter="0"/>
          <w:pgNumType w:fmt="decimal"/>
          <w:cols w:space="425" w:num="1"/>
          <w:docGrid w:linePitch="312" w:charSpace="0"/>
        </w:sectPr>
      </w:pPr>
    </w:p>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b w:val="0"/>
          <w:color w:val="auto"/>
          <w:sz w:val="28"/>
          <w:szCs w:val="28"/>
          <w:highlight w:val="none"/>
        </w:rPr>
      </w:pPr>
      <w:bookmarkStart w:id="2513" w:name="_Toc501257492"/>
      <w:bookmarkStart w:id="2514" w:name="_Toc234833270"/>
      <w:bookmarkStart w:id="2515" w:name="_Toc23747875"/>
      <w:r>
        <w:rPr>
          <w:rFonts w:hint="default" w:ascii="Times New Roman" w:hAnsi="Times New Roman" w:eastAsia="黑体" w:cs="Times New Roman"/>
          <w:b w:val="0"/>
          <w:color w:val="auto"/>
          <w:sz w:val="28"/>
          <w:szCs w:val="28"/>
          <w:highlight w:val="none"/>
        </w:rPr>
        <w:t>附表五 施工总平面图</w:t>
      </w:r>
      <w:bookmarkEnd w:id="2513"/>
      <w:bookmarkEnd w:id="2514"/>
      <w:bookmarkEnd w:id="2515"/>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ab/>
      </w:r>
    </w:p>
    <w:p>
      <w:pPr>
        <w:pageBreakBefore w:val="0"/>
        <w:kinsoku/>
        <w:wordWrap w:val="0"/>
        <w:overflowPunct/>
        <w:autoSpaceDE/>
        <w:autoSpaceDN/>
        <w:bidi w:val="0"/>
        <w:spacing w:line="44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投标人应递交一份施工总平面图，绘出现场临时设施布置图表并附文字说明，说明施工营地、料场、临时设施、加工车间、现场办公、设备及仓储、供电、供水、卫生、生活、道路、消防等设施的情况和布置。</w:t>
      </w: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sz w:val="20"/>
          <w:highlight w:val="none"/>
        </w:rPr>
        <w:br w:type="page"/>
      </w:r>
      <w:bookmarkStart w:id="2516" w:name="_Toc23747876"/>
      <w:bookmarkStart w:id="2517" w:name="_Toc234833271"/>
      <w:bookmarkStart w:id="2518" w:name="_Toc501257493"/>
      <w:r>
        <w:rPr>
          <w:rFonts w:hint="default" w:ascii="Times New Roman" w:hAnsi="Times New Roman" w:eastAsia="黑体" w:cs="Times New Roman"/>
          <w:b w:val="0"/>
          <w:color w:val="auto"/>
          <w:sz w:val="28"/>
          <w:szCs w:val="28"/>
          <w:highlight w:val="none"/>
        </w:rPr>
        <w:t>附表六 劳动力计划表</w:t>
      </w:r>
      <w:bookmarkEnd w:id="2516"/>
      <w:bookmarkEnd w:id="2517"/>
      <w:bookmarkEnd w:id="2518"/>
    </w:p>
    <w:p>
      <w:pPr>
        <w:pageBreakBefore w:val="0"/>
        <w:kinsoku/>
        <w:wordWrap w:val="0"/>
        <w:overflowPunct/>
        <w:bidi w:val="0"/>
        <w:spacing w:line="440" w:lineRule="exact"/>
        <w:ind w:right="200"/>
        <w:jc w:val="right"/>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单位：人</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1360"/>
        <w:gridCol w:w="1111"/>
        <w:gridCol w:w="1111"/>
        <w:gridCol w:w="1111"/>
        <w:gridCol w:w="1111"/>
        <w:gridCol w:w="1112"/>
        <w:gridCol w:w="1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工种</w:t>
            </w:r>
          </w:p>
        </w:tc>
        <w:tc>
          <w:tcPr>
            <w:tcW w:w="4514" w:type="pct"/>
            <w:gridSpan w:val="7"/>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76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5"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624" w:type="pct"/>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bl>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0"/>
          <w:szCs w:val="20"/>
          <w:highlight w:val="none"/>
        </w:rPr>
        <w:br w:type="page"/>
      </w:r>
      <w:bookmarkStart w:id="2519" w:name="_Toc501257494"/>
      <w:bookmarkStart w:id="2520" w:name="_Toc234833272"/>
      <w:bookmarkStart w:id="2521" w:name="_Toc23747877"/>
      <w:r>
        <w:rPr>
          <w:rFonts w:hint="default" w:ascii="Times New Roman" w:hAnsi="Times New Roman" w:eastAsia="黑体" w:cs="Times New Roman"/>
          <w:b w:val="0"/>
          <w:color w:val="auto"/>
          <w:sz w:val="28"/>
          <w:szCs w:val="28"/>
          <w:highlight w:val="none"/>
        </w:rPr>
        <w:t>附表七 临时占地计划表</w:t>
      </w:r>
      <w:bookmarkEnd w:id="2519"/>
      <w:bookmarkEnd w:id="2520"/>
      <w:bookmarkEnd w:id="2521"/>
    </w:p>
    <w:p>
      <w:pPr>
        <w:pageBreakBefore w:val="0"/>
        <w:kinsoku/>
        <w:wordWrap w:val="0"/>
        <w:overflowPunct/>
        <w:bidi w:val="0"/>
        <w:spacing w:line="440" w:lineRule="exact"/>
        <w:jc w:val="center"/>
        <w:rPr>
          <w:rFonts w:hint="default" w:ascii="Times New Roman" w:hAnsi="Times New Roman" w:cs="Times New Roman"/>
          <w:color w:val="auto"/>
          <w:sz w:val="23"/>
          <w:szCs w:val="23"/>
          <w:highlight w:val="none"/>
        </w:rPr>
      </w:pPr>
    </w:p>
    <w:tbl>
      <w:tblPr>
        <w:tblStyle w:val="37"/>
        <w:tblW w:w="883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839"/>
        <w:gridCol w:w="394"/>
        <w:gridCol w:w="395"/>
        <w:gridCol w:w="600"/>
        <w:gridCol w:w="600"/>
        <w:gridCol w:w="600"/>
        <w:gridCol w:w="1560"/>
        <w:gridCol w:w="600"/>
        <w:gridCol w:w="624"/>
        <w:gridCol w:w="62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jc w:val="center"/>
        </w:trPr>
        <w:tc>
          <w:tcPr>
            <w:tcW w:w="2839" w:type="dxa"/>
            <w:vMerge w:val="restart"/>
            <w:tcBorders>
              <w:bottom w:val="nil"/>
            </w:tcBorders>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        途</w:t>
            </w:r>
          </w:p>
        </w:tc>
        <w:tc>
          <w:tcPr>
            <w:tcW w:w="2589" w:type="dxa"/>
            <w:gridSpan w:val="5"/>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面     积 （m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w:t>
            </w:r>
          </w:p>
        </w:tc>
        <w:tc>
          <w:tcPr>
            <w:tcW w:w="1560" w:type="dxa"/>
            <w:tcBorders>
              <w:bottom w:val="nil"/>
            </w:tcBorders>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需用时间</w:t>
            </w:r>
          </w:p>
        </w:tc>
        <w:tc>
          <w:tcPr>
            <w:tcW w:w="1848" w:type="dxa"/>
            <w:gridSpan w:val="3"/>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用地位置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jc w:val="center"/>
        </w:trPr>
        <w:tc>
          <w:tcPr>
            <w:tcW w:w="2839" w:type="dxa"/>
            <w:vMerge w:val="continue"/>
            <w:tcBorders>
              <w:top w:val="nil"/>
            </w:tcBorders>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p>
        </w:tc>
        <w:tc>
          <w:tcPr>
            <w:tcW w:w="394" w:type="dxa"/>
            <w:shd w:val="clear" w:color="auto" w:fill="auto"/>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菜地</w:t>
            </w:r>
          </w:p>
        </w:tc>
        <w:tc>
          <w:tcPr>
            <w:tcW w:w="395" w:type="dxa"/>
            <w:shd w:val="clear" w:color="auto" w:fill="auto"/>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水田</w:t>
            </w:r>
          </w:p>
        </w:tc>
        <w:tc>
          <w:tcPr>
            <w:tcW w:w="6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旱地</w:t>
            </w:r>
          </w:p>
        </w:tc>
        <w:tc>
          <w:tcPr>
            <w:tcW w:w="6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果园</w:t>
            </w:r>
          </w:p>
        </w:tc>
        <w:tc>
          <w:tcPr>
            <w:tcW w:w="6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荒地</w:t>
            </w:r>
          </w:p>
        </w:tc>
        <w:tc>
          <w:tcPr>
            <w:tcW w:w="1560" w:type="dxa"/>
            <w:tcBorders>
              <w:top w:val="nil"/>
              <w:bottom w:val="single" w:color="auto" w:sz="6" w:space="0"/>
            </w:tcBorders>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___年___月至</w:t>
            </w:r>
          </w:p>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___年___月</w:t>
            </w:r>
          </w:p>
        </w:tc>
        <w:tc>
          <w:tcPr>
            <w:tcW w:w="600"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桩号</w:t>
            </w:r>
          </w:p>
        </w:tc>
        <w:tc>
          <w:tcPr>
            <w:tcW w:w="624"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左侧（m）</w:t>
            </w:r>
          </w:p>
        </w:tc>
        <w:tc>
          <w:tcPr>
            <w:tcW w:w="624"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右侧（m）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一、临时工程</w:t>
            </w: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Borders>
              <w:top w:val="nil"/>
            </w:tcBorders>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1.便道</w:t>
            </w: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Style w:val="24"/>
              <w:pageBreakBefore w:val="0"/>
              <w:tabs>
                <w:tab w:val="clear" w:pos="4153"/>
                <w:tab w:val="clear" w:pos="8306"/>
              </w:tabs>
              <w:kinsoku/>
              <w:wordWrap w:val="0"/>
              <w:overflowPunct/>
              <w:bidi w:val="0"/>
              <w:spacing w:line="400" w:lineRule="atLeast"/>
              <w:rPr>
                <w:rFonts w:hint="default" w:ascii="Times New Roman" w:hAnsi="Times New Roman" w:cs="Times New Roman"/>
                <w:color w:val="auto"/>
                <w:sz w:val="21"/>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2.便桥</w:t>
            </w: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3.……</w:t>
            </w: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w:t>
            </w: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二、生产及生活临时设施</w:t>
            </w: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1.临时住房</w:t>
            </w: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2.办公等公用房屋</w:t>
            </w: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3.料库</w:t>
            </w: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4.预制场</w:t>
            </w: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w:t>
            </w: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租用面积合计</w:t>
            </w:r>
          </w:p>
        </w:tc>
        <w:tc>
          <w:tcPr>
            <w:tcW w:w="394"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395" w:type="dxa"/>
            <w:shd w:val="clear" w:color="auto" w:fill="auto"/>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156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00"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c>
          <w:tcPr>
            <w:tcW w:w="624" w:type="dxa"/>
          </w:tcPr>
          <w:p>
            <w:pPr>
              <w:pageBreakBefore w:val="0"/>
              <w:kinsoku/>
              <w:wordWrap w:val="0"/>
              <w:overflowPunct/>
              <w:bidi w:val="0"/>
              <w:snapToGrid w:val="0"/>
              <w:spacing w:line="400" w:lineRule="atLeast"/>
              <w:rPr>
                <w:rFonts w:hint="default" w:ascii="Times New Roman" w:hAnsi="Times New Roman" w:cs="Times New Roman"/>
                <w:color w:val="auto"/>
                <w:szCs w:val="21"/>
                <w:highlight w:val="none"/>
              </w:rPr>
            </w:pPr>
          </w:p>
        </w:tc>
      </w:tr>
    </w:tbl>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0"/>
          <w:szCs w:val="20"/>
          <w:highlight w:val="none"/>
        </w:rPr>
        <w:br w:type="page"/>
      </w:r>
      <w:bookmarkStart w:id="2522" w:name="_Toc234833273"/>
      <w:bookmarkStart w:id="2523" w:name="_Toc501257495"/>
      <w:bookmarkStart w:id="2524" w:name="_Toc23747878"/>
      <w:r>
        <w:rPr>
          <w:rFonts w:hint="default" w:ascii="Times New Roman" w:hAnsi="Times New Roman" w:eastAsia="黑体" w:cs="Times New Roman"/>
          <w:b w:val="0"/>
          <w:color w:val="auto"/>
          <w:sz w:val="28"/>
          <w:szCs w:val="28"/>
          <w:highlight w:val="none"/>
        </w:rPr>
        <w:t>附表八 外供电力需求计划表</w:t>
      </w:r>
      <w:bookmarkEnd w:id="2522"/>
      <w:bookmarkEnd w:id="2523"/>
      <w:bookmarkEnd w:id="2524"/>
    </w:p>
    <w:p>
      <w:pPr>
        <w:pageBreakBefore w:val="0"/>
        <w:kinsoku/>
        <w:wordWrap w:val="0"/>
        <w:overflowPunct/>
        <w:autoSpaceDE/>
        <w:autoSpaceDN/>
        <w:bidi w:val="0"/>
        <w:snapToGrid w:val="0"/>
        <w:spacing w:line="400" w:lineRule="atLeast"/>
        <w:jc w:val="center"/>
        <w:textAlignment w:val="auto"/>
        <w:outlineLvl w:val="9"/>
        <w:rPr>
          <w:rFonts w:hint="default" w:ascii="Times New Roman" w:hAnsi="Times New Roman" w:cs="Times New Roman"/>
          <w:color w:val="auto"/>
          <w:sz w:val="24"/>
          <w:highlight w:val="none"/>
        </w:rPr>
      </w:pPr>
    </w:p>
    <w:tbl>
      <w:tblPr>
        <w:tblStyle w:val="37"/>
        <w:tblW w:w="0" w:type="auto"/>
        <w:tblInd w:w="-118" w:type="dxa"/>
        <w:tblLayout w:type="fixed"/>
        <w:tblCellMar>
          <w:top w:w="0" w:type="dxa"/>
          <w:left w:w="28" w:type="dxa"/>
          <w:bottom w:w="0" w:type="dxa"/>
          <w:right w:w="28" w:type="dxa"/>
        </w:tblCellMar>
      </w:tblPr>
      <w:tblGrid>
        <w:gridCol w:w="1039"/>
        <w:gridCol w:w="994"/>
        <w:gridCol w:w="1384"/>
        <w:gridCol w:w="1226"/>
        <w:gridCol w:w="2366"/>
        <w:gridCol w:w="1777"/>
      </w:tblGrid>
      <w:tr>
        <w:tblPrEx>
          <w:tblCellMar>
            <w:top w:w="0" w:type="dxa"/>
            <w:left w:w="28" w:type="dxa"/>
            <w:bottom w:w="0" w:type="dxa"/>
            <w:right w:w="28" w:type="dxa"/>
          </w:tblCellMar>
        </w:tblPrEx>
        <w:trPr>
          <w:cantSplit/>
        </w:trPr>
        <w:tc>
          <w:tcPr>
            <w:tcW w:w="2033" w:type="dxa"/>
            <w:gridSpan w:val="2"/>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 电 位 置</w:t>
            </w:r>
          </w:p>
        </w:tc>
        <w:tc>
          <w:tcPr>
            <w:tcW w:w="1384" w:type="dxa"/>
            <w:vMerge w:val="restart"/>
            <w:tcBorders>
              <w:top w:val="single" w:color="auto" w:sz="6" w:space="0"/>
              <w:left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计划用电</w:t>
            </w:r>
          </w:p>
          <w:p>
            <w:pPr>
              <w:pageBreakBefore w:val="0"/>
              <w:widowControl/>
              <w:kinsoku/>
              <w:wordWrap w:val="0"/>
              <w:overflowPunct/>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    量</w:t>
            </w:r>
          </w:p>
          <w:p>
            <w:pPr>
              <w:pageBreakBefore w:val="0"/>
              <w:kinsoku/>
              <w:wordWrap w:val="0"/>
              <w:overflowPunct/>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（kW.h）</w:t>
            </w:r>
          </w:p>
        </w:tc>
        <w:tc>
          <w:tcPr>
            <w:tcW w:w="1226" w:type="dxa"/>
            <w:vMerge w:val="restart"/>
            <w:tcBorders>
              <w:top w:val="single" w:color="auto" w:sz="6" w:space="0"/>
              <w:left w:val="single" w:color="auto" w:sz="6" w:space="0"/>
              <w:right w:val="single" w:color="auto" w:sz="6" w:space="0"/>
            </w:tcBorders>
            <w:vAlign w:val="center"/>
          </w:tcPr>
          <w:p>
            <w:pPr>
              <w:pageBreakBefore w:val="0"/>
              <w:widowControl/>
              <w:kinsoku/>
              <w:wordWrap w:val="0"/>
              <w:overflowPunct/>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  途</w:t>
            </w:r>
          </w:p>
        </w:tc>
        <w:tc>
          <w:tcPr>
            <w:tcW w:w="2366" w:type="dxa"/>
            <w:tcBorders>
              <w:top w:val="single" w:color="auto" w:sz="6" w:space="0"/>
              <w:left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 用 时 间</w:t>
            </w:r>
          </w:p>
        </w:tc>
        <w:tc>
          <w:tcPr>
            <w:tcW w:w="1777" w:type="dxa"/>
            <w:vMerge w:val="restart"/>
            <w:tcBorders>
              <w:top w:val="single" w:color="auto" w:sz="6" w:space="0"/>
              <w:left w:val="single" w:color="auto" w:sz="6" w:space="0"/>
              <w:right w:val="single" w:color="auto" w:sz="6" w:space="0"/>
            </w:tcBorders>
            <w:vAlign w:val="center"/>
          </w:tcPr>
          <w:p>
            <w:pPr>
              <w:pageBreakBefore w:val="0"/>
              <w:widowControl/>
              <w:kinsoku/>
              <w:wordWrap w:val="0"/>
              <w:overflowPunct/>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  注</w:t>
            </w: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桩  号</w:t>
            </w: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左或右</w:t>
            </w:r>
          </w:p>
          <w:p>
            <w:pPr>
              <w:pageBreakBefore w:val="0"/>
              <w:widowControl/>
              <w:kinsoku/>
              <w:wordWrap w:val="0"/>
              <w:overflowPunct/>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1384" w:type="dxa"/>
            <w:vMerge w:val="continue"/>
            <w:tcBorders>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p>
        </w:tc>
        <w:tc>
          <w:tcPr>
            <w:tcW w:w="1226" w:type="dxa"/>
            <w:vMerge w:val="continue"/>
            <w:tcBorders>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p>
        </w:tc>
        <w:tc>
          <w:tcPr>
            <w:tcW w:w="2366" w:type="dxa"/>
            <w:tcBorders>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327" w:firstLineChars="156"/>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月</w:t>
            </w:r>
          </w:p>
          <w:p>
            <w:pPr>
              <w:pageBreakBefore w:val="0"/>
              <w:widowControl/>
              <w:kinsoku/>
              <w:wordWrap w:val="0"/>
              <w:overflowPunct/>
              <w:autoSpaceDE w:val="0"/>
              <w:autoSpaceDN w:val="0"/>
              <w:bidi w:val="0"/>
              <w:spacing w:line="360" w:lineRule="atLeast"/>
              <w:ind w:firstLine="327" w:firstLineChars="156"/>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至</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月</w:t>
            </w:r>
          </w:p>
        </w:tc>
        <w:tc>
          <w:tcPr>
            <w:tcW w:w="1777" w:type="dxa"/>
            <w:vMerge w:val="continue"/>
            <w:tcBorders>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bl>
    <w:p>
      <w:pPr>
        <w:pStyle w:val="2"/>
        <w:pageBreakBefore w:val="0"/>
        <w:kinsoku/>
        <w:wordWrap w:val="0"/>
        <w:overflowPunct/>
        <w:bidi w:val="0"/>
        <w:spacing w:before="360" w:beforeLines="150" w:after="240" w:afterLines="100" w:line="380" w:lineRule="atLeast"/>
        <w:jc w:val="center"/>
        <w:outlineLvl w:val="1"/>
        <w:rPr>
          <w:rFonts w:hint="default" w:ascii="Times New Roman" w:hAnsi="Times New Roman" w:eastAsia="黑体" w:cs="Times New Roman"/>
          <w:b w:val="0"/>
          <w:color w:val="auto"/>
          <w:sz w:val="30"/>
          <w:szCs w:val="30"/>
          <w:highlight w:val="none"/>
        </w:rPr>
      </w:pPr>
      <w:r>
        <w:rPr>
          <w:rFonts w:hint="default" w:ascii="Times New Roman" w:hAnsi="Times New Roman" w:eastAsia="黑体" w:cs="Times New Roman"/>
          <w:color w:val="auto"/>
          <w:sz w:val="27"/>
          <w:szCs w:val="27"/>
          <w:highlight w:val="none"/>
        </w:rPr>
        <w:br w:type="page"/>
      </w:r>
      <w:bookmarkStart w:id="2525" w:name="_Toc7760"/>
      <w:bookmarkStart w:id="2526" w:name="_Toc644"/>
      <w:bookmarkStart w:id="2527" w:name="_Toc14910"/>
      <w:bookmarkStart w:id="2528" w:name="_Toc23747879"/>
      <w:r>
        <w:rPr>
          <w:rFonts w:hint="default" w:ascii="Times New Roman" w:hAnsi="Times New Roman" w:eastAsia="黑体" w:cs="Times New Roman"/>
          <w:b w:val="0"/>
          <w:color w:val="auto"/>
          <w:sz w:val="30"/>
          <w:szCs w:val="30"/>
          <w:highlight w:val="none"/>
        </w:rPr>
        <w:t>六、承包人实施计划</w:t>
      </w:r>
      <w:bookmarkEnd w:id="2525"/>
      <w:bookmarkEnd w:id="2526"/>
      <w:bookmarkEnd w:id="2527"/>
      <w:bookmarkEnd w:id="2528"/>
    </w:p>
    <w:p>
      <w:pPr>
        <w:pageBreakBefore w:val="0"/>
        <w:kinsoku/>
        <w:wordWrap w:val="0"/>
        <w:overflowPunct/>
        <w:bidi w:val="0"/>
        <w:spacing w:line="360" w:lineRule="auto"/>
        <w:rPr>
          <w:rFonts w:hint="default" w:ascii="Times New Roman" w:hAnsi="Times New Roman" w:eastAsia="黑体" w:cs="Times New Roman"/>
          <w:color w:val="auto"/>
          <w:szCs w:val="21"/>
          <w:highlight w:val="none"/>
        </w:rPr>
      </w:pPr>
    </w:p>
    <w:p>
      <w:pPr>
        <w:pageBreakBefore w:val="0"/>
        <w:kinsoku/>
        <w:wordWrap w:val="0"/>
        <w:overflowPunct/>
        <w:bidi w:val="0"/>
        <w:spacing w:line="360" w:lineRule="auto"/>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(一)概述</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项目简要介绍。</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项目范围。</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项目特点。</w:t>
      </w:r>
    </w:p>
    <w:p>
      <w:pPr>
        <w:pageBreakBefore w:val="0"/>
        <w:kinsoku/>
        <w:wordWrap w:val="0"/>
        <w:overflowPunct/>
        <w:bidi w:val="0"/>
        <w:spacing w:line="360" w:lineRule="auto"/>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(二)总体实施方案</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项目目标(质量、工期、造价)。</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项目实施组织形式。</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项目阶段划分、项目实施与设计施工进度计划。</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项目工作分解结构。</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对项目各阶段工作及文件的要求。</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项目分包和采购计划。</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 项目沟通与协调程序。</w:t>
      </w:r>
    </w:p>
    <w:p>
      <w:pPr>
        <w:pageBreakBefore w:val="0"/>
        <w:kinsoku/>
        <w:wordWrap w:val="0"/>
        <w:overflowPunct/>
        <w:bidi w:val="0"/>
        <w:spacing w:line="360" w:lineRule="auto"/>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(三)项目实施要点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勘察设计实施要点。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采购实施要点。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施工实施要点。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试运行实施要点。</w:t>
      </w:r>
    </w:p>
    <w:p>
      <w:pPr>
        <w:pageBreakBefore w:val="0"/>
        <w:kinsoku/>
        <w:wordWrap w:val="0"/>
        <w:overflowPunct/>
        <w:bidi w:val="0"/>
        <w:spacing w:line="360" w:lineRule="auto"/>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(四)项目管理要点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合同管理要点。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资源管理要点。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质量控制要点。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进度控制要点。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费用估算及控制要点。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安全管理要点。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 职业健康管理要点。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8．环境管理要点。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 沟通和协调管理要点。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 财务管理要点。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 风险管理要点。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 文件及信息管理要点。</w:t>
      </w:r>
    </w:p>
    <w:p>
      <w:pPr>
        <w:pageBreakBefore w:val="0"/>
        <w:kinsoku/>
        <w:wordWrap w:val="0"/>
        <w:overflowPunct/>
        <w:autoSpaceDE/>
        <w:autoSpaceDN/>
        <w:bidi w:val="0"/>
        <w:spacing w:line="360"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 报告制度。</w:t>
      </w:r>
    </w:p>
    <w:p>
      <w:pPr>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rPr>
          <w:rFonts w:hint="default" w:ascii="Times New Roman" w:hAnsi="Times New Roman" w:cs="Times New Roman"/>
          <w:color w:val="auto"/>
          <w:highlight w:val="none"/>
        </w:rPr>
      </w:pPr>
    </w:p>
    <w:p>
      <w:pPr>
        <w:pageBreakBefore w:val="0"/>
        <w:kinsoku/>
        <w:wordWrap w:val="0"/>
        <w:overflowPunct/>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说明：发包人认为上述内容应列入承包人建议书的，应在</w:t>
      </w:r>
      <w:r>
        <w:rPr>
          <w:rFonts w:hint="eastAsia" w:ascii="宋体" w:hAnsi="宋体" w:eastAsia="宋体" w:cs="宋体"/>
          <w:color w:val="auto"/>
          <w:highlight w:val="none"/>
        </w:rPr>
        <w:t>“</w:t>
      </w:r>
      <w:r>
        <w:rPr>
          <w:rFonts w:hint="default" w:ascii="Times New Roman" w:hAnsi="Times New Roman" w:cs="Times New Roman"/>
          <w:color w:val="auto"/>
          <w:highlight w:val="none"/>
        </w:rPr>
        <w:t>投标文件格式</w:t>
      </w:r>
      <w:r>
        <w:rPr>
          <w:rFonts w:hint="eastAsia" w:ascii="宋体" w:hAnsi="宋体" w:eastAsia="宋体" w:cs="宋体"/>
          <w:color w:val="auto"/>
          <w:highlight w:val="none"/>
        </w:rPr>
        <w:t>”</w:t>
      </w:r>
      <w:r>
        <w:rPr>
          <w:rFonts w:hint="default" w:ascii="Times New Roman" w:hAnsi="Times New Roman" w:cs="Times New Roman"/>
          <w:color w:val="auto"/>
          <w:highlight w:val="none"/>
        </w:rPr>
        <w:t>中</w:t>
      </w:r>
      <w:r>
        <w:rPr>
          <w:rFonts w:hint="eastAsia" w:ascii="宋体" w:hAnsi="宋体" w:eastAsia="宋体" w:cs="宋体"/>
          <w:color w:val="auto"/>
          <w:highlight w:val="none"/>
        </w:rPr>
        <w:t>“</w:t>
      </w:r>
      <w:r>
        <w:rPr>
          <w:rFonts w:hint="default" w:ascii="Times New Roman" w:hAnsi="Times New Roman" w:cs="Times New Roman"/>
          <w:color w:val="auto"/>
          <w:highlight w:val="none"/>
        </w:rPr>
        <w:t>承包人建议书</w:t>
      </w:r>
      <w:r>
        <w:rPr>
          <w:rFonts w:hint="eastAsia" w:ascii="宋体" w:hAnsi="宋体" w:eastAsia="宋体" w:cs="宋体"/>
          <w:color w:val="auto"/>
          <w:highlight w:val="none"/>
        </w:rPr>
        <w:t>”</w:t>
      </w:r>
      <w:r>
        <w:rPr>
          <w:rFonts w:hint="default" w:ascii="Times New Roman" w:hAnsi="Times New Roman" w:cs="Times New Roman"/>
          <w:color w:val="auto"/>
          <w:highlight w:val="none"/>
        </w:rPr>
        <w:t>中载明。</w:t>
      </w:r>
    </w:p>
    <w:p>
      <w:pPr>
        <w:keepNext/>
        <w:keepLines/>
        <w:pageBreakBefore w:val="0"/>
        <w:widowControl w:val="0"/>
        <w:kinsoku/>
        <w:wordWrap w:val="0"/>
        <w:overflowPunct/>
        <w:topLinePunct w:val="0"/>
        <w:autoSpaceDE/>
        <w:autoSpaceDN/>
        <w:bidi w:val="0"/>
        <w:adjustRightInd/>
        <w:snapToGrid/>
        <w:spacing w:before="0" w:after="0" w:line="380" w:lineRule="atLeast"/>
        <w:textAlignment w:val="auto"/>
        <w:outlineLvl w:val="9"/>
        <w:rPr>
          <w:rFonts w:hint="default" w:ascii="Times New Roman" w:hAnsi="Times New Roman" w:eastAsia="黑体" w:cs="Times New Roman"/>
          <w:color w:val="auto"/>
          <w:sz w:val="20"/>
          <w:szCs w:val="20"/>
          <w:highlight w:val="none"/>
          <w:lang w:val="en-US"/>
        </w:rPr>
      </w:pPr>
    </w:p>
    <w:p>
      <w:pPr>
        <w:pStyle w:val="2"/>
        <w:pageBreakBefore w:val="0"/>
        <w:kinsoku/>
        <w:wordWrap w:val="0"/>
        <w:overflowPunct/>
        <w:bidi w:val="0"/>
        <w:spacing w:before="0" w:after="0" w:line="380" w:lineRule="atLeast"/>
        <w:jc w:val="center"/>
        <w:outlineLvl w:val="1"/>
        <w:rPr>
          <w:rFonts w:hint="default" w:ascii="Times New Roman" w:hAnsi="Times New Roman" w:eastAsia="黑体" w:cs="Times New Roman"/>
          <w:b w:val="0"/>
          <w:color w:val="auto"/>
          <w:sz w:val="28"/>
          <w:szCs w:val="28"/>
          <w:highlight w:val="none"/>
        </w:rPr>
      </w:pPr>
      <w:bookmarkStart w:id="2529" w:name="_Toc234833276"/>
      <w:r>
        <w:rPr>
          <w:rFonts w:hint="default" w:ascii="Times New Roman" w:hAnsi="Times New Roman" w:eastAsia="黑体" w:cs="Times New Roman"/>
          <w:b w:val="0"/>
          <w:color w:val="auto"/>
          <w:sz w:val="28"/>
          <w:szCs w:val="28"/>
          <w:highlight w:val="none"/>
        </w:rPr>
        <w:br w:type="page"/>
      </w:r>
      <w:bookmarkStart w:id="2530" w:name="_Toc23140"/>
      <w:bookmarkStart w:id="2531" w:name="_Toc23747880"/>
      <w:bookmarkStart w:id="2532" w:name="_Toc3517"/>
      <w:bookmarkStart w:id="2533" w:name="_Toc501257497"/>
      <w:bookmarkStart w:id="2534" w:name="_Toc4091"/>
      <w:r>
        <w:rPr>
          <w:rFonts w:hint="default" w:ascii="Times New Roman" w:hAnsi="Times New Roman" w:eastAsia="黑体" w:cs="Times New Roman"/>
          <w:b w:val="0"/>
          <w:color w:val="auto"/>
          <w:sz w:val="28"/>
          <w:szCs w:val="28"/>
          <w:highlight w:val="none"/>
        </w:rPr>
        <w:t>七、拟分包项目情况表</w:t>
      </w:r>
      <w:bookmarkEnd w:id="2529"/>
      <w:bookmarkEnd w:id="2530"/>
      <w:bookmarkEnd w:id="2531"/>
      <w:bookmarkEnd w:id="2532"/>
      <w:bookmarkEnd w:id="2533"/>
      <w:bookmarkEnd w:id="2534"/>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9"/>
        <w:gridCol w:w="2456"/>
        <w:gridCol w:w="1864"/>
        <w:gridCol w:w="2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拟分包的工程项目</w:t>
            </w: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主要工程内容</w:t>
            </w: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预计造价（万元）</w:t>
            </w:r>
          </w:p>
        </w:tc>
        <w:tc>
          <w:tcPr>
            <w:tcW w:w="1452"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restart"/>
            <w:vAlign w:val="center"/>
          </w:tcPr>
          <w:p>
            <w:pPr>
              <w:pageBreakBefore w:val="0"/>
              <w:kinsoku/>
              <w:wordWrap w:val="0"/>
              <w:overflowPunct/>
              <w:bidi w:val="0"/>
              <w:spacing w:line="440" w:lineRule="exac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注：若无分包计划，则投标人应在本表填写</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无</w:t>
            </w:r>
            <w:r>
              <w:rPr>
                <w:rFonts w:hint="eastAsia" w:ascii="宋体" w:hAnsi="宋体" w:eastAsia="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119"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381"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500" w:type="pct"/>
            <w:gridSpan w:val="2"/>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拟分包工程造价合计（万元）</w:t>
            </w:r>
          </w:p>
        </w:tc>
        <w:tc>
          <w:tcPr>
            <w:tcW w:w="1048" w:type="pct"/>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c>
          <w:tcPr>
            <w:tcW w:w="145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tc>
      </w:tr>
    </w:tbl>
    <w:p>
      <w:pPr>
        <w:pStyle w:val="2"/>
        <w:pageBreakBefore w:val="0"/>
        <w:kinsoku/>
        <w:wordWrap w:val="0"/>
        <w:overflowPunct/>
        <w:bidi w:val="0"/>
        <w:spacing w:before="0" w:after="0" w:line="380" w:lineRule="atLeast"/>
        <w:jc w:val="center"/>
        <w:outlineLvl w:val="1"/>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7"/>
          <w:szCs w:val="27"/>
          <w:highlight w:val="none"/>
        </w:rPr>
        <w:br w:type="page"/>
      </w:r>
      <w:bookmarkStart w:id="2535" w:name="_Toc234833278"/>
      <w:bookmarkStart w:id="2536" w:name="_Toc501257499"/>
      <w:bookmarkStart w:id="2537" w:name="_Toc29433"/>
      <w:bookmarkStart w:id="2538" w:name="_Toc22969"/>
      <w:bookmarkStart w:id="2539" w:name="_Toc5193"/>
      <w:bookmarkStart w:id="2540" w:name="_Toc23747882"/>
      <w:r>
        <w:rPr>
          <w:rFonts w:hint="default" w:ascii="Times New Roman" w:hAnsi="Times New Roman" w:eastAsia="黑体" w:cs="Times New Roman"/>
          <w:b w:val="0"/>
          <w:color w:val="auto"/>
          <w:sz w:val="28"/>
          <w:szCs w:val="28"/>
          <w:highlight w:val="none"/>
        </w:rPr>
        <w:t>八、资格审查资料</w:t>
      </w:r>
      <w:bookmarkEnd w:id="2535"/>
      <w:bookmarkEnd w:id="2536"/>
      <w:bookmarkEnd w:id="2537"/>
      <w:bookmarkEnd w:id="2538"/>
      <w:bookmarkEnd w:id="2539"/>
      <w:bookmarkEnd w:id="2540"/>
    </w:p>
    <w:p>
      <w:pPr>
        <w:pageBreakBefore w:val="0"/>
        <w:kinsoku/>
        <w:wordWrap w:val="0"/>
        <w:overflowPunct/>
        <w:bidi w:val="0"/>
        <w:rPr>
          <w:rFonts w:hint="default" w:ascii="Times New Roman" w:hAnsi="Times New Roman" w:cs="Times New Roman"/>
          <w:b/>
          <w:color w:val="auto"/>
          <w:highlight w:val="none"/>
        </w:rPr>
      </w:pPr>
    </w:p>
    <w:p>
      <w:pPr>
        <w:keepNext/>
        <w:keepLines/>
        <w:pageBreakBefore w:val="0"/>
        <w:widowControl w:val="0"/>
        <w:numPr>
          <w:ilvl w:val="0"/>
          <w:numId w:val="9"/>
        </w:numPr>
        <w:kinsoku/>
        <w:wordWrap w:val="0"/>
        <w:overflowPunct/>
        <w:topLinePunct w:val="0"/>
        <w:autoSpaceDE/>
        <w:autoSpaceDN/>
        <w:bidi w:val="0"/>
        <w:adjustRightInd/>
        <w:snapToGrid/>
        <w:spacing w:before="0" w:after="0" w:line="380" w:lineRule="atLeast"/>
        <w:jc w:val="center"/>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投标人基本情况表</w:t>
      </w:r>
    </w:p>
    <w:p>
      <w:pPr>
        <w:pageBreakBefore w:val="0"/>
        <w:kinsoku/>
        <w:wordWrap w:val="0"/>
        <w:overflowPunct/>
        <w:bidi w:val="0"/>
        <w:rPr>
          <w:rFonts w:hint="default" w:ascii="Times New Roman" w:hAnsi="Times New Roman" w:cs="Times New Roman"/>
          <w:b/>
          <w:color w:val="auto"/>
          <w:highlight w:val="none"/>
        </w:rPr>
      </w:pPr>
    </w:p>
    <w:p>
      <w:pPr>
        <w:pageBreakBefore w:val="0"/>
        <w:kinsoku/>
        <w:wordWrap w:val="0"/>
        <w:overflowPunct/>
        <w:bidi w:val="0"/>
        <w:jc w:val="center"/>
        <w:rPr>
          <w:rFonts w:hint="default" w:ascii="Times New Roman" w:hAnsi="Times New Roman" w:cs="Times New Roman"/>
          <w:b/>
          <w:color w:val="auto"/>
          <w:highlight w:val="none"/>
        </w:rPr>
      </w:pPr>
      <w:r>
        <w:rPr>
          <w:rFonts w:hint="default" w:ascii="Times New Roman" w:hAnsi="Times New Roman" w:cs="Times New Roman"/>
          <w:b/>
          <w:bCs/>
          <w:color w:val="auto"/>
          <w:highlight w:val="none"/>
          <w:lang w:val="zh-CN"/>
        </w:rPr>
        <w:t>1-1 勘察设计单位</w:t>
      </w:r>
    </w:p>
    <w:tbl>
      <w:tblPr>
        <w:tblStyle w:val="37"/>
        <w:tblW w:w="88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6"/>
        <w:gridCol w:w="898"/>
        <w:gridCol w:w="1026"/>
        <w:gridCol w:w="1287"/>
        <w:gridCol w:w="414"/>
        <w:gridCol w:w="873"/>
        <w:gridCol w:w="828"/>
        <w:gridCol w:w="284"/>
        <w:gridCol w:w="12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投标人名称</w:t>
            </w:r>
          </w:p>
        </w:tc>
        <w:tc>
          <w:tcPr>
            <w:tcW w:w="6840" w:type="dxa"/>
            <w:gridSpan w:val="8"/>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注册地址</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邮政编码</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restar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联系方式</w:t>
            </w:r>
          </w:p>
        </w:tc>
        <w:tc>
          <w:tcPr>
            <w:tcW w:w="898"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联系人</w:t>
            </w:r>
          </w:p>
        </w:tc>
        <w:tc>
          <w:tcPr>
            <w:tcW w:w="2313"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电 话</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continue"/>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jc w:val="center"/>
              <w:rPr>
                <w:rFonts w:hint="default" w:ascii="Times New Roman" w:hAnsi="Times New Roman" w:cs="Times New Roman"/>
                <w:color w:val="auto"/>
                <w:highlight w:val="none"/>
              </w:rPr>
            </w:pPr>
          </w:p>
        </w:tc>
        <w:tc>
          <w:tcPr>
            <w:tcW w:w="898"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传  真</w:t>
            </w:r>
          </w:p>
        </w:tc>
        <w:tc>
          <w:tcPr>
            <w:tcW w:w="2313"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电子邮件</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法定代表人</w:t>
            </w:r>
          </w:p>
        </w:tc>
        <w:tc>
          <w:tcPr>
            <w:tcW w:w="898"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姓名</w:t>
            </w:r>
          </w:p>
        </w:tc>
        <w:tc>
          <w:tcPr>
            <w:tcW w:w="102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112"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电话</w:t>
            </w:r>
          </w:p>
        </w:tc>
        <w:tc>
          <w:tcPr>
            <w:tcW w:w="123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技术负责人</w:t>
            </w:r>
          </w:p>
        </w:tc>
        <w:tc>
          <w:tcPr>
            <w:tcW w:w="898"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姓名</w:t>
            </w:r>
          </w:p>
        </w:tc>
        <w:tc>
          <w:tcPr>
            <w:tcW w:w="102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1112"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电话</w:t>
            </w:r>
          </w:p>
        </w:tc>
        <w:tc>
          <w:tcPr>
            <w:tcW w:w="123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企业勘察资质证书</w:t>
            </w:r>
          </w:p>
        </w:tc>
        <w:tc>
          <w:tcPr>
            <w:tcW w:w="6840" w:type="dxa"/>
            <w:gridSpan w:val="8"/>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ind w:firstLine="105" w:firstLine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类型：                    等级：      证书号：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企业</w:t>
            </w:r>
            <w:r>
              <w:rPr>
                <w:rFonts w:hint="default" w:ascii="Times New Roman" w:hAnsi="Times New Roman" w:cs="Times New Roman"/>
                <w:color w:val="auto"/>
                <w:szCs w:val="21"/>
                <w:highlight w:val="none"/>
              </w:rPr>
              <w:t>设计</w:t>
            </w:r>
            <w:r>
              <w:rPr>
                <w:rFonts w:hint="default" w:ascii="Times New Roman" w:hAnsi="Times New Roman" w:cs="Times New Roman"/>
                <w:color w:val="auto"/>
                <w:highlight w:val="none"/>
              </w:rPr>
              <w:t>资质证书</w:t>
            </w:r>
          </w:p>
        </w:tc>
        <w:tc>
          <w:tcPr>
            <w:tcW w:w="6840" w:type="dxa"/>
            <w:gridSpan w:val="8"/>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ind w:firstLine="105" w:firstLine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类型：                    等级：      证书号：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营业执照号</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3629" w:type="dxa"/>
            <w:gridSpan w:val="5"/>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注册资本</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414" w:type="dxa"/>
            <w:vMerge w:val="restart"/>
            <w:tcBorders>
              <w:top w:val="single" w:color="auto" w:sz="4" w:space="0"/>
              <w:left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其中</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高级职称人员</w:t>
            </w:r>
          </w:p>
        </w:tc>
        <w:tc>
          <w:tcPr>
            <w:tcW w:w="1514"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成立日期</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414" w:type="dxa"/>
            <w:vMerge w:val="continue"/>
            <w:tcBorders>
              <w:left w:val="single" w:color="auto" w:sz="4" w:space="0"/>
              <w:right w:val="single" w:color="auto" w:sz="4" w:space="0"/>
            </w:tcBorders>
            <w:vAlign w:val="center"/>
          </w:tcPr>
          <w:p>
            <w:pPr>
              <w:pageBreakBefore w:val="0"/>
              <w:kinsoku/>
              <w:wordWrap w:val="0"/>
              <w:overflowPunct/>
              <w:bidi w:val="0"/>
              <w:jc w:val="center"/>
              <w:rPr>
                <w:rFonts w:hint="default" w:ascii="Times New Roman" w:hAnsi="Times New Roman" w:cs="Times New Roman"/>
                <w:color w:val="auto"/>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中级职称人员</w:t>
            </w:r>
          </w:p>
        </w:tc>
        <w:tc>
          <w:tcPr>
            <w:tcW w:w="1514"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基本账户开户银行</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414" w:type="dxa"/>
            <w:vMerge w:val="continue"/>
            <w:tcBorders>
              <w:left w:val="single" w:color="auto" w:sz="4" w:space="0"/>
              <w:right w:val="single" w:color="auto" w:sz="4" w:space="0"/>
            </w:tcBorders>
            <w:vAlign w:val="center"/>
          </w:tcPr>
          <w:p>
            <w:pPr>
              <w:pageBreakBefore w:val="0"/>
              <w:kinsoku/>
              <w:wordWrap w:val="0"/>
              <w:overflowPunct/>
              <w:bidi w:val="0"/>
              <w:jc w:val="center"/>
              <w:rPr>
                <w:rFonts w:hint="default" w:ascii="Times New Roman" w:hAnsi="Times New Roman" w:cs="Times New Roman"/>
                <w:color w:val="auto"/>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技术人员数量</w:t>
            </w:r>
          </w:p>
        </w:tc>
        <w:tc>
          <w:tcPr>
            <w:tcW w:w="1514"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基本账户银行账号</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c>
          <w:tcPr>
            <w:tcW w:w="414" w:type="dxa"/>
            <w:vMerge w:val="continue"/>
            <w:tcBorders>
              <w:left w:val="single" w:color="auto" w:sz="4" w:space="0"/>
              <w:right w:val="single" w:color="auto" w:sz="4" w:space="0"/>
            </w:tcBorders>
            <w:vAlign w:val="center"/>
          </w:tcPr>
          <w:p>
            <w:pPr>
              <w:pageBreakBefore w:val="0"/>
              <w:kinsoku/>
              <w:wordWrap w:val="0"/>
              <w:overflowPunct/>
              <w:bidi w:val="0"/>
              <w:jc w:val="center"/>
              <w:rPr>
                <w:rFonts w:hint="default" w:ascii="Times New Roman" w:hAnsi="Times New Roman" w:cs="Times New Roman"/>
                <w:color w:val="auto"/>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各类注册人员</w:t>
            </w:r>
          </w:p>
        </w:tc>
        <w:tc>
          <w:tcPr>
            <w:tcW w:w="1514"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ind w:firstLine="210" w:firstLineChars="10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经营范围</w:t>
            </w:r>
          </w:p>
        </w:tc>
        <w:tc>
          <w:tcPr>
            <w:tcW w:w="6840" w:type="dxa"/>
            <w:gridSpan w:val="8"/>
            <w:tcBorders>
              <w:top w:val="single" w:color="auto" w:sz="4" w:space="0"/>
              <w:left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投标人关联企业情况</w:t>
            </w:r>
          </w:p>
        </w:tc>
        <w:tc>
          <w:tcPr>
            <w:tcW w:w="6840" w:type="dxa"/>
            <w:gridSpan w:val="8"/>
            <w:tcBorders>
              <w:top w:val="single" w:color="auto" w:sz="4" w:space="0"/>
              <w:left w:val="single" w:color="auto" w:sz="4" w:space="0"/>
              <w:right w:val="single" w:color="auto" w:sz="4" w:space="0"/>
            </w:tcBorders>
            <w:vAlign w:val="center"/>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投标人应提供关联企业情况，包括：</w:t>
            </w: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（1）投标人的所有股东名称及相应股权（出资额）比例；如投标人为上市公司，投标人应提供股权占公司股份总数</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%以上的所有股东名称及相应股权比例；</w:t>
            </w: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（2）投标人投资（控股）或管理的下属企业名称、持有股权（出资额）比例；</w:t>
            </w: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（3）与投标人</w:t>
            </w:r>
            <w:r>
              <w:rPr>
                <w:rFonts w:hint="default" w:ascii="Times New Roman" w:hAnsi="Times New Roman" w:cs="Times New Roman"/>
                <w:color w:val="auto"/>
                <w:highlight w:val="none"/>
              </w:rPr>
              <w:t>单位负责人（即法定代表人）为同一人的其他单位名称</w:t>
            </w:r>
          </w:p>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before="100" w:beforeAutospacing="1" w:after="100" w:afterAutospacing="1"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c>
          <w:tcPr>
            <w:tcW w:w="6840" w:type="dxa"/>
            <w:gridSpan w:val="8"/>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highlight w:val="none"/>
              </w:rPr>
            </w:pPr>
          </w:p>
        </w:tc>
      </w:tr>
    </w:tbl>
    <w:p>
      <w:pPr>
        <w:pageBreakBefore w:val="0"/>
        <w:widowControl/>
        <w:kinsoku/>
        <w:wordWrap w:val="0"/>
        <w:overflowPunct/>
        <w:autoSpaceDE w:val="0"/>
        <w:autoSpaceDN w:val="0"/>
        <w:bidi w:val="0"/>
        <w:spacing w:line="400" w:lineRule="atLeast"/>
        <w:ind w:left="630" w:hanging="630" w:hangingChars="300"/>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第3.5.1项的要求在本表后附相关证明材料。</w:t>
      </w:r>
    </w:p>
    <w:p>
      <w:pPr>
        <w:pageBreakBefore w:val="0"/>
        <w:kinsoku/>
        <w:wordWrap w:val="0"/>
        <w:overflowPunct/>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2.以联合体形式参与投标的，联合体各成员应分别填写。</w:t>
      </w:r>
    </w:p>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p>
      <w:pPr>
        <w:pageBreakBefore w:val="0"/>
        <w:widowControl/>
        <w:kinsoku/>
        <w:wordWrap w:val="0"/>
        <w:overflowPunct/>
        <w:bidi w:val="0"/>
        <w:jc w:val="left"/>
        <w:rPr>
          <w:rFonts w:hint="default" w:ascii="Times New Roman" w:hAnsi="Times New Roman" w:eastAsia="黑体" w:cs="Times New Roman"/>
          <w:bCs/>
          <w:color w:val="auto"/>
          <w:kern w:val="44"/>
          <w:sz w:val="28"/>
          <w:szCs w:val="28"/>
          <w:highlight w:val="none"/>
        </w:rPr>
      </w:pPr>
      <w:r>
        <w:rPr>
          <w:rFonts w:hint="default" w:ascii="Times New Roman" w:hAnsi="Times New Roman" w:eastAsia="黑体" w:cs="Times New Roman"/>
          <w:b/>
          <w:color w:val="auto"/>
          <w:sz w:val="28"/>
          <w:szCs w:val="28"/>
          <w:highlight w:val="none"/>
        </w:rPr>
        <w:br w:type="page"/>
      </w:r>
    </w:p>
    <w:p>
      <w:pPr>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outlineLvl w:val="9"/>
        <w:rPr>
          <w:rFonts w:hint="default" w:ascii="Times New Roman" w:hAnsi="Times New Roman" w:eastAsia="黑体" w:cs="Times New Roman"/>
          <w:b w:val="0"/>
          <w:color w:val="auto"/>
          <w:sz w:val="28"/>
          <w:szCs w:val="28"/>
          <w:highlight w:val="none"/>
          <w:lang w:val="en-US"/>
        </w:rPr>
      </w:pPr>
    </w:p>
    <w:p>
      <w:pPr>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outlineLvl w:val="9"/>
        <w:rPr>
          <w:rFonts w:hint="default" w:ascii="Times New Roman" w:hAnsi="Times New Roman" w:eastAsia="黑体" w:cs="Times New Roman"/>
          <w:b w:val="0"/>
          <w:color w:val="auto"/>
          <w:sz w:val="24"/>
          <w:szCs w:val="24"/>
          <w:highlight w:val="none"/>
        </w:rPr>
      </w:pPr>
      <w:bookmarkStart w:id="2541" w:name="_Toc23747883"/>
      <w:bookmarkStart w:id="2542" w:name="_Toc501257500"/>
      <w:bookmarkStart w:id="2543" w:name="_Toc234833279"/>
      <w:r>
        <w:rPr>
          <w:rFonts w:hint="default" w:ascii="Times New Roman" w:hAnsi="Times New Roman" w:eastAsia="黑体" w:cs="Times New Roman"/>
          <w:b w:val="0"/>
          <w:color w:val="auto"/>
          <w:sz w:val="24"/>
          <w:szCs w:val="24"/>
          <w:highlight w:val="none"/>
        </w:rPr>
        <w:t>（一）投标人基本情况表</w:t>
      </w:r>
      <w:bookmarkEnd w:id="2541"/>
      <w:bookmarkEnd w:id="2542"/>
      <w:bookmarkEnd w:id="2543"/>
    </w:p>
    <w:p>
      <w:pPr>
        <w:pageBreakBefore w:val="0"/>
        <w:kinsoku/>
        <w:wordWrap w:val="0"/>
        <w:overflowPunct/>
        <w:bidi w:val="0"/>
        <w:rPr>
          <w:rFonts w:hint="default" w:ascii="Times New Roman" w:hAnsi="Times New Roman" w:cs="Times New Roman"/>
          <w:color w:val="auto"/>
          <w:highlight w:val="none"/>
          <w:lang w:val="zh-CN"/>
        </w:rPr>
      </w:pPr>
    </w:p>
    <w:p>
      <w:pPr>
        <w:pageBreakBefore w:val="0"/>
        <w:kinsoku/>
        <w:wordWrap w:val="0"/>
        <w:overflowPunct/>
        <w:bidi w:val="0"/>
        <w:jc w:val="center"/>
        <w:rPr>
          <w:rFonts w:hint="default" w:ascii="Times New Roman" w:hAnsi="Times New Roman" w:cs="Times New Roman"/>
          <w:b/>
          <w:bCs/>
          <w:color w:val="auto"/>
          <w:highlight w:val="none"/>
          <w:lang w:val="zh-CN"/>
        </w:rPr>
      </w:pPr>
      <w:r>
        <w:rPr>
          <w:rFonts w:hint="default" w:ascii="Times New Roman" w:hAnsi="Times New Roman" w:cs="Times New Roman"/>
          <w:b/>
          <w:bCs/>
          <w:color w:val="auto"/>
          <w:highlight w:val="none"/>
          <w:lang w:val="zh-CN"/>
        </w:rPr>
        <w:t>1-2 施工单位</w:t>
      </w:r>
    </w:p>
    <w:p>
      <w:pPr>
        <w:pageBreakBefore w:val="0"/>
        <w:kinsoku/>
        <w:wordWrap w:val="0"/>
        <w:overflowPunct/>
        <w:bidi w:val="0"/>
        <w:rPr>
          <w:rFonts w:hint="default" w:ascii="Times New Roman" w:hAnsi="Times New Roman" w:cs="Times New Roman"/>
          <w:color w:val="auto"/>
          <w:highlight w:val="none"/>
        </w:rPr>
      </w:pPr>
    </w:p>
    <w:tbl>
      <w:tblPr>
        <w:tblStyle w:val="37"/>
        <w:tblW w:w="892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7"/>
        <w:gridCol w:w="900"/>
        <w:gridCol w:w="1080"/>
        <w:gridCol w:w="529"/>
        <w:gridCol w:w="731"/>
        <w:gridCol w:w="1078"/>
        <w:gridCol w:w="182"/>
        <w:gridCol w:w="901"/>
        <w:gridCol w:w="162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投标人名称</w:t>
            </w:r>
          </w:p>
        </w:tc>
        <w:tc>
          <w:tcPr>
            <w:tcW w:w="7021" w:type="dxa"/>
            <w:gridSpan w:val="8"/>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注册地址</w:t>
            </w:r>
          </w:p>
        </w:tc>
        <w:tc>
          <w:tcPr>
            <w:tcW w:w="3240" w:type="dxa"/>
            <w:gridSpan w:val="4"/>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邮政编码</w:t>
            </w:r>
          </w:p>
        </w:tc>
        <w:tc>
          <w:tcPr>
            <w:tcW w:w="2703"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vMerge w:val="restar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联系方式</w:t>
            </w:r>
          </w:p>
        </w:tc>
        <w:tc>
          <w:tcPr>
            <w:tcW w:w="9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联系人</w:t>
            </w:r>
          </w:p>
        </w:tc>
        <w:tc>
          <w:tcPr>
            <w:tcW w:w="2340"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 话</w:t>
            </w:r>
          </w:p>
        </w:tc>
        <w:tc>
          <w:tcPr>
            <w:tcW w:w="2703"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1907" w:type="dxa"/>
            <w:vMerge w:val="continue"/>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传  真</w:t>
            </w:r>
          </w:p>
        </w:tc>
        <w:tc>
          <w:tcPr>
            <w:tcW w:w="2340"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电子邮件</w:t>
            </w:r>
          </w:p>
        </w:tc>
        <w:tc>
          <w:tcPr>
            <w:tcW w:w="2703"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法定代表人</w:t>
            </w:r>
          </w:p>
        </w:tc>
        <w:tc>
          <w:tcPr>
            <w:tcW w:w="9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108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078"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电话</w:t>
            </w:r>
          </w:p>
        </w:tc>
        <w:tc>
          <w:tcPr>
            <w:tcW w:w="162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技术负责人</w:t>
            </w:r>
          </w:p>
        </w:tc>
        <w:tc>
          <w:tcPr>
            <w:tcW w:w="90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108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078"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电话</w:t>
            </w:r>
          </w:p>
        </w:tc>
        <w:tc>
          <w:tcPr>
            <w:tcW w:w="162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营业执照号</w:t>
            </w:r>
          </w:p>
        </w:tc>
        <w:tc>
          <w:tcPr>
            <w:tcW w:w="1980"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5041" w:type="dxa"/>
            <w:gridSpan w:val="6"/>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ind w:firstLine="105" w:firstLine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190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企业资质等级</w:t>
            </w:r>
          </w:p>
        </w:tc>
        <w:tc>
          <w:tcPr>
            <w:tcW w:w="1980"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529" w:type="dxa"/>
            <w:vMerge w:val="restart"/>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其中</w:t>
            </w:r>
          </w:p>
        </w:tc>
        <w:tc>
          <w:tcPr>
            <w:tcW w:w="199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项目经理</w:t>
            </w:r>
          </w:p>
        </w:tc>
        <w:tc>
          <w:tcPr>
            <w:tcW w:w="2521"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注册资本</w:t>
            </w:r>
          </w:p>
        </w:tc>
        <w:tc>
          <w:tcPr>
            <w:tcW w:w="1980"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高级职称人员</w:t>
            </w:r>
          </w:p>
        </w:tc>
        <w:tc>
          <w:tcPr>
            <w:tcW w:w="2521"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成立日期</w:t>
            </w:r>
          </w:p>
        </w:tc>
        <w:tc>
          <w:tcPr>
            <w:tcW w:w="1980"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中级职称人员</w:t>
            </w:r>
          </w:p>
        </w:tc>
        <w:tc>
          <w:tcPr>
            <w:tcW w:w="2521"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基本账户开户银行</w:t>
            </w:r>
          </w:p>
        </w:tc>
        <w:tc>
          <w:tcPr>
            <w:tcW w:w="1980"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初级职称人员</w:t>
            </w:r>
          </w:p>
        </w:tc>
        <w:tc>
          <w:tcPr>
            <w:tcW w:w="2521"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190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基本账户银行账号</w:t>
            </w:r>
          </w:p>
        </w:tc>
        <w:tc>
          <w:tcPr>
            <w:tcW w:w="1980"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vAlign w:val="center"/>
          </w:tcPr>
          <w:p>
            <w:pPr>
              <w:pStyle w:val="63"/>
              <w:pageBreakBefore w:val="0"/>
              <w:kinsoku/>
              <w:wordWrap w:val="0"/>
              <w:overflowPunct/>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技工</w:t>
            </w:r>
          </w:p>
        </w:tc>
        <w:tc>
          <w:tcPr>
            <w:tcW w:w="2521"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right w:val="single" w:color="auto" w:sz="4" w:space="0"/>
            </w:tcBorders>
            <w:vAlign w:val="center"/>
          </w:tcPr>
          <w:p>
            <w:pPr>
              <w:pageBreakBefore w:val="0"/>
              <w:kinsoku/>
              <w:wordWrap w:val="0"/>
              <w:overflowPunct/>
              <w:topLinePunct/>
              <w:bidi w:val="0"/>
              <w:spacing w:line="440" w:lineRule="exact"/>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经营范围</w:t>
            </w:r>
          </w:p>
        </w:tc>
        <w:tc>
          <w:tcPr>
            <w:tcW w:w="7021" w:type="dxa"/>
            <w:gridSpan w:val="8"/>
            <w:tcBorders>
              <w:top w:val="single" w:color="auto" w:sz="4" w:space="0"/>
              <w:left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p>
            <w:pPr>
              <w:pageBreakBefore w:val="0"/>
              <w:kinsoku/>
              <w:wordWrap w:val="0"/>
              <w:overflowPunct/>
              <w:topLinePunct/>
              <w:bidi w:val="0"/>
              <w:spacing w:line="44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投标人关联企业情况</w:t>
            </w:r>
          </w:p>
        </w:tc>
        <w:tc>
          <w:tcPr>
            <w:tcW w:w="7021" w:type="dxa"/>
            <w:gridSpan w:val="8"/>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投标人应提供关联企业情况，包括：</w:t>
            </w: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（1）投标人的所有股东名称及相应股权（出资额）比例；如投标人为上市公司，投标人应提供股权占公司股份总数</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%以上的所有股东名称及相应股权比例；</w:t>
            </w: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（2）投标人投资（控股）或管理的下属企业名称、持有股权（出资额）比例；</w:t>
            </w:r>
          </w:p>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（3）与投标人单位负责人（即法定代表人）为同一人的其他单位名称</w:t>
            </w:r>
          </w:p>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c>
          <w:tcPr>
            <w:tcW w:w="7021" w:type="dxa"/>
            <w:gridSpan w:val="8"/>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40" w:lineRule="exact"/>
              <w:jc w:val="center"/>
              <w:rPr>
                <w:rFonts w:hint="default" w:ascii="Times New Roman" w:hAnsi="Times New Roman" w:cs="Times New Roman"/>
                <w:color w:val="auto"/>
                <w:szCs w:val="21"/>
                <w:highlight w:val="none"/>
              </w:rPr>
            </w:pPr>
          </w:p>
        </w:tc>
      </w:tr>
    </w:tbl>
    <w:p>
      <w:pPr>
        <w:pageBreakBefore w:val="0"/>
        <w:widowControl/>
        <w:kinsoku/>
        <w:wordWrap w:val="0"/>
        <w:overflowPunct/>
        <w:autoSpaceDE w:val="0"/>
        <w:autoSpaceDN w:val="0"/>
        <w:bidi w:val="0"/>
        <w:spacing w:line="400" w:lineRule="atLeast"/>
        <w:ind w:left="630" w:hanging="630" w:hangingChars="300"/>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第3.5.1项的要求在本表后附相关证明材料。</w:t>
      </w:r>
    </w:p>
    <w:p>
      <w:pPr>
        <w:pageBreakBefore w:val="0"/>
        <w:kinsoku/>
        <w:wordWrap w:val="0"/>
        <w:overflowPunct/>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2.以联合体形式参与投标的，联合体各成员应分别填写。</w:t>
      </w:r>
    </w:p>
    <w:p>
      <w:pPr>
        <w:pageBreakBefore w:val="0"/>
        <w:widowControl/>
        <w:kinsoku/>
        <w:wordWrap w:val="0"/>
        <w:overflowPunct/>
        <w:bidi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br w:type="page"/>
      </w:r>
    </w:p>
    <w:p>
      <w:pPr>
        <w:pageBreakBefore w:val="0"/>
        <w:kinsoku/>
        <w:wordWrap w:val="0"/>
        <w:overflowPunct/>
        <w:bidi w:val="0"/>
        <w:spacing w:line="440" w:lineRule="exact"/>
        <w:jc w:val="center"/>
        <w:rPr>
          <w:rFonts w:hint="default" w:ascii="Times New Roman" w:hAnsi="Times New Roman" w:cs="Times New Roman"/>
          <w:color w:val="auto"/>
          <w:szCs w:val="21"/>
          <w:highlight w:val="none"/>
        </w:rPr>
      </w:pPr>
    </w:p>
    <w:p>
      <w:pPr>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outlineLvl w:val="9"/>
        <w:rPr>
          <w:rFonts w:hint="default" w:ascii="Times New Roman" w:hAnsi="Times New Roman" w:eastAsia="黑体" w:cs="Times New Roman"/>
          <w:b w:val="0"/>
          <w:color w:val="auto"/>
          <w:sz w:val="24"/>
          <w:szCs w:val="24"/>
          <w:highlight w:val="none"/>
        </w:rPr>
      </w:pPr>
      <w:bookmarkStart w:id="2544" w:name="_Toc23747884"/>
      <w:bookmarkStart w:id="2545" w:name="_Toc501257501"/>
      <w:bookmarkStart w:id="2546" w:name="_Toc234833280"/>
      <w:r>
        <w:rPr>
          <w:rFonts w:hint="default" w:ascii="Times New Roman" w:hAnsi="Times New Roman" w:eastAsia="黑体" w:cs="Times New Roman"/>
          <w:b w:val="0"/>
          <w:color w:val="auto"/>
          <w:sz w:val="24"/>
          <w:szCs w:val="24"/>
          <w:highlight w:val="none"/>
        </w:rPr>
        <w:t>（二）投标人企业组织机构框图</w:t>
      </w:r>
      <w:bookmarkEnd w:id="2544"/>
      <w:bookmarkEnd w:id="2545"/>
      <w:bookmarkEnd w:id="2546"/>
    </w:p>
    <w:p>
      <w:pPr>
        <w:pageBreakBefore w:val="0"/>
        <w:widowControl/>
        <w:kinsoku/>
        <w:wordWrap w:val="0"/>
        <w:overflowPunct/>
        <w:autoSpaceDE w:val="0"/>
        <w:autoSpaceDN w:val="0"/>
        <w:bidi w:val="0"/>
        <w:spacing w:line="400" w:lineRule="atLeast"/>
        <w:ind w:left="180"/>
        <w:jc w:val="center"/>
        <w:textAlignment w:val="bottom"/>
        <w:rPr>
          <w:rFonts w:hint="default" w:ascii="Times New Roman" w:hAnsi="Times New Roman" w:cs="Times New Roman"/>
          <w:color w:val="auto"/>
          <w:sz w:val="20"/>
          <w:szCs w:val="20"/>
          <w:highlight w:val="none"/>
        </w:rPr>
      </w:pPr>
    </w:p>
    <w:p>
      <w:pPr>
        <w:pageBreakBefore w:val="0"/>
        <w:widowControl/>
        <w:kinsoku/>
        <w:wordWrap w:val="0"/>
        <w:overflowPunct/>
        <w:autoSpaceDE w:val="0"/>
        <w:autoSpaceDN w:val="0"/>
        <w:bidi w:val="0"/>
        <w:spacing w:line="400" w:lineRule="atLeast"/>
        <w:ind w:left="180"/>
        <w:textAlignment w:val="bottom"/>
        <w:rPr>
          <w:rFonts w:hint="default" w:ascii="Times New Roman" w:hAnsi="Times New Roman" w:cs="Times New Roman"/>
          <w:color w:val="auto"/>
          <w:sz w:val="20"/>
          <w:szCs w:val="20"/>
          <w:highlight w:val="none"/>
        </w:rPr>
      </w:pPr>
    </w:p>
    <w:tbl>
      <w:tblPr>
        <w:tblStyle w:val="37"/>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89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24" w:hRule="atLeast"/>
        </w:trPr>
        <w:tc>
          <w:tcPr>
            <w:tcW w:w="5000" w:type="pct"/>
            <w:tcBorders>
              <w:bottom w:val="single" w:color="auto" w:sz="6" w:space="0"/>
            </w:tcBorders>
          </w:tcPr>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520" w:lineRule="atLeast"/>
              <w:ind w:left="266" w:right="174" w:rightChars="83" w:firstLine="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以框图方式表示。</w:t>
            </w: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right="174" w:rightChars="83" w:firstLine="4"/>
              <w:rPr>
                <w:rFonts w:hint="default" w:ascii="Times New Roman" w:hAnsi="Times New Roman" w:cs="Times New Roman"/>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2" w:hRule="atLeast"/>
        </w:trPr>
        <w:tc>
          <w:tcPr>
            <w:tcW w:w="5000" w:type="pct"/>
            <w:tcBorders>
              <w:bottom w:val="single" w:color="auto" w:sz="6" w:space="0"/>
            </w:tcBorders>
          </w:tcPr>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w:t>
            </w: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overflowPunct/>
              <w:bidi w:val="0"/>
              <w:spacing w:line="400" w:lineRule="atLeast"/>
              <w:ind w:left="266" w:right="174" w:rightChars="83" w:firstLine="4"/>
              <w:rPr>
                <w:rFonts w:hint="default" w:ascii="Times New Roman" w:hAnsi="Times New Roman" w:cs="Times New Roman"/>
                <w:color w:val="auto"/>
                <w:szCs w:val="21"/>
                <w:highlight w:val="none"/>
              </w:rPr>
            </w:pPr>
          </w:p>
        </w:tc>
      </w:tr>
    </w:tbl>
    <w:p>
      <w:pPr>
        <w:pageBreakBefore w:val="0"/>
        <w:widowControl/>
        <w:kinsoku/>
        <w:wordWrap w:val="0"/>
        <w:overflowPunct/>
        <w:autoSpaceDE w:val="0"/>
        <w:autoSpaceDN w:val="0"/>
        <w:bidi w:val="0"/>
        <w:spacing w:line="400" w:lineRule="atLeast"/>
        <w:ind w:left="630" w:hanging="630" w:hangingChars="300"/>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注：以联合体形式参与投标的，联合体各成员应分别填写。</w:t>
      </w:r>
    </w:p>
    <w:p>
      <w:pPr>
        <w:pageBreakBefore w:val="0"/>
        <w:widowControl/>
        <w:kinsoku/>
        <w:wordWrap w:val="0"/>
        <w:overflowPunct/>
        <w:autoSpaceDE w:val="0"/>
        <w:autoSpaceDN w:val="0"/>
        <w:bidi w:val="0"/>
        <w:spacing w:line="400" w:lineRule="atLeast"/>
        <w:ind w:left="180"/>
        <w:textAlignment w:val="bottom"/>
        <w:rPr>
          <w:rFonts w:hint="default" w:ascii="Times New Roman" w:hAnsi="Times New Roman" w:cs="Times New Roman"/>
          <w:color w:val="auto"/>
          <w:sz w:val="20"/>
          <w:szCs w:val="20"/>
          <w:highlight w:val="none"/>
        </w:rPr>
      </w:pPr>
    </w:p>
    <w:p>
      <w:pPr>
        <w:pageBreakBefore w:val="0"/>
        <w:kinsoku/>
        <w:wordWrap w:val="0"/>
        <w:overflowPunct/>
        <w:topLinePunct/>
        <w:bidi w:val="0"/>
        <w:spacing w:line="340" w:lineRule="atLeas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 xml:space="preserve"> </w:t>
      </w:r>
    </w:p>
    <w:p>
      <w:pPr>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2547" w:name="_Toc501257502"/>
      <w:bookmarkStart w:id="2548" w:name="_Toc234833282"/>
      <w:bookmarkStart w:id="2549" w:name="_Toc23747885"/>
      <w:bookmarkStart w:id="2550" w:name="_Toc234833281"/>
      <w:r>
        <w:rPr>
          <w:rFonts w:hint="default" w:ascii="Times New Roman" w:hAnsi="Times New Roman" w:eastAsia="黑体" w:cs="Times New Roman"/>
          <w:b w:val="0"/>
          <w:color w:val="auto"/>
          <w:sz w:val="24"/>
          <w:szCs w:val="24"/>
          <w:highlight w:val="none"/>
        </w:rPr>
        <w:t>（三）近年财务状况</w:t>
      </w:r>
      <w:bookmarkEnd w:id="2547"/>
      <w:bookmarkEnd w:id="2548"/>
      <w:bookmarkEnd w:id="2549"/>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widowControl/>
        <w:kinsoku/>
        <w:wordWrap w:val="0"/>
        <w:overflowPunct/>
        <w:autoSpaceDE w:val="0"/>
        <w:autoSpaceDN w:val="0"/>
        <w:bidi w:val="0"/>
        <w:spacing w:line="360" w:lineRule="atLeast"/>
        <w:ind w:left="180"/>
        <w:jc w:val="center"/>
        <w:textAlignment w:val="bottom"/>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财务状况表</w:t>
      </w:r>
    </w:p>
    <w:p>
      <w:pPr>
        <w:pageBreakBefore w:val="0"/>
        <w:kinsoku/>
        <w:wordWrap w:val="0"/>
        <w:overflowPunct/>
        <w:bidi w:val="0"/>
        <w:spacing w:line="320" w:lineRule="atLeast"/>
        <w:jc w:val="center"/>
        <w:rPr>
          <w:rFonts w:hint="default" w:ascii="Times New Roman" w:hAnsi="Times New Roman" w:eastAsia="黑体" w:cs="Times New Roman"/>
          <w:b/>
          <w:color w:val="auto"/>
          <w:sz w:val="28"/>
          <w:highlight w:val="none"/>
        </w:rPr>
      </w:pPr>
    </w:p>
    <w:tbl>
      <w:tblPr>
        <w:tblStyle w:val="37"/>
        <w:tblW w:w="8925" w:type="dxa"/>
        <w:tblInd w:w="-77" w:type="dxa"/>
        <w:tblLayout w:type="fixed"/>
        <w:tblCellMar>
          <w:top w:w="0" w:type="dxa"/>
          <w:left w:w="28" w:type="dxa"/>
          <w:bottom w:w="0" w:type="dxa"/>
          <w:right w:w="28" w:type="dxa"/>
        </w:tblCellMar>
      </w:tblPr>
      <w:tblGrid>
        <w:gridCol w:w="4065"/>
        <w:gridCol w:w="900"/>
        <w:gridCol w:w="1320"/>
        <w:gridCol w:w="1320"/>
        <w:gridCol w:w="1320"/>
      </w:tblGrid>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113"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项目或指标</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 注册资本</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二、 净资产</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三、 总资产</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四、 固定资产</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五、 流动资产</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六、 流动负债</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七、 负债合计</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八、 营业收入</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九、 净利润</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十、 现金流量净额</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840" w:hanging="714"/>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十一、 主要财务指标</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 净资产收益率</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 总资产报酬率</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 主营业务利润率</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 资产负债率</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 流动比率</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 速动比率</w:t>
            </w:r>
          </w:p>
        </w:tc>
        <w:tc>
          <w:tcPr>
            <w:tcW w:w="900" w:type="dxa"/>
            <w:tcBorders>
              <w:top w:val="single" w:color="auto" w:sz="6" w:space="0"/>
              <w:left w:val="single" w:color="auto" w:sz="6" w:space="0"/>
              <w:bottom w:val="single" w:color="auto" w:sz="6" w:space="0"/>
              <w:right w:val="single" w:color="auto" w:sz="6" w:space="0"/>
            </w:tcBorders>
            <w:vAlign w:val="center"/>
          </w:tcPr>
          <w:p>
            <w:pPr>
              <w:pageBreakBefore w:val="0"/>
              <w:widowControl/>
              <w:kinsoku/>
              <w:wordWrap w:val="0"/>
              <w:overflowPunct/>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tcPr>
          <w:p>
            <w:pPr>
              <w:pageBreakBefore w:val="0"/>
              <w:widowControl/>
              <w:kinsoku/>
              <w:wordWrap w:val="0"/>
              <w:overflowPunct/>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bl>
    <w:p>
      <w:pPr>
        <w:pageBreakBefore w:val="0"/>
        <w:kinsoku/>
        <w:wordWrap w:val="0"/>
        <w:overflowPunct/>
        <w:bidi w:val="0"/>
        <w:spacing w:line="400" w:lineRule="atLeast"/>
        <w:ind w:left="735" w:hanging="735" w:hangingChars="35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第3.5.2项的要求在本表后附相关证明材料。</w:t>
      </w:r>
    </w:p>
    <w:p>
      <w:pPr>
        <w:pageBreakBefore w:val="0"/>
        <w:kinsoku/>
        <w:wordWrap w:val="0"/>
        <w:overflowPunct/>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2.本表所列数据必须与本表各附件中的数据相一致。</w:t>
      </w:r>
    </w:p>
    <w:p>
      <w:pPr>
        <w:pageBreakBefore w:val="0"/>
        <w:kinsoku/>
        <w:wordWrap w:val="0"/>
        <w:overflowPunct/>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3.以联合体形式参与投标的，联合体各成员</w:t>
      </w:r>
      <w:r>
        <w:rPr>
          <w:rFonts w:hint="default" w:ascii="Times New Roman" w:hAnsi="Times New Roman" w:cs="Times New Roman"/>
          <w:color w:val="auto"/>
          <w:szCs w:val="21"/>
          <w:highlight w:val="none"/>
          <w:lang w:val="en-US" w:eastAsia="zh-CN"/>
        </w:rPr>
        <w:t>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lang w:val="en-US" w:eastAsia="zh-CN"/>
        </w:rPr>
        <w:t>前附表附录2要求及第三章</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评标办法</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详细评审要求（如有）</w:t>
      </w:r>
      <w:r>
        <w:rPr>
          <w:rFonts w:hint="default" w:ascii="Times New Roman" w:hAnsi="Times New Roman" w:cs="Times New Roman"/>
          <w:color w:val="auto"/>
          <w:szCs w:val="21"/>
          <w:highlight w:val="none"/>
        </w:rPr>
        <w:t>分别填写。</w:t>
      </w:r>
    </w:p>
    <w:p>
      <w:pPr>
        <w:pageBreakBefore w:val="0"/>
        <w:widowControl/>
        <w:kinsoku/>
        <w:wordWrap w:val="0"/>
        <w:overflowPunct/>
        <w:autoSpaceDE w:val="0"/>
        <w:autoSpaceDN w:val="0"/>
        <w:bidi w:val="0"/>
        <w:spacing w:line="360" w:lineRule="atLeast"/>
        <w:ind w:left="180"/>
        <w:jc w:val="center"/>
        <w:textAlignment w:val="bottom"/>
        <w:rPr>
          <w:rFonts w:hint="default" w:ascii="Times New Roman" w:hAnsi="Times New Roman" w:eastAsia="黑体" w:cs="Times New Roman"/>
          <w:color w:val="auto"/>
          <w:sz w:val="24"/>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4"/>
          <w:highlight w:val="none"/>
        </w:rPr>
        <w:t>银行信贷证明</w:t>
      </w:r>
      <w:r>
        <w:rPr>
          <w:rStyle w:val="45"/>
          <w:rFonts w:hint="default" w:ascii="Times New Roman" w:hAnsi="Times New Roman" w:eastAsia="黑体" w:cs="Times New Roman"/>
          <w:color w:val="auto"/>
          <w:sz w:val="24"/>
          <w:highlight w:val="none"/>
        </w:rPr>
        <w:footnoteReference w:id="88"/>
      </w:r>
    </w:p>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adjustRightInd w:val="0"/>
        <w:spacing w:line="52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银行名称：________________________________</w:t>
      </w:r>
    </w:p>
    <w:p>
      <w:pPr>
        <w:pageBreakBefore w:val="0"/>
        <w:kinsoku/>
        <w:wordWrap w:val="0"/>
        <w:overflowPunct/>
        <w:autoSpaceDE/>
        <w:autoSpaceDN/>
        <w:bidi w:val="0"/>
        <w:adjustRightInd w:val="0"/>
        <w:spacing w:line="52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址：________________________________</w:t>
      </w:r>
    </w:p>
    <w:p>
      <w:pPr>
        <w:pageBreakBefore w:val="0"/>
        <w:kinsoku/>
        <w:wordWrap w:val="0"/>
        <w:overflowPunct/>
        <w:autoSpaceDE/>
        <w:autoSpaceDN/>
        <w:bidi w:val="0"/>
        <w:adjustRightInd w:val="0"/>
        <w:spacing w:line="520" w:lineRule="atLeast"/>
        <w:jc w:val="righ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日期：_____________ </w:t>
      </w:r>
    </w:p>
    <w:p>
      <w:pPr>
        <w:pageBreakBefore w:val="0"/>
        <w:kinsoku/>
        <w:wordWrap w:val="0"/>
        <w:overflowPunct/>
        <w:autoSpaceDE/>
        <w:autoSpaceDN/>
        <w:bidi w:val="0"/>
        <w:adjustRightInd w:val="0"/>
        <w:spacing w:line="520" w:lineRule="atLeas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adjustRightInd w:val="0"/>
        <w:spacing w:line="52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致：</w:t>
      </w:r>
      <w:r>
        <w:rPr>
          <w:rFonts w:hint="default" w:ascii="Times New Roman" w:hAnsi="Times New Roman" w:cs="Times New Roman"/>
          <w:color w:val="auto"/>
          <w:sz w:val="24"/>
          <w:highlight w:val="none"/>
          <w:u w:val="single"/>
        </w:rPr>
        <w:t xml:space="preserve">    （招标人全称）    </w:t>
      </w:r>
    </w:p>
    <w:p>
      <w:pPr>
        <w:pageBreakBefore w:val="0"/>
        <w:kinsoku/>
        <w:wordWrap w:val="0"/>
        <w:overflowPunct/>
        <w:autoSpaceDE/>
        <w:autoSpaceDN/>
        <w:bidi w:val="0"/>
        <w:adjustRightInd w:val="0"/>
        <w:spacing w:line="520" w:lineRule="atLeas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adjustRightInd w:val="0"/>
        <w:spacing w:line="400" w:lineRule="atLeast"/>
        <w:ind w:firstLine="525"/>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兹开具最高限额为人民币</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万元的银行信贷，供</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（投标人注册地点）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日之前，在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（项目名称）需要时使用。我行保证由____________（投标人名称）提供的财务报表中所开列的作为流动资产的各项中无一项包含在上述提到的银行信贷中。</w:t>
      </w:r>
    </w:p>
    <w:p>
      <w:pPr>
        <w:pageBreakBefore w:val="0"/>
        <w:kinsoku/>
        <w:wordWrap w:val="0"/>
        <w:overflowPunct/>
        <w:autoSpaceDE/>
        <w:autoSpaceDN/>
        <w:bidi w:val="0"/>
        <w:adjustRightInd w:val="0"/>
        <w:spacing w:line="520" w:lineRule="atLeast"/>
        <w:ind w:firstLine="525"/>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此项目若未中标，该信贷证明自动失效，无须退回我行。</w:t>
      </w:r>
    </w:p>
    <w:p>
      <w:pPr>
        <w:pageBreakBefore w:val="0"/>
        <w:kinsoku/>
        <w:wordWrap w:val="0"/>
        <w:overflowPunct/>
        <w:autoSpaceDE/>
        <w:autoSpaceDN/>
        <w:bidi w:val="0"/>
        <w:adjustRightInd w:val="0"/>
        <w:spacing w:line="520" w:lineRule="atLeast"/>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adjustRightInd w:val="0"/>
        <w:spacing w:line="400" w:lineRule="atLeast"/>
        <w:ind w:firstLine="2640" w:firstLineChars="11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银          行（盖单位章）：</w:t>
      </w:r>
      <w:r>
        <w:rPr>
          <w:rFonts w:hint="default" w:ascii="Times New Roman" w:hAnsi="Times New Roman" w:cs="Times New Roman"/>
          <w:color w:val="auto"/>
          <w:sz w:val="24"/>
          <w:highlight w:val="none"/>
          <w:u w:val="single"/>
        </w:rPr>
        <w:t xml:space="preserve">                 </w:t>
      </w:r>
    </w:p>
    <w:p>
      <w:pPr>
        <w:pageBreakBefore w:val="0"/>
        <w:kinsoku/>
        <w:wordWrap w:val="0"/>
        <w:overflowPunct/>
        <w:autoSpaceDE/>
        <w:autoSpaceDN/>
        <w:bidi w:val="0"/>
        <w:adjustRightInd w:val="0"/>
        <w:spacing w:line="400" w:lineRule="atLeast"/>
        <w:ind w:firstLine="2640" w:firstLineChars="1100"/>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银行主要负责人（签字）：</w:t>
      </w:r>
      <w:r>
        <w:rPr>
          <w:rFonts w:hint="default" w:ascii="Times New Roman" w:hAnsi="Times New Roman" w:cs="Times New Roman"/>
          <w:color w:val="auto"/>
          <w:sz w:val="24"/>
          <w:highlight w:val="none"/>
          <w:u w:val="single"/>
        </w:rPr>
        <w:t xml:space="preserve">                     </w:t>
      </w:r>
    </w:p>
    <w:p>
      <w:pPr>
        <w:pageBreakBefore w:val="0"/>
        <w:kinsoku/>
        <w:wordWrap w:val="0"/>
        <w:overflowPunct/>
        <w:autoSpaceDE/>
        <w:autoSpaceDN/>
        <w:bidi w:val="0"/>
        <w:adjustRightInd w:val="0"/>
        <w:spacing w:line="400" w:lineRule="atLeast"/>
        <w:ind w:firstLine="2640" w:firstLineChars="1100"/>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银行主要负责人姓名、职务：</w:t>
      </w:r>
      <w:r>
        <w:rPr>
          <w:rFonts w:hint="default" w:ascii="Times New Roman" w:hAnsi="Times New Roman" w:cs="Times New Roman"/>
          <w:color w:val="auto"/>
          <w:sz w:val="24"/>
          <w:highlight w:val="none"/>
          <w:u w:val="single"/>
        </w:rPr>
        <w:t xml:space="preserve">     （打印）    </w:t>
      </w:r>
    </w:p>
    <w:p>
      <w:pPr>
        <w:pageBreakBefore w:val="0"/>
        <w:kinsoku/>
        <w:wordWrap w:val="0"/>
        <w:overflowPunct/>
        <w:autoSpaceDE/>
        <w:autoSpaceDN/>
        <w:bidi w:val="0"/>
        <w:adjustRightInd w:val="0"/>
        <w:spacing w:line="400" w:lineRule="atLeast"/>
        <w:ind w:firstLine="2640" w:firstLineChars="1100"/>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银    行    电    话：</w:t>
      </w:r>
      <w:r>
        <w:rPr>
          <w:rFonts w:hint="default" w:ascii="Times New Roman" w:hAnsi="Times New Roman" w:cs="Times New Roman"/>
          <w:color w:val="auto"/>
          <w:sz w:val="24"/>
          <w:highlight w:val="none"/>
          <w:u w:val="single"/>
        </w:rPr>
        <w:t xml:space="preserve">                    </w:t>
      </w:r>
    </w:p>
    <w:p>
      <w:pPr>
        <w:pageBreakBefore w:val="0"/>
        <w:kinsoku/>
        <w:wordWrap w:val="0"/>
        <w:overflowPunct/>
        <w:autoSpaceDE/>
        <w:autoSpaceDN/>
        <w:bidi w:val="0"/>
        <w:adjustRightInd w:val="0"/>
        <w:spacing w:line="400" w:lineRule="atLeast"/>
        <w:ind w:firstLine="2640" w:firstLineChars="1100"/>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银    行    传    真：</w:t>
      </w:r>
      <w:r>
        <w:rPr>
          <w:rFonts w:hint="default" w:ascii="Times New Roman" w:hAnsi="Times New Roman" w:cs="Times New Roman"/>
          <w:color w:val="auto"/>
          <w:sz w:val="24"/>
          <w:highlight w:val="none"/>
          <w:u w:val="single"/>
        </w:rPr>
        <w:t xml:space="preserve">                    </w:t>
      </w:r>
    </w:p>
    <w:p>
      <w:pPr>
        <w:pageBreakBefore w:val="0"/>
        <w:kinsoku/>
        <w:wordWrap w:val="0"/>
        <w:overflowPunct/>
        <w:autoSpaceDE/>
        <w:autoSpaceDN/>
        <w:bidi w:val="0"/>
        <w:spacing w:line="320" w:lineRule="atLeast"/>
        <w:jc w:val="center"/>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320" w:lineRule="atLeast"/>
        <w:jc w:val="center"/>
        <w:textAlignment w:val="auto"/>
        <w:outlineLvl w:val="9"/>
        <w:rPr>
          <w:rFonts w:hint="default" w:ascii="Times New Roman" w:hAnsi="Times New Roman" w:cs="Times New Roman"/>
          <w:color w:val="auto"/>
          <w:sz w:val="24"/>
          <w:highlight w:val="none"/>
        </w:rPr>
      </w:pPr>
    </w:p>
    <w:p>
      <w:pPr>
        <w:pStyle w:val="27"/>
        <w:pageBreakBefore w:val="0"/>
        <w:kinsoku/>
        <w:wordWrap w:val="0"/>
        <w:overflowPunct/>
        <w:bidi w:val="0"/>
        <w:spacing w:line="320" w:lineRule="atLeast"/>
        <w:ind w:left="1084" w:leftChars="216" w:hanging="630" w:hangingChars="3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注：1. 允许投标人实际开具的银行信贷证明的格式与《公路工程标准设计施工总承包招标文件》提供的格式有所不同，但不得更改《公路工程标准设计施工总承包招标文件》提供的银行信贷证明格式中的实质性内容。</w:t>
      </w:r>
    </w:p>
    <w:p>
      <w:pPr>
        <w:pageBreakBefore w:val="0"/>
        <w:kinsoku/>
        <w:wordWrap w:val="0"/>
        <w:overflowPunct/>
        <w:bidi w:val="0"/>
        <w:spacing w:line="320" w:lineRule="atLeast"/>
        <w:ind w:left="1155" w:leftChars="400" w:hanging="315" w:hangingChars="1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 银行主要负责人应亲笔签名，不得使用印章、签名章或其他电子制版签名代替，否则，视为无效。</w:t>
      </w:r>
    </w:p>
    <w:p>
      <w:pPr>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4"/>
          <w:highlight w:val="none"/>
        </w:rPr>
        <w:br w:type="page"/>
      </w:r>
      <w:bookmarkStart w:id="2551" w:name="_Toc501257503"/>
      <w:bookmarkStart w:id="2552" w:name="_Toc234833283"/>
      <w:bookmarkStart w:id="2553" w:name="_Toc23747886"/>
      <w:r>
        <w:rPr>
          <w:rFonts w:hint="default" w:ascii="Times New Roman" w:hAnsi="Times New Roman" w:eastAsia="黑体" w:cs="Times New Roman"/>
          <w:b w:val="0"/>
          <w:color w:val="auto"/>
          <w:sz w:val="24"/>
          <w:szCs w:val="24"/>
          <w:highlight w:val="none"/>
        </w:rPr>
        <w:t>（四）近年完成的类似项目情况表</w:t>
      </w:r>
      <w:bookmarkEnd w:id="2551"/>
      <w:bookmarkEnd w:id="2552"/>
      <w:bookmarkEnd w:id="2553"/>
    </w:p>
    <w:p>
      <w:pPr>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outlineLvl w:val="9"/>
        <w:rPr>
          <w:rFonts w:hint="default" w:ascii="Times New Roman" w:hAnsi="Times New Roman" w:eastAsia="黑体" w:cs="Times New Roman"/>
          <w:b w:val="0"/>
          <w:color w:val="auto"/>
          <w:sz w:val="24"/>
          <w:szCs w:val="24"/>
          <w:highlight w:val="none"/>
        </w:rPr>
      </w:pPr>
      <w:bookmarkStart w:id="2554" w:name="_Toc23747887"/>
      <w:r>
        <w:rPr>
          <w:rFonts w:hint="default" w:ascii="Times New Roman" w:hAnsi="Times New Roman" w:eastAsia="黑体" w:cs="Times New Roman"/>
          <w:b w:val="0"/>
          <w:color w:val="auto"/>
          <w:sz w:val="24"/>
          <w:szCs w:val="24"/>
          <w:highlight w:val="none"/>
        </w:rPr>
        <w:t>4-1 勘察设计项目</w:t>
      </w:r>
      <w:bookmarkEnd w:id="2554"/>
    </w:p>
    <w:p>
      <w:pPr>
        <w:pageBreakBefore w:val="0"/>
        <w:kinsoku/>
        <w:wordWrap w:val="0"/>
        <w:overflowPunct/>
        <w:bidi w:val="0"/>
        <w:spacing w:line="320" w:lineRule="atLeast"/>
        <w:ind w:left="735" w:hanging="735" w:hangingChars="350"/>
        <w:rPr>
          <w:rFonts w:hint="default" w:ascii="Times New Roman" w:hAnsi="Times New Roman" w:cs="Times New Roman"/>
          <w:color w:val="auto"/>
          <w:szCs w:val="21"/>
          <w:highlight w:val="none"/>
        </w:rPr>
      </w:pPr>
    </w:p>
    <w:tbl>
      <w:tblPr>
        <w:tblStyle w:val="37"/>
        <w:tblW w:w="88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7"/>
        <w:gridCol w:w="6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    号</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项目名称</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项目所在地</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发包人名称</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发包人地址</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发包人电话</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项目等级</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项目总投资</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合同价格</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承担的勘察设计工作</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勘察设计服务期限</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项目负责人</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项目完成情况</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项目描述</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67"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topLine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c>
          <w:tcPr>
            <w:tcW w:w="6524" w:type="dxa"/>
            <w:tcBorders>
              <w:top w:val="single" w:color="auto" w:sz="4" w:space="0"/>
              <w:left w:val="single" w:color="auto" w:sz="4" w:space="0"/>
              <w:bottom w:val="single" w:color="auto" w:sz="4" w:space="0"/>
              <w:right w:val="single" w:color="auto" w:sz="4" w:space="0"/>
            </w:tcBorders>
          </w:tcPr>
          <w:p>
            <w:pPr>
              <w:pageBreakBefore w:val="0"/>
              <w:kinsoku/>
              <w:wordWrap w:val="0"/>
              <w:overflowPunct/>
              <w:topLinePunct/>
              <w:bidi w:val="0"/>
              <w:spacing w:line="400" w:lineRule="atLeast"/>
              <w:rPr>
                <w:rFonts w:hint="default" w:ascii="Times New Roman" w:hAnsi="Times New Roman" w:cs="Times New Roman"/>
                <w:color w:val="auto"/>
                <w:szCs w:val="21"/>
                <w:highlight w:val="none"/>
              </w:rPr>
            </w:pPr>
          </w:p>
        </w:tc>
      </w:tr>
    </w:tbl>
    <w:p>
      <w:pPr>
        <w:pageBreakBefore w:val="0"/>
        <w:kinsoku/>
        <w:wordWrap w:val="0"/>
        <w:overflowPunct/>
        <w:bidi w:val="0"/>
        <w:spacing w:line="280" w:lineRule="exact"/>
        <w:ind w:left="735" w:hanging="735" w:hangingChars="3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注：1.每张表格只填写一个项目，并标明序号。</w:t>
      </w:r>
    </w:p>
    <w:p>
      <w:pPr>
        <w:pageBreakBefore w:val="0"/>
        <w:kinsoku/>
        <w:wordWrap w:val="0"/>
        <w:overflowPunct/>
        <w:bidi w:val="0"/>
        <w:spacing w:line="280" w:lineRule="exac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 项目完成情况：根据先后顺序分为</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初步设计已批复</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施工图设计已审批</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等不同阶段，投标人应根据项目实际完成情况进行填报。</w:t>
      </w:r>
    </w:p>
    <w:p>
      <w:pPr>
        <w:pageBreakBefore w:val="0"/>
        <w:kinsoku/>
        <w:wordWrap w:val="0"/>
        <w:overflowPunct/>
        <w:bidi w:val="0"/>
        <w:spacing w:line="280" w:lineRule="exac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3. </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第3.5.3项的要求在本表后附相关证明材料。</w:t>
      </w:r>
    </w:p>
    <w:p>
      <w:pPr>
        <w:pageBreakBefore w:val="0"/>
        <w:kinsoku/>
        <w:wordWrap w:val="0"/>
        <w:overflowPunct/>
        <w:bidi w:val="0"/>
        <w:spacing w:line="280" w:lineRule="exac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4.如近年来，投标人法人机构发生合法变更或重组或法人名称变更时，应提供相关部门的合法批件或其他相关证明材料来证明其所附业绩的继承性。</w:t>
      </w:r>
    </w:p>
    <w:p>
      <w:pPr>
        <w:pageBreakBefore w:val="0"/>
        <w:kinsoku/>
        <w:wordWrap w:val="0"/>
        <w:overflowPunct/>
        <w:bidi w:val="0"/>
        <w:spacing w:line="280" w:lineRule="exact"/>
        <w:ind w:left="588" w:leftChars="200" w:hanging="168" w:hangingChars="80"/>
        <w:rPr>
          <w:rFonts w:hint="default" w:ascii="Times New Roman" w:hAnsi="Times New Roman" w:eastAsia="黑体" w:cs="Times New Roman"/>
          <w:color w:val="auto"/>
          <w:sz w:val="23"/>
          <w:szCs w:val="23"/>
          <w:highlight w:val="none"/>
        </w:rPr>
      </w:pPr>
      <w:r>
        <w:rPr>
          <w:rFonts w:hint="default" w:ascii="Times New Roman" w:hAnsi="Times New Roman" w:cs="Times New Roman"/>
          <w:color w:val="auto"/>
          <w:szCs w:val="21"/>
          <w:highlight w:val="none"/>
        </w:rPr>
        <w:t>5.以联合体形式参与投标的，联合体各成员</w:t>
      </w:r>
      <w:r>
        <w:rPr>
          <w:rFonts w:hint="default" w:ascii="Times New Roman" w:hAnsi="Times New Roman" w:cs="Times New Roman"/>
          <w:color w:val="auto"/>
          <w:szCs w:val="21"/>
          <w:highlight w:val="none"/>
          <w:lang w:val="en-US" w:eastAsia="zh-CN"/>
        </w:rPr>
        <w:t>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lang w:val="en-US" w:eastAsia="zh-CN"/>
        </w:rPr>
        <w:t>前附表附录3要求及第三章</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评标办法</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详细评审要求（如有）</w:t>
      </w:r>
      <w:r>
        <w:rPr>
          <w:rFonts w:hint="default" w:ascii="Times New Roman" w:hAnsi="Times New Roman" w:cs="Times New Roman"/>
          <w:color w:val="auto"/>
          <w:szCs w:val="21"/>
          <w:highlight w:val="none"/>
        </w:rPr>
        <w:t>分别填写。</w:t>
      </w:r>
    </w:p>
    <w:p>
      <w:pPr>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highlight w:val="none"/>
        </w:rPr>
        <w:br w:type="page"/>
      </w:r>
      <w:bookmarkStart w:id="2555" w:name="_Toc23747888"/>
      <w:r>
        <w:rPr>
          <w:rFonts w:hint="default" w:ascii="Times New Roman" w:hAnsi="Times New Roman" w:eastAsia="黑体" w:cs="Times New Roman"/>
          <w:b w:val="0"/>
          <w:color w:val="auto"/>
          <w:sz w:val="24"/>
          <w:szCs w:val="24"/>
          <w:highlight w:val="none"/>
        </w:rPr>
        <w:t>4-2 施工项目</w:t>
      </w:r>
      <w:bookmarkEnd w:id="2555"/>
    </w:p>
    <w:p>
      <w:pPr>
        <w:pageBreakBefore w:val="0"/>
        <w:kinsoku/>
        <w:wordWrap w:val="0"/>
        <w:overflowPunct/>
        <w:bidi w:val="0"/>
        <w:rPr>
          <w:rFonts w:hint="default" w:ascii="Times New Roman" w:hAnsi="Times New Roman" w:cs="Times New Roman"/>
          <w:color w:val="auto"/>
          <w:highlight w:val="none"/>
          <w:lang w:val="zh-CN"/>
        </w:rPr>
      </w:pP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7"/>
        <w:gridCol w:w="6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Cs w:val="21"/>
                <w:highlight w:val="none"/>
              </w:rPr>
              <w:t>序    号</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项目名称</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项目所在地</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发包人名称</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发包人地址</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发包人电话</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合同价格</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开工日期</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交工日期</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承担的工作</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工程质量</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项目经理</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项目总工</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总监理工程师及电话</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项目描述</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331" w:type="pct"/>
            <w:vAlign w:val="center"/>
          </w:tcPr>
          <w:p>
            <w:pPr>
              <w:pageBreakBefore w:val="0"/>
              <w:kinsoku/>
              <w:wordWrap w:val="0"/>
              <w:overflowPunct/>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备注</w:t>
            </w:r>
          </w:p>
        </w:tc>
        <w:tc>
          <w:tcPr>
            <w:tcW w:w="3669" w:type="pct"/>
          </w:tcPr>
          <w:p>
            <w:pPr>
              <w:pageBreakBefore w:val="0"/>
              <w:kinsoku/>
              <w:wordWrap w:val="0"/>
              <w:overflowPunct/>
              <w:topLinePunct/>
              <w:bidi w:val="0"/>
              <w:spacing w:line="440" w:lineRule="exact"/>
              <w:rPr>
                <w:rFonts w:hint="default" w:ascii="Times New Roman" w:hAnsi="Times New Roman" w:cs="Times New Roman"/>
                <w:color w:val="auto"/>
                <w:sz w:val="20"/>
                <w:szCs w:val="20"/>
                <w:highlight w:val="none"/>
              </w:rPr>
            </w:pPr>
          </w:p>
        </w:tc>
      </w:tr>
    </w:tbl>
    <w:p>
      <w:pPr>
        <w:pageBreakBefore w:val="0"/>
        <w:kinsoku/>
        <w:wordWrap w:val="0"/>
        <w:overflowPunct/>
        <w:bidi w:val="0"/>
        <w:spacing w:line="400" w:lineRule="atLeast"/>
        <w:ind w:left="735" w:hanging="735" w:hangingChars="3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注：1.每张表格只填写一个项目，并标明序号。</w:t>
      </w:r>
    </w:p>
    <w:p>
      <w:pPr>
        <w:pageBreakBefore w:val="0"/>
        <w:kinsoku/>
        <w:wordWrap w:val="0"/>
        <w:overflowPunct/>
        <w:bidi w:val="0"/>
        <w:spacing w:line="400" w:lineRule="atLeas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第3.5.3项的要求在本表后附相关证明材料。</w:t>
      </w:r>
    </w:p>
    <w:p>
      <w:pPr>
        <w:pageBreakBefore w:val="0"/>
        <w:kinsoku/>
        <w:wordWrap w:val="0"/>
        <w:overflowPunct/>
        <w:bidi w:val="0"/>
        <w:spacing w:line="400" w:lineRule="atLeas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3.如近年来，投标人法人机构发生合法变更或重组或法人名称变更时，应提供相关部门的合法批件或其他相关证明材料来证明其所附业绩的继承性。</w:t>
      </w:r>
    </w:p>
    <w:p>
      <w:pPr>
        <w:pageBreakBefore w:val="0"/>
        <w:kinsoku/>
        <w:wordWrap w:val="0"/>
        <w:overflowPunct/>
        <w:bidi w:val="0"/>
        <w:spacing w:line="400" w:lineRule="atLeas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4.以联合体形式参与投标的，联合体各成员</w:t>
      </w:r>
      <w:r>
        <w:rPr>
          <w:rFonts w:hint="default" w:ascii="Times New Roman" w:hAnsi="Times New Roman" w:cs="Times New Roman"/>
          <w:color w:val="auto"/>
          <w:szCs w:val="21"/>
          <w:highlight w:val="none"/>
          <w:lang w:val="en-US" w:eastAsia="zh-CN"/>
        </w:rPr>
        <w:t>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lang w:val="en-US" w:eastAsia="zh-CN"/>
        </w:rPr>
        <w:t>前附表附录3要求及第三章</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评标办法</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详细评审要求（如有）</w:t>
      </w:r>
      <w:r>
        <w:rPr>
          <w:rFonts w:hint="default" w:ascii="Times New Roman" w:hAnsi="Times New Roman" w:cs="Times New Roman"/>
          <w:color w:val="auto"/>
          <w:szCs w:val="21"/>
          <w:highlight w:val="none"/>
        </w:rPr>
        <w:t>分别填写。</w:t>
      </w:r>
    </w:p>
    <w:p>
      <w:pPr>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outlineLvl w:val="9"/>
        <w:rPr>
          <w:rFonts w:hint="default" w:ascii="Times New Roman" w:hAnsi="Times New Roman" w:eastAsia="黑体" w:cs="Times New Roman"/>
          <w:color w:val="auto"/>
          <w:sz w:val="23"/>
          <w:szCs w:val="23"/>
          <w:highlight w:val="none"/>
          <w:lang w:val="en-US"/>
        </w:rPr>
      </w:pPr>
    </w:p>
    <w:p>
      <w:pPr>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outlineLvl w:val="9"/>
        <w:rPr>
          <w:rFonts w:hint="default" w:ascii="Times New Roman" w:hAnsi="Times New Roman" w:eastAsia="黑体" w:cs="Times New Roman"/>
          <w:b w:val="0"/>
          <w:color w:val="auto"/>
          <w:sz w:val="24"/>
          <w:szCs w:val="24"/>
          <w:highlight w:val="none"/>
        </w:rPr>
      </w:pPr>
      <w:bookmarkStart w:id="2556" w:name="_Toc501257504"/>
      <w:bookmarkStart w:id="2557" w:name="_Toc23747889"/>
      <w:bookmarkStart w:id="2558" w:name="_Toc234833285"/>
      <w:r>
        <w:rPr>
          <w:rFonts w:hint="default" w:ascii="Times New Roman" w:hAnsi="Times New Roman" w:eastAsia="黑体" w:cs="Times New Roman"/>
          <w:b w:val="0"/>
          <w:color w:val="auto"/>
          <w:sz w:val="24"/>
          <w:szCs w:val="24"/>
          <w:highlight w:val="none"/>
        </w:rPr>
        <w:t>（五）投标人的信誉情况</w:t>
      </w:r>
      <w:bookmarkEnd w:id="2556"/>
      <w:r>
        <w:rPr>
          <w:rFonts w:hint="default" w:ascii="Times New Roman" w:hAnsi="Times New Roman" w:eastAsia="黑体" w:cs="Times New Roman"/>
          <w:b w:val="0"/>
          <w:color w:val="auto"/>
          <w:sz w:val="24"/>
          <w:szCs w:val="24"/>
          <w:highlight w:val="none"/>
        </w:rPr>
        <w:t>表</w:t>
      </w:r>
      <w:bookmarkEnd w:id="2557"/>
    </w:p>
    <w:p>
      <w:pPr>
        <w:pageBreakBefore w:val="0"/>
        <w:kinsoku/>
        <w:wordWrap w:val="0"/>
        <w:overflowPunct/>
        <w:topLinePunct/>
        <w:bidi w:val="0"/>
        <w:spacing w:line="400" w:lineRule="atLeast"/>
        <w:rPr>
          <w:rFonts w:hint="default" w:ascii="Times New Roman" w:hAnsi="Times New Roman" w:cs="Times New Roman"/>
          <w:bCs/>
          <w:color w:val="auto"/>
          <w:sz w:val="23"/>
          <w:szCs w:val="23"/>
          <w:highlight w:val="none"/>
        </w:rPr>
      </w:pP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4261" w:type="dxa"/>
            <w:vAlign w:val="center"/>
          </w:tcPr>
          <w:p>
            <w:pPr>
              <w:pageBreakBefore w:val="0"/>
              <w:kinsoku/>
              <w:wordWrap w:val="0"/>
              <w:overflowPunct/>
              <w:topLinePunct/>
              <w:bidi w:val="0"/>
              <w:spacing w:line="400" w:lineRule="atLeast"/>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项 目</w:t>
            </w:r>
          </w:p>
        </w:tc>
        <w:tc>
          <w:tcPr>
            <w:tcW w:w="4261" w:type="dxa"/>
            <w:vAlign w:val="center"/>
          </w:tcPr>
          <w:p>
            <w:pPr>
              <w:pageBreakBefore w:val="0"/>
              <w:kinsoku/>
              <w:wordWrap w:val="0"/>
              <w:overflowPunct/>
              <w:topLinePunct/>
              <w:bidi w:val="0"/>
              <w:spacing w:line="400" w:lineRule="atLeast"/>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投标人情况说明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c>
          <w:tcPr>
            <w:tcW w:w="4261" w:type="dxa"/>
          </w:tcPr>
          <w:p>
            <w:pPr>
              <w:pageBreakBefore w:val="0"/>
              <w:kinsoku/>
              <w:wordWrap w:val="0"/>
              <w:overflowPunct/>
              <w:topLinePunct/>
              <w:bidi w:val="0"/>
              <w:spacing w:line="400" w:lineRule="atLeast"/>
              <w:rPr>
                <w:rFonts w:hint="default" w:ascii="Times New Roman" w:hAnsi="Times New Roman" w:cs="Times New Roman"/>
                <w:bCs/>
                <w:color w:val="auto"/>
                <w:sz w:val="20"/>
                <w:szCs w:val="20"/>
                <w:highlight w:val="none"/>
              </w:rPr>
            </w:pPr>
          </w:p>
        </w:tc>
      </w:tr>
    </w:tbl>
    <w:p>
      <w:pPr>
        <w:pageBreakBefore w:val="0"/>
        <w:kinsoku/>
        <w:wordWrap w:val="0"/>
        <w:overflowPunct/>
        <w:bidi w:val="0"/>
        <w:spacing w:line="400" w:lineRule="atLeast"/>
        <w:ind w:left="420" w:hanging="420" w:hanging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注：1.投标人应按照招标文件第二章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前附表附录4和</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正文第1.4.4项规定，逐条说明其信誉情况。</w:t>
      </w:r>
      <w:bookmarkEnd w:id="2558"/>
    </w:p>
    <w:p>
      <w:pPr>
        <w:pageBreakBefore w:val="0"/>
        <w:kinsoku/>
        <w:wordWrap w:val="0"/>
        <w:overflowPunct/>
        <w:bidi w:val="0"/>
        <w:spacing w:line="400" w:lineRule="atLeast"/>
        <w:ind w:firstLine="420" w:firstLineChars="200"/>
        <w:rPr>
          <w:rFonts w:hint="default" w:ascii="Times New Roman" w:hAnsi="Times New Roman" w:cs="Times New Roman"/>
          <w:color w:val="auto"/>
          <w:szCs w:val="21"/>
          <w:highlight w:val="none"/>
        </w:rPr>
      </w:pPr>
      <w:bookmarkStart w:id="2559" w:name="_Hlk493477915"/>
      <w:r>
        <w:rPr>
          <w:rFonts w:hint="default" w:ascii="Times New Roman" w:hAnsi="Times New Roman" w:cs="Times New Roman"/>
          <w:color w:val="auto"/>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第3.5.4项的要求在本表后附相关证明材料。</w:t>
      </w:r>
      <w:bookmarkEnd w:id="2559"/>
    </w:p>
    <w:p>
      <w:pPr>
        <w:pageBreakBefore w:val="0"/>
        <w:kinsoku/>
        <w:wordWrap w:val="0"/>
        <w:overflowPunct/>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3.以联合体形式参与投标的，联合体各成员应分别填写。</w:t>
      </w:r>
    </w:p>
    <w:p>
      <w:pPr>
        <w:pStyle w:val="2"/>
        <w:pageBreakBefore w:val="0"/>
        <w:kinsoku/>
        <w:wordWrap w:val="0"/>
        <w:overflowPunct/>
        <w:bidi w:val="0"/>
        <w:spacing w:before="0" w:after="0" w:line="380" w:lineRule="atLeast"/>
        <w:jc w:val="center"/>
        <w:outlineLvl w:val="9"/>
        <w:rPr>
          <w:rFonts w:hint="default" w:ascii="Times New Roman" w:hAnsi="Times New Roman" w:cs="Times New Roman"/>
          <w:b w:val="0"/>
          <w:bCs w:val="0"/>
          <w:color w:val="auto"/>
          <w:kern w:val="2"/>
          <w:sz w:val="21"/>
          <w:szCs w:val="21"/>
          <w:highlight w:val="none"/>
          <w:lang w:val="en-US"/>
        </w:rPr>
        <w:sectPr>
          <w:footerReference r:id="rId55" w:type="default"/>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p>
    <w:p>
      <w:pPr>
        <w:keepNext/>
        <w:keepLines/>
        <w:spacing w:before="80" w:after="64"/>
        <w:ind w:firstLine="566"/>
        <w:jc w:val="center"/>
        <w:rPr>
          <w:rFonts w:hint="default" w:ascii="Times New Roman" w:hAnsi="Times New Roman" w:eastAsia="黑体" w:cs="Times New Roman"/>
          <w:bCs/>
          <w:color w:val="auto"/>
          <w:kern w:val="0"/>
          <w:sz w:val="28"/>
          <w:szCs w:val="28"/>
          <w:highlight w:val="none"/>
          <w:lang w:val="zh-CN" w:bidi="zh-CN"/>
        </w:rPr>
      </w:pPr>
      <w:r>
        <w:rPr>
          <w:rFonts w:hint="default" w:ascii="Times New Roman" w:hAnsi="Times New Roman" w:eastAsia="黑体" w:cs="Times New Roman"/>
          <w:bCs/>
          <w:color w:val="auto"/>
          <w:kern w:val="0"/>
          <w:sz w:val="28"/>
          <w:szCs w:val="28"/>
          <w:highlight w:val="none"/>
          <w:lang w:val="zh-CN" w:bidi="zh-CN"/>
        </w:rPr>
        <w:t>无行贿犯罪行为承诺函（格式）</w:t>
      </w:r>
    </w:p>
    <w:p>
      <w:pPr>
        <w:spacing w:line="360" w:lineRule="auto"/>
        <w:ind w:firstLine="480" w:firstLineChars="200"/>
        <w:rPr>
          <w:rFonts w:hint="default" w:ascii="Times New Roman" w:hAnsi="Times New Roman" w:cs="Times New Roman"/>
          <w:color w:val="auto"/>
          <w:sz w:val="24"/>
          <w:szCs w:val="22"/>
          <w:highlight w:val="none"/>
        </w:rPr>
      </w:pPr>
    </w:p>
    <w:p>
      <w:pPr>
        <w:spacing w:line="360" w:lineRule="auto"/>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致：</w:t>
      </w:r>
      <w:r>
        <w:rPr>
          <w:rFonts w:hint="default" w:ascii="Times New Roman" w:hAnsi="Times New Roman" w:cs="Times New Roman"/>
          <w:color w:val="auto"/>
          <w:sz w:val="24"/>
          <w:szCs w:val="22"/>
          <w:highlight w:val="none"/>
          <w:u w:val="single"/>
        </w:rPr>
        <w:t xml:space="preserve">  （招标人全称）  </w:t>
      </w:r>
      <w:r>
        <w:rPr>
          <w:rFonts w:hint="default" w:ascii="Times New Roman" w:hAnsi="Times New Roman" w:cs="Times New Roman"/>
          <w:color w:val="auto"/>
          <w:sz w:val="24"/>
          <w:szCs w:val="22"/>
          <w:highlight w:val="none"/>
        </w:rPr>
        <w:t>：</w:t>
      </w:r>
    </w:p>
    <w:p>
      <w:pPr>
        <w:spacing w:line="360" w:lineRule="auto"/>
        <w:ind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我单位承诺：在近三年内（</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年</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月</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日至投标文件递交截止日），</w:t>
      </w:r>
      <w:r>
        <w:rPr>
          <w:rFonts w:hint="default" w:ascii="Times New Roman" w:hAnsi="Times New Roman" w:cs="Times New Roman"/>
          <w:color w:val="auto"/>
          <w:sz w:val="24"/>
          <w:szCs w:val="22"/>
          <w:highlight w:val="none"/>
          <w:u w:val="single"/>
        </w:rPr>
        <w:t xml:space="preserve">  （投标人单位名称及统一社会信用代码）  </w:t>
      </w:r>
      <w:r>
        <w:rPr>
          <w:rFonts w:hint="default" w:ascii="Times New Roman" w:hAnsi="Times New Roman" w:cs="Times New Roman"/>
          <w:color w:val="auto"/>
          <w:sz w:val="24"/>
          <w:szCs w:val="22"/>
          <w:highlight w:val="none"/>
        </w:rPr>
        <w:t>及法定代表人</w:t>
      </w:r>
      <w:r>
        <w:rPr>
          <w:rFonts w:hint="default" w:ascii="Times New Roman" w:hAnsi="Times New Roman" w:cs="Times New Roman"/>
          <w:color w:val="auto"/>
          <w:sz w:val="24"/>
          <w:szCs w:val="22"/>
          <w:highlight w:val="none"/>
          <w:u w:val="single"/>
        </w:rPr>
        <w:t xml:space="preserve">  （法定代表人姓名及身份证号码）  </w:t>
      </w:r>
      <w:r>
        <w:rPr>
          <w:rFonts w:hint="default" w:ascii="Times New Roman" w:hAnsi="Times New Roman" w:cs="Times New Roman"/>
          <w:color w:val="auto"/>
          <w:sz w:val="24"/>
          <w:szCs w:val="22"/>
          <w:highlight w:val="none"/>
        </w:rPr>
        <w:t>、拟委任的项目负责人</w:t>
      </w:r>
      <w:r>
        <w:rPr>
          <w:rFonts w:hint="default" w:ascii="Times New Roman" w:hAnsi="Times New Roman" w:cs="Times New Roman"/>
          <w:color w:val="auto"/>
          <w:sz w:val="24"/>
          <w:szCs w:val="22"/>
          <w:highlight w:val="none"/>
          <w:u w:val="single"/>
        </w:rPr>
        <w:t xml:space="preserve">   （项目负责人姓名及身份证号码）   </w:t>
      </w:r>
      <w:r>
        <w:rPr>
          <w:rFonts w:hint="default" w:ascii="Times New Roman" w:hAnsi="Times New Roman" w:cs="Times New Roman"/>
          <w:color w:val="auto"/>
          <w:sz w:val="24"/>
          <w:szCs w:val="22"/>
          <w:highlight w:val="none"/>
        </w:rPr>
        <w:t>、拟委任的设计负责人</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设计负责人</w:t>
      </w:r>
      <w:r>
        <w:rPr>
          <w:rFonts w:hint="default" w:ascii="Times New Roman" w:hAnsi="Times New Roman" w:cs="Times New Roman"/>
          <w:color w:val="auto"/>
          <w:sz w:val="24"/>
          <w:szCs w:val="22"/>
          <w:highlight w:val="none"/>
          <w:u w:val="single"/>
        </w:rPr>
        <w:t>姓名及身份证号码）</w:t>
      </w:r>
      <w:r>
        <w:rPr>
          <w:rFonts w:hint="default" w:ascii="Times New Roman" w:hAnsi="Times New Roman" w:cs="Times New Roman"/>
          <w:color w:val="auto"/>
          <w:sz w:val="24"/>
          <w:szCs w:val="22"/>
          <w:highlight w:val="none"/>
          <w:u w:val="single"/>
          <w:lang w:val="en-US" w:eastAsia="zh-CN"/>
        </w:rPr>
        <w:t xml:space="preserve">  </w:t>
      </w:r>
      <w:r>
        <w:rPr>
          <w:rFonts w:hint="default" w:ascii="Times New Roman" w:hAnsi="Times New Roman" w:cs="Times New Roman"/>
          <w:color w:val="auto"/>
          <w:sz w:val="24"/>
          <w:szCs w:val="22"/>
          <w:highlight w:val="none"/>
        </w:rPr>
        <w:t>、拟委任的施工负责人</w:t>
      </w:r>
      <w:r>
        <w:rPr>
          <w:rFonts w:hint="default" w:ascii="Times New Roman" w:hAnsi="Times New Roman" w:cs="Times New Roman"/>
          <w:color w:val="auto"/>
          <w:sz w:val="24"/>
          <w:szCs w:val="22"/>
          <w:highlight w:val="none"/>
          <w:u w:val="single"/>
        </w:rPr>
        <w:t xml:space="preserve">   （施工负责人姓名及身份证号码）</w:t>
      </w:r>
      <w:r>
        <w:rPr>
          <w:rFonts w:hint="default" w:ascii="Times New Roman" w:hAnsi="Times New Roman" w:cs="Times New Roman"/>
          <w:color w:val="auto"/>
          <w:sz w:val="24"/>
          <w:szCs w:val="22"/>
          <w:highlight w:val="none"/>
        </w:rPr>
        <w:t>均无行贿犯罪行为。</w:t>
      </w:r>
    </w:p>
    <w:p>
      <w:pPr>
        <w:spacing w:line="360" w:lineRule="auto"/>
        <w:ind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如经招标人或评标委员会核实我单位出具的该承诺存在弄虚作假，承诺不实的情形，</w:t>
      </w:r>
      <w:r>
        <w:rPr>
          <w:rFonts w:hint="default" w:ascii="Times New Roman" w:hAnsi="Times New Roman" w:cs="Times New Roman"/>
          <w:color w:val="auto"/>
          <w:sz w:val="24"/>
          <w:szCs w:val="22"/>
          <w:highlight w:val="none"/>
          <w:lang w:eastAsia="zh-CN"/>
        </w:rPr>
        <w:t>评标委员会</w:t>
      </w:r>
      <w:r>
        <w:rPr>
          <w:rFonts w:hint="default" w:ascii="Times New Roman" w:hAnsi="Times New Roman" w:cs="Times New Roman"/>
          <w:color w:val="auto"/>
          <w:sz w:val="24"/>
          <w:szCs w:val="22"/>
          <w:highlight w:val="none"/>
        </w:rPr>
        <w:t>有权否决我单位投标资格或招标人取消我单位中标资格，并由招标人上报上级行政主管部门，作为不良记录纳入信用信息管理系统。</w:t>
      </w:r>
    </w:p>
    <w:p>
      <w:pPr>
        <w:spacing w:line="360" w:lineRule="auto"/>
        <w:ind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特此承诺！</w:t>
      </w:r>
    </w:p>
    <w:p>
      <w:pPr>
        <w:spacing w:line="360" w:lineRule="auto"/>
        <w:ind w:firstLine="480" w:firstLineChars="200"/>
        <w:rPr>
          <w:rFonts w:hint="default" w:ascii="Times New Roman" w:hAnsi="Times New Roman" w:cs="Times New Roman"/>
          <w:color w:val="auto"/>
          <w:sz w:val="24"/>
          <w:szCs w:val="22"/>
          <w:highlight w:val="none"/>
        </w:rPr>
      </w:pPr>
    </w:p>
    <w:p>
      <w:pPr>
        <w:spacing w:line="360" w:lineRule="auto"/>
        <w:ind w:firstLine="480" w:firstLineChars="200"/>
        <w:rPr>
          <w:rFonts w:hint="default" w:ascii="Times New Roman" w:hAnsi="Times New Roman" w:cs="Times New Roman"/>
          <w:color w:val="auto"/>
          <w:sz w:val="24"/>
          <w:szCs w:val="22"/>
          <w:highlight w:val="none"/>
        </w:rPr>
      </w:pPr>
    </w:p>
    <w:p>
      <w:pPr>
        <w:spacing w:line="360" w:lineRule="auto"/>
        <w:ind w:left="2520" w:leftChars="1200" w:firstLine="1920" w:firstLineChars="800"/>
        <w:rPr>
          <w:rFonts w:hint="default" w:ascii="Times New Roman" w:hAnsi="Times New Roman" w:cs="Times New Roman"/>
          <w:color w:val="auto"/>
          <w:sz w:val="24"/>
          <w:szCs w:val="22"/>
          <w:highlight w:val="none"/>
        </w:rPr>
      </w:pPr>
    </w:p>
    <w:p>
      <w:pPr>
        <w:pageBreakBefore w:val="0"/>
        <w:kinsoku/>
        <w:wordWrap w:val="0"/>
        <w:overflowPunct/>
        <w:topLinePunct/>
        <w:autoSpaceDE/>
        <w:autoSpaceDN/>
        <w:bidi w:val="0"/>
        <w:spacing w:line="440" w:lineRule="exac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2"/>
          <w:highlight w:val="none"/>
        </w:rPr>
        <w:t xml:space="preserve">                       </w:t>
      </w:r>
      <w:r>
        <w:rPr>
          <w:rFonts w:hint="default" w:ascii="Times New Roman" w:hAnsi="Times New Roman" w:cs="Times New Roman"/>
          <w:color w:val="auto"/>
          <w:sz w:val="24"/>
          <w:szCs w:val="24"/>
          <w:highlight w:val="none"/>
        </w:rPr>
        <w:t xml:space="preserve">   投标人：</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（全称）</w:t>
      </w:r>
      <w:r>
        <w:rPr>
          <w:rFonts w:hint="default" w:ascii="Times New Roman" w:hAnsi="Times New Roman" w:cs="Times New Roman"/>
          <w:color w:val="auto"/>
          <w:sz w:val="24"/>
          <w:szCs w:val="24"/>
          <w:highlight w:val="none"/>
          <w:u w:val="none"/>
        </w:rPr>
        <w:t>（</w:t>
      </w:r>
      <w:r>
        <w:rPr>
          <w:rFonts w:hint="default" w:ascii="Times New Roman" w:hAnsi="Times New Roman" w:cs="Times New Roman"/>
          <w:color w:val="auto"/>
          <w:sz w:val="24"/>
          <w:szCs w:val="24"/>
          <w:highlight w:val="none"/>
          <w:u w:val="none"/>
          <w:lang w:val="en-US" w:eastAsia="zh-CN"/>
        </w:rPr>
        <w:t>盖单位电子印章</w:t>
      </w:r>
      <w:r>
        <w:rPr>
          <w:rFonts w:hint="default" w:ascii="Times New Roman" w:hAnsi="Times New Roman" w:cs="Times New Roman"/>
          <w:color w:val="auto"/>
          <w:sz w:val="24"/>
          <w:szCs w:val="24"/>
          <w:highlight w:val="none"/>
          <w:u w:val="none"/>
        </w:rPr>
        <w:t>）</w:t>
      </w:r>
    </w:p>
    <w:p>
      <w:pPr>
        <w:pageBreakBefore w:val="0"/>
        <w:kinsoku/>
        <w:overflowPunct/>
        <w:autoSpaceDE/>
        <w:autoSpaceDN/>
        <w:bidi w:val="0"/>
        <w:spacing w:line="360" w:lineRule="auto"/>
        <w:ind w:left="2520" w:leftChars="1200" w:firstLine="1920" w:firstLineChars="800"/>
        <w:textAlignment w:val="auto"/>
        <w:outlineLvl w:val="9"/>
        <w:rPr>
          <w:rFonts w:hint="default" w:ascii="Times New Roman" w:hAnsi="Times New Roman" w:cs="Times New Roman"/>
          <w:color w:val="auto"/>
          <w:sz w:val="24"/>
          <w:szCs w:val="24"/>
          <w:highlight w:val="none"/>
        </w:rPr>
      </w:pPr>
    </w:p>
    <w:p>
      <w:pPr>
        <w:pageBreakBefore w:val="0"/>
        <w:kinsoku/>
        <w:overflowPunct/>
        <w:autoSpaceDE/>
        <w:autoSpaceDN/>
        <w:bidi w:val="0"/>
        <w:spacing w:line="360" w:lineRule="auto"/>
        <w:ind w:left="2520" w:leftChars="1200" w:firstLine="1920" w:firstLineChars="800"/>
        <w:textAlignment w:val="auto"/>
        <w:outlineLvl w:val="9"/>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4"/>
          <w:highlight w:val="none"/>
        </w:rPr>
        <w:t>日期：</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月</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p>
      <w:pPr>
        <w:pStyle w:val="16"/>
        <w:rPr>
          <w:rFonts w:hint="default" w:ascii="Times New Roman" w:hAnsi="Times New Roman" w:cs="Times New Roman"/>
          <w:color w:val="auto"/>
          <w:highlight w:val="none"/>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pPr>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outlineLvl w:val="9"/>
        <w:rPr>
          <w:rFonts w:hint="default" w:ascii="Times New Roman" w:hAnsi="Times New Roman" w:eastAsia="黑体" w:cs="Times New Roman"/>
          <w:b w:val="0"/>
          <w:color w:val="auto"/>
          <w:sz w:val="24"/>
          <w:szCs w:val="24"/>
          <w:highlight w:val="none"/>
        </w:rPr>
      </w:pPr>
      <w:bookmarkStart w:id="2560" w:name="_Toc501257505"/>
      <w:bookmarkStart w:id="2561" w:name="_Toc23747890"/>
      <w:r>
        <w:rPr>
          <w:rFonts w:hint="default" w:ascii="Times New Roman" w:hAnsi="Times New Roman" w:eastAsia="黑体" w:cs="Times New Roman"/>
          <w:b w:val="0"/>
          <w:color w:val="auto"/>
          <w:sz w:val="24"/>
          <w:szCs w:val="24"/>
          <w:highlight w:val="none"/>
        </w:rPr>
        <w:t>（六）</w:t>
      </w:r>
      <w:bookmarkEnd w:id="2560"/>
      <w:r>
        <w:rPr>
          <w:rFonts w:hint="default" w:ascii="Times New Roman" w:hAnsi="Times New Roman" w:eastAsia="黑体" w:cs="Times New Roman"/>
          <w:b w:val="0"/>
          <w:color w:val="auto"/>
          <w:sz w:val="24"/>
          <w:szCs w:val="24"/>
          <w:highlight w:val="none"/>
        </w:rPr>
        <w:t>拟委任的项目负责人、设计负责人、施工负责人资历表</w:t>
      </w:r>
      <w:bookmarkEnd w:id="2561"/>
    </w:p>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highlight w:val="none"/>
        </w:rPr>
      </w:pP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18"/>
        <w:gridCol w:w="50"/>
        <w:gridCol w:w="1334"/>
        <w:gridCol w:w="102"/>
        <w:gridCol w:w="1046"/>
        <w:gridCol w:w="1363"/>
        <w:gridCol w:w="333"/>
        <w:gridCol w:w="1523"/>
        <w:gridCol w:w="381"/>
        <w:gridCol w:w="1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707" w:type="pct"/>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    名</w:t>
            </w:r>
          </w:p>
        </w:tc>
        <w:tc>
          <w:tcPr>
            <w:tcW w:w="862" w:type="pct"/>
            <w:gridSpan w:val="3"/>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607" w:type="pct"/>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龄</w:t>
            </w:r>
          </w:p>
        </w:tc>
        <w:tc>
          <w:tcPr>
            <w:tcW w:w="791" w:type="pct"/>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77" w:type="pct"/>
            <w:gridSpan w:val="2"/>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专    业</w:t>
            </w:r>
          </w:p>
        </w:tc>
        <w:tc>
          <w:tcPr>
            <w:tcW w:w="956"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07" w:type="pct"/>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862" w:type="pct"/>
            <w:gridSpan w:val="3"/>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607" w:type="pct"/>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    历</w:t>
            </w:r>
          </w:p>
        </w:tc>
        <w:tc>
          <w:tcPr>
            <w:tcW w:w="791" w:type="pct"/>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77" w:type="pct"/>
            <w:gridSpan w:val="2"/>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拟在本标段</w:t>
            </w:r>
          </w:p>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工程任职</w:t>
            </w:r>
          </w:p>
        </w:tc>
        <w:tc>
          <w:tcPr>
            <w:tcW w:w="956"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07" w:type="pct"/>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工作年限</w:t>
            </w:r>
          </w:p>
        </w:tc>
        <w:tc>
          <w:tcPr>
            <w:tcW w:w="2260"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77"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类似设计或施工或设计施工总承包经验年限</w:t>
            </w:r>
          </w:p>
        </w:tc>
        <w:tc>
          <w:tcPr>
            <w:tcW w:w="956"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707" w:type="pct"/>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毕业学校</w:t>
            </w:r>
          </w:p>
        </w:tc>
        <w:tc>
          <w:tcPr>
            <w:tcW w:w="4293" w:type="pct"/>
            <w:gridSpan w:val="9"/>
            <w:vAlign w:val="center"/>
          </w:tcPr>
          <w:p>
            <w:pPr>
              <w:pageBreakBefore w:val="0"/>
              <w:widowControl/>
              <w:kinsoku/>
              <w:wordWrap w:val="0"/>
              <w:overflowPunct/>
              <w:autoSpaceDE w:val="0"/>
              <w:autoSpaceDN w:val="0"/>
              <w:bidi w:val="0"/>
              <w:spacing w:before="60" w:beforeLines="25" w:after="60" w:afterLines="25" w:line="400" w:lineRule="atLeast"/>
              <w:ind w:left="-187" w:leftChars="-89"/>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______年___月毕业于___________________学校___________专业，学制______年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1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         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时  间</w:t>
            </w:r>
          </w:p>
        </w:tc>
        <w:tc>
          <w:tcPr>
            <w:tcW w:w="2424" w:type="pct"/>
            <w:gridSpan w:val="5"/>
            <w:vAlign w:val="center"/>
          </w:tcPr>
          <w:p>
            <w:pPr>
              <w:pStyle w:val="67"/>
              <w:pageBreakBefore w:val="0"/>
              <w:widowControl/>
              <w:kinsoku/>
              <w:wordWrap w:val="0"/>
              <w:overflowPunct/>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参加过的类似工程项目名称</w:t>
            </w:r>
          </w:p>
        </w:tc>
        <w:tc>
          <w:tcPr>
            <w:tcW w:w="1105" w:type="pct"/>
            <w:gridSpan w:val="2"/>
            <w:vAlign w:val="center"/>
          </w:tcPr>
          <w:p>
            <w:pPr>
              <w:pStyle w:val="67"/>
              <w:pageBreakBefore w:val="0"/>
              <w:widowControl/>
              <w:kinsoku/>
              <w:wordWrap w:val="0"/>
              <w:overflowPunct/>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担任职务</w:t>
            </w:r>
          </w:p>
        </w:tc>
        <w:tc>
          <w:tcPr>
            <w:tcW w:w="735" w:type="pct"/>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510" w:type="pct"/>
            <w:gridSpan w:val="3"/>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获奖情况</w:t>
            </w:r>
          </w:p>
        </w:tc>
        <w:tc>
          <w:tcPr>
            <w:tcW w:w="3490" w:type="pct"/>
            <w:gridSpan w:val="7"/>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10" w:type="pct"/>
            <w:gridSpan w:val="3"/>
            <w:vAlign w:val="center"/>
          </w:tcPr>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说明项目负责人和施工负责人的在岗情况</w:t>
            </w:r>
          </w:p>
        </w:tc>
        <w:tc>
          <w:tcPr>
            <w:tcW w:w="3490" w:type="pct"/>
            <w:gridSpan w:val="7"/>
          </w:tcPr>
          <w:p>
            <w:pPr>
              <w:pStyle w:val="15"/>
              <w:pageBreakBefore w:val="0"/>
              <w:kinsoku/>
              <w:wordWrap w:val="0"/>
              <w:overflowPunct/>
              <w:topLinePunct/>
              <w:bidi w:val="0"/>
              <w:spacing w:line="360" w:lineRule="atLeas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□目前未在其他项目上任职，现从事工作为：</w:t>
            </w:r>
            <w:r>
              <w:rPr>
                <w:rFonts w:hint="default"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rPr>
              <w:t>。</w:t>
            </w:r>
          </w:p>
          <w:p>
            <w:pPr>
              <w:pageBreakBefore w:val="0"/>
              <w:widowControl/>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□目前虽</w:t>
            </w:r>
            <w:r>
              <w:rPr>
                <w:rFonts w:hint="default" w:ascii="Times New Roman" w:hAnsi="Times New Roman" w:cs="Times New Roman"/>
                <w:color w:val="auto"/>
                <w:highlight w:val="none"/>
              </w:rPr>
              <w:t>在其他项目</w:t>
            </w:r>
            <w:r>
              <w:rPr>
                <w:rFonts w:hint="default" w:ascii="Times New Roman" w:hAnsi="Times New Roman" w:cs="Times New Roman"/>
                <w:color w:val="auto"/>
                <w:szCs w:val="21"/>
                <w:highlight w:val="none"/>
              </w:rPr>
              <w:t>上</w:t>
            </w:r>
            <w:r>
              <w:rPr>
                <w:rFonts w:hint="default" w:ascii="Times New Roman" w:hAnsi="Times New Roman" w:cs="Times New Roman"/>
                <w:color w:val="auto"/>
                <w:highlight w:val="none"/>
              </w:rPr>
              <w:t>任职，但本项目中标后能够从该项目撤离，目前任职项目：</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，担任职位：</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1510" w:type="pct"/>
            <w:gridSpan w:val="3"/>
            <w:vAlign w:val="center"/>
          </w:tcPr>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     注</w:t>
            </w:r>
          </w:p>
        </w:tc>
        <w:tc>
          <w:tcPr>
            <w:tcW w:w="3490" w:type="pct"/>
            <w:gridSpan w:val="7"/>
          </w:tcPr>
          <w:p>
            <w:pPr>
              <w:pageBreakBefore w:val="0"/>
              <w:widowControl/>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r>
    </w:tbl>
    <w:p>
      <w:pPr>
        <w:pStyle w:val="17"/>
        <w:pageBreakBefore w:val="0"/>
        <w:kinsoku/>
        <w:wordWrap w:val="0"/>
        <w:overflowPunct/>
        <w:bidi w:val="0"/>
        <w:spacing w:after="0" w:line="400" w:lineRule="atLeast"/>
        <w:ind w:left="699" w:leftChars="0" w:hanging="699" w:hangingChars="333"/>
        <w:rPr>
          <w:rFonts w:hint="default" w:ascii="Times New Roman" w:hAnsi="Times New Roman" w:cs="Times New Roman"/>
          <w:color w:val="auto"/>
          <w:highlight w:val="none"/>
        </w:rPr>
      </w:pPr>
      <w:r>
        <w:rPr>
          <w:rFonts w:hint="default" w:ascii="Times New Roman" w:hAnsi="Times New Roman" w:cs="Times New Roman"/>
          <w:color w:val="auto"/>
          <w:highlight w:val="none"/>
        </w:rPr>
        <w:t>注：1.本表应填写项目负责人、设计负责人、施工负责人相关情况。</w:t>
      </w:r>
    </w:p>
    <w:p>
      <w:pPr>
        <w:pageBreakBefore w:val="0"/>
        <w:kinsoku/>
        <w:wordWrap w:val="0"/>
        <w:overflowPunct/>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2.投标人应根据招标文件第二章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第3.5.5项的要求在本表后附相关证明材料。</w:t>
      </w:r>
    </w:p>
    <w:bookmarkEnd w:id="2550"/>
    <w:p>
      <w:pPr>
        <w:pageBreakBefore w:val="0"/>
        <w:kinsoku/>
        <w:wordWrap w:val="0"/>
        <w:overflowPunct/>
        <w:topLinePunct/>
        <w:bidi w:val="0"/>
        <w:spacing w:line="400" w:lineRule="atLeas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br w:type="page"/>
      </w:r>
      <w:bookmarkStart w:id="2562" w:name="_Toc23747891"/>
      <w:bookmarkStart w:id="2563" w:name="_Toc234833286"/>
      <w:bookmarkStart w:id="2564" w:name="_Toc501257506"/>
      <w:r>
        <w:rPr>
          <w:rFonts w:hint="default" w:ascii="Times New Roman" w:hAnsi="Times New Roman" w:eastAsia="黑体" w:cs="Times New Roman"/>
          <w:color w:val="auto"/>
          <w:sz w:val="24"/>
          <w:highlight w:val="none"/>
        </w:rPr>
        <w:t>主要人员撤离承诺函（如有）</w:t>
      </w:r>
    </w:p>
    <w:p>
      <w:pPr>
        <w:pageBreakBefore w:val="0"/>
        <w:kinsoku/>
        <w:wordWrap w:val="0"/>
        <w:overflowPunct/>
        <w:bidi w:val="0"/>
        <w:ind w:firstLine="232"/>
        <w:jc w:val="center"/>
        <w:rPr>
          <w:rFonts w:hint="default" w:ascii="Times New Roman" w:hAnsi="Times New Roman" w:cs="Times New Roman"/>
          <w:color w:val="auto"/>
          <w:sz w:val="28"/>
          <w:szCs w:val="36"/>
          <w:highlight w:val="none"/>
        </w:rPr>
      </w:pPr>
    </w:p>
    <w:p>
      <w:pPr>
        <w:pageBreakBefore w:val="0"/>
        <w:kinsoku/>
        <w:wordWrap w:val="0"/>
        <w:overflowPunct/>
        <w:autoSpaceDE/>
        <w:autoSpaceDN/>
        <w:bidi w:val="0"/>
        <w:spacing w:line="400" w:lineRule="exac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pPr>
        <w:pageBreakBefore w:val="0"/>
        <w:kinsoku/>
        <w:wordWrap w:val="0"/>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我方参加了</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本项目</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）设计施工总承包投标，我方在此承诺：</w:t>
      </w:r>
    </w:p>
    <w:p>
      <w:pPr>
        <w:pageBreakBefore w:val="0"/>
        <w:kinsoku/>
        <w:wordWrap w:val="0"/>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鉴于我方拟投入的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（项目负责人和/或施工负责人姓名）目前仍在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（项目名称）上任职，若我方中标，立即将</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（项目负责人和/或施工负责人）从上述项目撤离，投入本项目。</w:t>
      </w:r>
    </w:p>
    <w:p>
      <w:pPr>
        <w:pageBreakBefore w:val="0"/>
        <w:kinsoku/>
        <w:wordWrap w:val="0"/>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如我方违背了上述承诺，招标人有权取消我方的中标资格，并由招标人将我方的违约行为上报省级交通运输主管部门，作为不良记录纳入</w:t>
      </w:r>
      <w:r>
        <w:rPr>
          <w:rFonts w:hint="default" w:ascii="Times New Roman" w:hAnsi="Times New Roman" w:cs="Times New Roman"/>
          <w:color w:val="auto"/>
          <w:sz w:val="24"/>
          <w:highlight w:val="none"/>
          <w:lang w:eastAsia="zh-CN"/>
        </w:rPr>
        <w:t>全国公路建设市场监督管理系统</w:t>
      </w:r>
      <w:r>
        <w:rPr>
          <w:rFonts w:hint="default" w:ascii="Times New Roman" w:hAnsi="Times New Roman" w:cs="Times New Roman"/>
          <w:color w:val="auto"/>
          <w:sz w:val="24"/>
          <w:highlight w:val="none"/>
        </w:rPr>
        <w:t>。</w:t>
      </w:r>
    </w:p>
    <w:p>
      <w:pPr>
        <w:pageBreakBefore w:val="0"/>
        <w:kinsoku/>
        <w:wordWrap w:val="0"/>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exact"/>
        <w:ind w:firstLine="480" w:firstLineChars="200"/>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exact"/>
        <w:ind w:firstLine="2880" w:firstLineChars="1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（全称）</w:t>
      </w:r>
      <w:r>
        <w:rPr>
          <w:rFonts w:hint="default" w:ascii="Times New Roman" w:hAnsi="Times New Roman" w:cs="Times New Roman"/>
          <w:color w:val="auto"/>
          <w:sz w:val="24"/>
          <w:szCs w:val="24"/>
          <w:highlight w:val="none"/>
          <w:u w:val="none"/>
        </w:rPr>
        <w:t>（</w:t>
      </w:r>
      <w:r>
        <w:rPr>
          <w:rFonts w:hint="default" w:ascii="Times New Roman" w:hAnsi="Times New Roman" w:cs="Times New Roman"/>
          <w:color w:val="auto"/>
          <w:sz w:val="24"/>
          <w:szCs w:val="24"/>
          <w:highlight w:val="none"/>
          <w:u w:val="none"/>
          <w:lang w:val="en-US" w:eastAsia="zh-CN"/>
        </w:rPr>
        <w:t>盖单位电子印章</w:t>
      </w:r>
      <w:r>
        <w:rPr>
          <w:rFonts w:hint="default" w:ascii="Times New Roman" w:hAnsi="Times New Roman" w:cs="Times New Roman"/>
          <w:color w:val="auto"/>
          <w:sz w:val="24"/>
          <w:szCs w:val="24"/>
          <w:highlight w:val="none"/>
          <w:u w:val="none"/>
        </w:rPr>
        <w:t>）</w:t>
      </w:r>
    </w:p>
    <w:p>
      <w:pPr>
        <w:pageBreakBefore w:val="0"/>
        <w:kinsoku/>
        <w:wordWrap w:val="0"/>
        <w:overflowPunct/>
        <w:autoSpaceDE/>
        <w:autoSpaceDN/>
        <w:bidi w:val="0"/>
        <w:spacing w:line="400" w:lineRule="exact"/>
        <w:ind w:firstLine="720" w:firstLineChars="3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default" w:ascii="Times New Roman" w:hAnsi="Times New Roman"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pageBreakBefore w:val="0"/>
        <w:kinsoku/>
        <w:wordWrap w:val="0"/>
        <w:overflowPunct/>
        <w:autoSpaceDE/>
        <w:autoSpaceDN/>
        <w:bidi w:val="0"/>
        <w:spacing w:line="400" w:lineRule="exact"/>
        <w:ind w:firstLine="3120" w:firstLineChars="1300"/>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400" w:lineRule="exact"/>
        <w:ind w:firstLine="3840" w:firstLineChars="1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autoSpaceDE/>
        <w:autoSpaceDN/>
        <w:bidi w:val="0"/>
        <w:spacing w:line="400" w:lineRule="exact"/>
        <w:ind w:firstLine="3840" w:firstLineChars="1600"/>
        <w:textAlignment w:val="auto"/>
        <w:outlineLvl w:val="9"/>
        <w:rPr>
          <w:rFonts w:hint="default" w:ascii="Times New Roman" w:hAnsi="Times New Roman" w:cs="Times New Roman"/>
          <w:color w:val="auto"/>
          <w:sz w:val="24"/>
          <w:highlight w:val="none"/>
        </w:rPr>
      </w:pPr>
    </w:p>
    <w:p>
      <w:pPr>
        <w:pageBreakBefore w:val="0"/>
        <w:kinsoku/>
        <w:wordWrap w:val="0"/>
        <w:overflowPunct/>
        <w:bidi w:val="0"/>
        <w:spacing w:line="36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注：1、如项目负责人和/或施工负责人目前仍在其他项目上任职，投标人应提供项目负责人和/或施工负责人能够从该项目撤离的承诺函。</w:t>
      </w:r>
    </w:p>
    <w:p>
      <w:pPr>
        <w:pageBreakBefore w:val="0"/>
        <w:kinsoku/>
        <w:wordWrap w:val="0"/>
        <w:overflowPunct/>
        <w:bidi w:val="0"/>
        <w:spacing w:line="360" w:lineRule="exact"/>
        <w:ind w:firstLine="840" w:firstLineChars="4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2、投标人所提供的承诺函格式和内容须与招标文件提供的格式和内容一致，不得更改招标文件提供的承诺函格式和内容，否则其投标将被否决。</w:t>
      </w:r>
    </w:p>
    <w:p>
      <w:pPr>
        <w:pageBreakBefore w:val="0"/>
        <w:widowControl/>
        <w:kinsoku/>
        <w:wordWrap w:val="0"/>
        <w:overflowPunct/>
        <w:bidi w:val="0"/>
        <w:jc w:val="left"/>
        <w:rPr>
          <w:rFonts w:hint="default" w:ascii="Times New Roman" w:hAnsi="Times New Roman" w:eastAsia="黑体" w:cs="Times New Roman"/>
          <w:bCs/>
          <w:color w:val="auto"/>
          <w:kern w:val="44"/>
          <w:szCs w:val="21"/>
          <w:highlight w:val="none"/>
          <w:lang w:val="zh-CN"/>
        </w:rPr>
      </w:pPr>
      <w:r>
        <w:rPr>
          <w:rFonts w:hint="default" w:ascii="Times New Roman" w:hAnsi="Times New Roman" w:eastAsia="黑体" w:cs="Times New Roman"/>
          <w:b/>
          <w:color w:val="auto"/>
          <w:szCs w:val="21"/>
          <w:highlight w:val="none"/>
        </w:rPr>
        <w:br w:type="page"/>
      </w:r>
    </w:p>
    <w:p>
      <w:pPr>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（七）拟委任的其他管理和技术人员汇总表</w:t>
      </w:r>
      <w:r>
        <w:rPr>
          <w:rFonts w:hint="default" w:ascii="Times New Roman" w:hAnsi="Times New Roman" w:eastAsia="黑体" w:cs="Times New Roman"/>
          <w:b w:val="0"/>
          <w:color w:val="auto"/>
          <w:sz w:val="24"/>
          <w:szCs w:val="24"/>
          <w:highlight w:val="none"/>
          <w:vertAlign w:val="superscript"/>
        </w:rPr>
        <w:footnoteReference w:id="89"/>
      </w:r>
      <w:bookmarkEnd w:id="2562"/>
      <w:bookmarkEnd w:id="2563"/>
      <w:bookmarkEnd w:id="2564"/>
    </w:p>
    <w:p>
      <w:pPr>
        <w:pageBreakBefore w:val="0"/>
        <w:kinsoku/>
        <w:wordWrap w:val="0"/>
        <w:overflowPunct/>
        <w:autoSpaceDE/>
        <w:autoSpaceDN/>
        <w:bidi w:val="0"/>
        <w:spacing w:line="400" w:lineRule="atLeast"/>
        <w:textAlignment w:val="auto"/>
        <w:outlineLvl w:val="9"/>
        <w:rPr>
          <w:rFonts w:hint="default" w:ascii="Times New Roman" w:hAnsi="Times New Roman" w:cs="Times New Roman"/>
          <w:color w:val="auto"/>
          <w:sz w:val="24"/>
          <w:highlight w:val="none"/>
        </w:rPr>
      </w:pP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
        <w:gridCol w:w="915"/>
        <w:gridCol w:w="2647"/>
        <w:gridCol w:w="1087"/>
        <w:gridCol w:w="1290"/>
        <w:gridCol w:w="1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525"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521" w:type="pct"/>
            <w:vAlign w:val="center"/>
          </w:tcPr>
          <w:p>
            <w:pPr>
              <w:pStyle w:val="67"/>
              <w:pageBreakBefore w:val="0"/>
              <w:kinsoku/>
              <w:wordWrap w:val="0"/>
              <w:overflowPunct/>
              <w:autoSpaceDE/>
              <w:autoSpaceDN/>
              <w:bidi w:val="0"/>
              <w:adjustRightInd/>
              <w:snapToGrid/>
              <w:spacing w:line="400" w:lineRule="atLeast"/>
              <w:textAlignment w:val="auto"/>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年龄</w:t>
            </w:r>
          </w:p>
        </w:tc>
        <w:tc>
          <w:tcPr>
            <w:tcW w:w="1508"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拟在本标段工程任职</w:t>
            </w:r>
          </w:p>
        </w:tc>
        <w:tc>
          <w:tcPr>
            <w:tcW w:w="619"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735"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工作年限</w:t>
            </w:r>
          </w:p>
        </w:tc>
        <w:tc>
          <w:tcPr>
            <w:tcW w:w="1092"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类似施工经验年限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52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521"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508"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619"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73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092"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52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521"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508"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619"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73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092"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52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521"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508"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619"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73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092"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52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521"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508"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619"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73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092"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52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521"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508"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619"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73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092"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52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521"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508"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619"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73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092"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52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521"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508"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619"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73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092"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52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521"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508"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619"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73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092"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52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521"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508"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619"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73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092"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52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521"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508"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619"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73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092"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52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521"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508"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619"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73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092"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52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521"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508"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619"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73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092"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52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521"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508"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619"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735"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c>
          <w:tcPr>
            <w:tcW w:w="1092" w:type="pct"/>
            <w:vAlign w:val="center"/>
          </w:tcPr>
          <w:p>
            <w:pPr>
              <w:pageBreakBefore w:val="0"/>
              <w:kinsoku/>
              <w:wordWrap w:val="0"/>
              <w:overflowPunct/>
              <w:bidi w:val="0"/>
              <w:spacing w:line="400" w:lineRule="atLeast"/>
              <w:jc w:val="center"/>
              <w:rPr>
                <w:rFonts w:hint="default" w:ascii="Times New Roman" w:hAnsi="Times New Roman" w:cs="Times New Roman"/>
                <w:color w:val="auto"/>
                <w:highlight w:val="none"/>
              </w:rPr>
            </w:pPr>
          </w:p>
        </w:tc>
      </w:tr>
    </w:tbl>
    <w:p>
      <w:pPr>
        <w:pStyle w:val="17"/>
        <w:pageBreakBefore w:val="0"/>
        <w:kinsoku/>
        <w:wordWrap w:val="0"/>
        <w:overflowPunct/>
        <w:bidi w:val="0"/>
        <w:spacing w:after="0" w:line="400" w:lineRule="atLeast"/>
        <w:ind w:left="735" w:leftChars="0" w:hanging="735" w:hangingChars="350"/>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注：本表填报的人员应满足招标文件第二章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前附表附录6的要求。</w:t>
      </w:r>
    </w:p>
    <w:p>
      <w:pPr>
        <w:pageBreakBefore w:val="0"/>
        <w:kinsoku/>
        <w:wordWrap w:val="0"/>
        <w:overflowPunct/>
        <w:bidi w:val="0"/>
        <w:spacing w:line="400" w:lineRule="atLeast"/>
        <w:jc w:val="center"/>
        <w:rPr>
          <w:rFonts w:hint="default" w:ascii="Times New Roman" w:hAnsi="Times New Roman" w:eastAsia="黑体" w:cs="Times New Roman"/>
          <w:color w:val="auto"/>
          <w:sz w:val="28"/>
          <w:highlight w:val="none"/>
        </w:rPr>
      </w:pPr>
      <w:r>
        <w:rPr>
          <w:rFonts w:hint="default" w:ascii="Times New Roman" w:hAnsi="Times New Roman" w:eastAsia="黑体" w:cs="Times New Roman"/>
          <w:color w:val="auto"/>
          <w:sz w:val="28"/>
          <w:highlight w:val="none"/>
        </w:rPr>
        <w:br w:type="page"/>
      </w:r>
    </w:p>
    <w:p>
      <w:pPr>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outlineLvl w:val="9"/>
        <w:rPr>
          <w:rFonts w:hint="default" w:ascii="Times New Roman" w:hAnsi="Times New Roman" w:eastAsia="黑体" w:cs="Times New Roman"/>
          <w:b w:val="0"/>
          <w:color w:val="auto"/>
          <w:sz w:val="24"/>
          <w:szCs w:val="24"/>
          <w:highlight w:val="none"/>
        </w:rPr>
      </w:pPr>
      <w:bookmarkStart w:id="2565" w:name="_Toc234833287"/>
      <w:bookmarkStart w:id="2566" w:name="_Toc23747892"/>
      <w:bookmarkStart w:id="2567" w:name="_Toc501257507"/>
      <w:r>
        <w:rPr>
          <w:rFonts w:hint="default" w:ascii="Times New Roman" w:hAnsi="Times New Roman" w:eastAsia="黑体" w:cs="Times New Roman"/>
          <w:b w:val="0"/>
          <w:color w:val="auto"/>
          <w:sz w:val="24"/>
          <w:szCs w:val="24"/>
          <w:highlight w:val="none"/>
        </w:rPr>
        <w:t>（八）拟委任的其他管理和技术人员资历表</w:t>
      </w:r>
      <w:r>
        <w:rPr>
          <w:rFonts w:hint="default" w:ascii="Times New Roman" w:hAnsi="Times New Roman" w:eastAsia="黑体" w:cs="Times New Roman"/>
          <w:b w:val="0"/>
          <w:color w:val="auto"/>
          <w:sz w:val="24"/>
          <w:szCs w:val="24"/>
          <w:highlight w:val="none"/>
          <w:vertAlign w:val="superscript"/>
        </w:rPr>
        <w:footnoteReference w:id="90"/>
      </w:r>
      <w:bookmarkEnd w:id="2565"/>
      <w:bookmarkEnd w:id="2566"/>
      <w:bookmarkEnd w:id="2567"/>
    </w:p>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highlight w:val="none"/>
        </w:rPr>
      </w:pP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18"/>
        <w:gridCol w:w="50"/>
        <w:gridCol w:w="1334"/>
        <w:gridCol w:w="102"/>
        <w:gridCol w:w="1046"/>
        <w:gridCol w:w="1363"/>
        <w:gridCol w:w="333"/>
        <w:gridCol w:w="1523"/>
        <w:gridCol w:w="381"/>
        <w:gridCol w:w="1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707" w:type="pct"/>
            <w:tcBorders>
              <w:top w:val="single" w:color="auto" w:sz="4" w:space="0"/>
              <w:left w:val="single" w:color="auto" w:sz="4" w:space="0"/>
              <w:bottom w:val="single" w:color="auto" w:sz="4" w:space="0"/>
              <w:right w:val="single" w:color="auto" w:sz="4" w:space="0"/>
            </w:tcBorders>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    名</w:t>
            </w:r>
          </w:p>
        </w:tc>
        <w:tc>
          <w:tcPr>
            <w:tcW w:w="862" w:type="pct"/>
            <w:gridSpan w:val="3"/>
            <w:tcBorders>
              <w:top w:val="single" w:color="auto" w:sz="4" w:space="0"/>
              <w:left w:val="single" w:color="auto" w:sz="4" w:space="0"/>
              <w:bottom w:val="single" w:color="auto" w:sz="4" w:space="0"/>
              <w:right w:val="single" w:color="auto" w:sz="4" w:space="0"/>
            </w:tcBorders>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607" w:type="pct"/>
            <w:tcBorders>
              <w:top w:val="single" w:color="auto" w:sz="4" w:space="0"/>
              <w:left w:val="single" w:color="auto" w:sz="4" w:space="0"/>
              <w:bottom w:val="single" w:color="auto" w:sz="4" w:space="0"/>
              <w:right w:val="single" w:color="auto" w:sz="4" w:space="0"/>
            </w:tcBorders>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龄</w:t>
            </w:r>
          </w:p>
        </w:tc>
        <w:tc>
          <w:tcPr>
            <w:tcW w:w="791" w:type="pct"/>
            <w:tcBorders>
              <w:top w:val="single" w:color="auto" w:sz="4" w:space="0"/>
              <w:left w:val="single" w:color="auto" w:sz="4" w:space="0"/>
              <w:bottom w:val="single" w:color="auto" w:sz="4" w:space="0"/>
              <w:right w:val="single" w:color="auto" w:sz="4" w:space="0"/>
            </w:tcBorders>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77" w:type="pct"/>
            <w:gridSpan w:val="2"/>
            <w:tcBorders>
              <w:top w:val="single" w:color="auto" w:sz="4" w:space="0"/>
              <w:left w:val="single" w:color="auto" w:sz="4" w:space="0"/>
              <w:bottom w:val="single" w:color="auto" w:sz="4" w:space="0"/>
              <w:right w:val="single" w:color="auto" w:sz="4" w:space="0"/>
            </w:tcBorders>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专    业</w:t>
            </w:r>
          </w:p>
        </w:tc>
        <w:tc>
          <w:tcPr>
            <w:tcW w:w="956" w:type="pct"/>
            <w:gridSpan w:val="2"/>
            <w:tcBorders>
              <w:top w:val="single" w:color="auto" w:sz="4" w:space="0"/>
              <w:left w:val="single" w:color="auto" w:sz="4" w:space="0"/>
              <w:bottom w:val="single" w:color="auto" w:sz="4" w:space="0"/>
              <w:right w:val="single" w:color="auto" w:sz="4" w:space="0"/>
            </w:tcBorders>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707" w:type="pct"/>
            <w:tcBorders>
              <w:top w:val="single" w:color="auto" w:sz="4" w:space="0"/>
              <w:left w:val="single" w:color="auto" w:sz="4" w:space="0"/>
              <w:bottom w:val="single" w:color="auto" w:sz="4" w:space="0"/>
              <w:right w:val="single" w:color="auto" w:sz="4" w:space="0"/>
            </w:tcBorders>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862" w:type="pct"/>
            <w:gridSpan w:val="3"/>
            <w:tcBorders>
              <w:top w:val="single" w:color="auto" w:sz="4" w:space="0"/>
              <w:left w:val="single" w:color="auto" w:sz="4" w:space="0"/>
              <w:bottom w:val="single" w:color="auto" w:sz="4" w:space="0"/>
              <w:right w:val="single" w:color="auto" w:sz="4" w:space="0"/>
            </w:tcBorders>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607" w:type="pct"/>
            <w:tcBorders>
              <w:top w:val="single" w:color="auto" w:sz="4" w:space="0"/>
              <w:left w:val="single" w:color="auto" w:sz="4" w:space="0"/>
              <w:bottom w:val="single" w:color="auto" w:sz="4" w:space="0"/>
              <w:right w:val="single" w:color="auto" w:sz="4" w:space="0"/>
            </w:tcBorders>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    历</w:t>
            </w:r>
          </w:p>
        </w:tc>
        <w:tc>
          <w:tcPr>
            <w:tcW w:w="791" w:type="pct"/>
            <w:tcBorders>
              <w:top w:val="single" w:color="auto" w:sz="4" w:space="0"/>
              <w:left w:val="single" w:color="auto" w:sz="4" w:space="0"/>
              <w:bottom w:val="single" w:color="auto" w:sz="4" w:space="0"/>
              <w:right w:val="single" w:color="auto" w:sz="4" w:space="0"/>
            </w:tcBorders>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77" w:type="pct"/>
            <w:gridSpan w:val="2"/>
            <w:tcBorders>
              <w:top w:val="single" w:color="auto" w:sz="4" w:space="0"/>
              <w:left w:val="single" w:color="auto" w:sz="4" w:space="0"/>
              <w:bottom w:val="single" w:color="auto" w:sz="4" w:space="0"/>
              <w:right w:val="single" w:color="auto" w:sz="4" w:space="0"/>
            </w:tcBorders>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拟在本标段</w:t>
            </w:r>
          </w:p>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工程任职</w:t>
            </w:r>
          </w:p>
        </w:tc>
        <w:tc>
          <w:tcPr>
            <w:tcW w:w="956" w:type="pct"/>
            <w:gridSpan w:val="2"/>
            <w:tcBorders>
              <w:top w:val="single" w:color="auto" w:sz="4" w:space="0"/>
              <w:left w:val="single" w:color="auto" w:sz="4" w:space="0"/>
              <w:bottom w:val="single" w:color="auto" w:sz="4" w:space="0"/>
              <w:right w:val="single" w:color="auto" w:sz="4" w:space="0"/>
            </w:tcBorders>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07" w:type="pct"/>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工作年限</w:t>
            </w:r>
          </w:p>
        </w:tc>
        <w:tc>
          <w:tcPr>
            <w:tcW w:w="2260"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77"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类似施工经验年限</w:t>
            </w:r>
          </w:p>
        </w:tc>
        <w:tc>
          <w:tcPr>
            <w:tcW w:w="956"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707" w:type="pct"/>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毕业学校</w:t>
            </w:r>
          </w:p>
        </w:tc>
        <w:tc>
          <w:tcPr>
            <w:tcW w:w="4293" w:type="pct"/>
            <w:gridSpan w:val="9"/>
            <w:vAlign w:val="center"/>
          </w:tcPr>
          <w:p>
            <w:pPr>
              <w:pageBreakBefore w:val="0"/>
              <w:widowControl/>
              <w:kinsoku/>
              <w:wordWrap w:val="0"/>
              <w:overflowPunct/>
              <w:autoSpaceDE w:val="0"/>
              <w:autoSpaceDN w:val="0"/>
              <w:bidi w:val="0"/>
              <w:spacing w:before="60" w:beforeLines="25" w:after="60" w:afterLines="25" w:line="400" w:lineRule="atLeast"/>
              <w:ind w:left="-187" w:leftChars="-89"/>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______年___月毕业于___________________学校___________专业，学制______年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10"/>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         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时  间</w:t>
            </w:r>
          </w:p>
        </w:tc>
        <w:tc>
          <w:tcPr>
            <w:tcW w:w="2424" w:type="pct"/>
            <w:gridSpan w:val="5"/>
            <w:vAlign w:val="center"/>
          </w:tcPr>
          <w:p>
            <w:pPr>
              <w:pStyle w:val="67"/>
              <w:pageBreakBefore w:val="0"/>
              <w:widowControl/>
              <w:kinsoku/>
              <w:wordWrap w:val="0"/>
              <w:overflowPunct/>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参加过的类似工程项目名称</w:t>
            </w:r>
          </w:p>
        </w:tc>
        <w:tc>
          <w:tcPr>
            <w:tcW w:w="1105" w:type="pct"/>
            <w:gridSpan w:val="2"/>
            <w:vAlign w:val="center"/>
          </w:tcPr>
          <w:p>
            <w:pPr>
              <w:pStyle w:val="67"/>
              <w:pageBreakBefore w:val="0"/>
              <w:widowControl/>
              <w:kinsoku/>
              <w:wordWrap w:val="0"/>
              <w:overflowPunct/>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担任职务</w:t>
            </w:r>
          </w:p>
        </w:tc>
        <w:tc>
          <w:tcPr>
            <w:tcW w:w="735" w:type="pct"/>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736" w:type="pct"/>
            <w:gridSpan w:val="2"/>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2424" w:type="pct"/>
            <w:gridSpan w:val="5"/>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105" w:type="pct"/>
            <w:gridSpan w:val="2"/>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735" w:type="pct"/>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510" w:type="pct"/>
            <w:gridSpan w:val="3"/>
            <w:vAlign w:val="center"/>
          </w:tcPr>
          <w:p>
            <w:pPr>
              <w:pageBreakBefore w:val="0"/>
              <w:widowControl/>
              <w:kinsoku/>
              <w:wordWrap w:val="0"/>
              <w:overflowPunct/>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获奖情况</w:t>
            </w:r>
          </w:p>
        </w:tc>
        <w:tc>
          <w:tcPr>
            <w:tcW w:w="3490" w:type="pct"/>
            <w:gridSpan w:val="7"/>
          </w:tcPr>
          <w:p>
            <w:pPr>
              <w:pageBreakBefore w:val="0"/>
              <w:widowControl/>
              <w:kinsoku/>
              <w:wordWrap w:val="0"/>
              <w:overflowPunct/>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10" w:type="pct"/>
            <w:gridSpan w:val="3"/>
            <w:vAlign w:val="center"/>
          </w:tcPr>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说明在岗情况</w:t>
            </w:r>
          </w:p>
        </w:tc>
        <w:tc>
          <w:tcPr>
            <w:tcW w:w="3490" w:type="pct"/>
            <w:gridSpan w:val="7"/>
          </w:tcPr>
          <w:p>
            <w:pPr>
              <w:pStyle w:val="15"/>
              <w:pageBreakBefore w:val="0"/>
              <w:kinsoku/>
              <w:wordWrap w:val="0"/>
              <w:overflowPunct/>
              <w:topLinePunct/>
              <w:bidi w:val="0"/>
              <w:spacing w:line="360" w:lineRule="atLeas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□目前未在其他项目上任职，现从事工作为：</w:t>
            </w:r>
            <w:r>
              <w:rPr>
                <w:rFonts w:hint="default"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rPr>
              <w:t>。</w:t>
            </w:r>
          </w:p>
          <w:p>
            <w:pPr>
              <w:pageBreakBefore w:val="0"/>
              <w:widowControl/>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□目前虽</w:t>
            </w:r>
            <w:r>
              <w:rPr>
                <w:rFonts w:hint="default" w:ascii="Times New Roman" w:hAnsi="Times New Roman" w:cs="Times New Roman"/>
                <w:color w:val="auto"/>
                <w:highlight w:val="none"/>
              </w:rPr>
              <w:t>在其他项目</w:t>
            </w:r>
            <w:r>
              <w:rPr>
                <w:rFonts w:hint="default" w:ascii="Times New Roman" w:hAnsi="Times New Roman" w:cs="Times New Roman"/>
                <w:color w:val="auto"/>
                <w:szCs w:val="21"/>
                <w:highlight w:val="none"/>
              </w:rPr>
              <w:t>上</w:t>
            </w:r>
            <w:r>
              <w:rPr>
                <w:rFonts w:hint="default" w:ascii="Times New Roman" w:hAnsi="Times New Roman" w:cs="Times New Roman"/>
                <w:color w:val="auto"/>
                <w:highlight w:val="none"/>
              </w:rPr>
              <w:t>任职，但本项目中标后能够从该项目撤离，目前任职项目：</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，担任职位：</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10" w:type="pct"/>
            <w:gridSpan w:val="3"/>
            <w:vAlign w:val="center"/>
          </w:tcPr>
          <w:p>
            <w:pPr>
              <w:pageBreakBefore w:val="0"/>
              <w:widowControl/>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     注</w:t>
            </w:r>
          </w:p>
        </w:tc>
        <w:tc>
          <w:tcPr>
            <w:tcW w:w="3490" w:type="pct"/>
            <w:gridSpan w:val="7"/>
          </w:tcPr>
          <w:p>
            <w:pPr>
              <w:pageBreakBefore w:val="0"/>
              <w:widowControl/>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r>
    </w:tbl>
    <w:p>
      <w:pPr>
        <w:pStyle w:val="17"/>
        <w:pageBreakBefore w:val="0"/>
        <w:kinsoku/>
        <w:wordWrap w:val="0"/>
        <w:overflowPunct/>
        <w:bidi w:val="0"/>
        <w:spacing w:after="0" w:line="400" w:lineRule="atLeast"/>
        <w:ind w:left="588" w:leftChars="0" w:right="-61" w:rightChars="-29" w:hanging="588" w:hangingChars="2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注：1.本表人员应与表（七）中所列人员相一致。</w:t>
      </w:r>
    </w:p>
    <w:p>
      <w:pPr>
        <w:pStyle w:val="17"/>
        <w:pageBreakBefore w:val="0"/>
        <w:kinsoku/>
        <w:wordWrap w:val="0"/>
        <w:overflowPunct/>
        <w:bidi w:val="0"/>
        <w:spacing w:after="0" w:line="40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第3.5.6项的要求在本表后附相关证明材料。</w:t>
      </w:r>
    </w:p>
    <w:p>
      <w:pPr>
        <w:keepNext/>
        <w:keepLines/>
        <w:pageBreakBefore w:val="0"/>
        <w:widowControl w:val="0"/>
        <w:kinsoku/>
        <w:wordWrap w:val="0"/>
        <w:overflowPunct/>
        <w:topLinePunct w:val="0"/>
        <w:autoSpaceDE/>
        <w:autoSpaceDN/>
        <w:bidi w:val="0"/>
        <w:adjustRightInd/>
        <w:snapToGrid/>
        <w:spacing w:before="0" w:after="0" w:line="400" w:lineRule="atLeast"/>
        <w:jc w:val="center"/>
        <w:textAlignment w:val="auto"/>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2568" w:name="_Toc23747893"/>
      <w:bookmarkStart w:id="2569" w:name="_Toc234833288"/>
      <w:bookmarkStart w:id="2570" w:name="_Toc501257508"/>
      <w:r>
        <w:rPr>
          <w:rFonts w:hint="default" w:ascii="Times New Roman" w:hAnsi="Times New Roman" w:eastAsia="黑体" w:cs="Times New Roman"/>
          <w:b w:val="0"/>
          <w:color w:val="auto"/>
          <w:sz w:val="24"/>
          <w:szCs w:val="24"/>
          <w:highlight w:val="none"/>
        </w:rPr>
        <w:t>（九） 拟投入本标段的主要施工机械表</w:t>
      </w:r>
      <w:r>
        <w:rPr>
          <w:rFonts w:hint="default" w:ascii="Times New Roman" w:hAnsi="Times New Roman" w:eastAsia="黑体" w:cs="Times New Roman"/>
          <w:b w:val="0"/>
          <w:color w:val="auto"/>
          <w:sz w:val="24"/>
          <w:szCs w:val="24"/>
          <w:highlight w:val="none"/>
          <w:vertAlign w:val="superscript"/>
        </w:rPr>
        <w:footnoteReference w:id="91"/>
      </w:r>
      <w:bookmarkEnd w:id="2568"/>
      <w:bookmarkEnd w:id="2569"/>
      <w:bookmarkEnd w:id="2570"/>
    </w:p>
    <w:p>
      <w:pPr>
        <w:pageBreakBefore w:val="0"/>
        <w:widowControl/>
        <w:kinsoku/>
        <w:wordWrap w:val="0"/>
        <w:overflowPunct/>
        <w:autoSpaceDE w:val="0"/>
        <w:autoSpaceDN w:val="0"/>
        <w:bidi w:val="0"/>
        <w:spacing w:line="400" w:lineRule="atLeast"/>
        <w:ind w:left="180"/>
        <w:textAlignment w:val="bottom"/>
        <w:rPr>
          <w:rFonts w:hint="default" w:ascii="Times New Roman" w:hAnsi="Times New Roman" w:eastAsia="黑体" w:cs="Times New Roman"/>
          <w:color w:val="auto"/>
          <w:sz w:val="23"/>
          <w:szCs w:val="23"/>
          <w:highlight w:val="none"/>
        </w:rPr>
      </w:pPr>
    </w:p>
    <w:tbl>
      <w:tblPr>
        <w:tblStyle w:val="37"/>
        <w:tblW w:w="4853"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1071"/>
        <w:gridCol w:w="748"/>
        <w:gridCol w:w="661"/>
        <w:gridCol w:w="651"/>
        <w:gridCol w:w="929"/>
        <w:gridCol w:w="637"/>
        <w:gridCol w:w="426"/>
        <w:gridCol w:w="552"/>
        <w:gridCol w:w="552"/>
        <w:gridCol w:w="554"/>
        <w:gridCol w:w="9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472" w:type="pct"/>
            <w:vMerge w:val="restar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629" w:type="pct"/>
            <w:vMerge w:val="restar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设备名称</w:t>
            </w:r>
          </w:p>
        </w:tc>
        <w:tc>
          <w:tcPr>
            <w:tcW w:w="439" w:type="pct"/>
            <w:vMerge w:val="restar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型号</w:t>
            </w:r>
          </w:p>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规格</w:t>
            </w:r>
          </w:p>
        </w:tc>
        <w:tc>
          <w:tcPr>
            <w:tcW w:w="388" w:type="pct"/>
            <w:vMerge w:val="restar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国别</w:t>
            </w:r>
          </w:p>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产地</w:t>
            </w:r>
          </w:p>
        </w:tc>
        <w:tc>
          <w:tcPr>
            <w:tcW w:w="382" w:type="pct"/>
            <w:vMerge w:val="restar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制造</w:t>
            </w:r>
          </w:p>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年份</w:t>
            </w:r>
          </w:p>
        </w:tc>
        <w:tc>
          <w:tcPr>
            <w:tcW w:w="545" w:type="pct"/>
            <w:vMerge w:val="restar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额定功率（kW）</w:t>
            </w:r>
          </w:p>
        </w:tc>
        <w:tc>
          <w:tcPr>
            <w:tcW w:w="374" w:type="pct"/>
            <w:vMerge w:val="restar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生产</w:t>
            </w:r>
          </w:p>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能力</w:t>
            </w:r>
          </w:p>
        </w:tc>
        <w:tc>
          <w:tcPr>
            <w:tcW w:w="1222" w:type="pct"/>
            <w:gridSpan w:val="4"/>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数量（台）</w:t>
            </w:r>
          </w:p>
        </w:tc>
        <w:tc>
          <w:tcPr>
            <w:tcW w:w="549" w:type="pct"/>
            <w:vMerge w:val="restar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预计进场时间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vMerge w:val="continue"/>
            <w:vAlign w:val="center"/>
          </w:tcPr>
          <w:p>
            <w:pPr>
              <w:pageBreakBefore w:val="0"/>
              <w:kinsoku/>
              <w:wordWrap w:val="0"/>
              <w:overflowPunct/>
              <w:bidi w:val="0"/>
              <w:spacing w:line="400" w:lineRule="atLeast"/>
              <w:rPr>
                <w:rFonts w:hint="default" w:ascii="Times New Roman" w:hAnsi="Times New Roman" w:cs="Times New Roman"/>
                <w:color w:val="auto"/>
                <w:szCs w:val="21"/>
                <w:highlight w:val="none"/>
              </w:rPr>
            </w:pPr>
          </w:p>
        </w:tc>
        <w:tc>
          <w:tcPr>
            <w:tcW w:w="629"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vMerge w:val="restar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小计</w:t>
            </w:r>
          </w:p>
        </w:tc>
        <w:tc>
          <w:tcPr>
            <w:tcW w:w="973" w:type="pct"/>
            <w:gridSpan w:val="3"/>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 中</w:t>
            </w:r>
          </w:p>
        </w:tc>
        <w:tc>
          <w:tcPr>
            <w:tcW w:w="549"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72" w:type="pct"/>
            <w:vMerge w:val="continue"/>
            <w:vAlign w:val="center"/>
          </w:tcPr>
          <w:p>
            <w:pPr>
              <w:pageBreakBefore w:val="0"/>
              <w:kinsoku/>
              <w:wordWrap w:val="0"/>
              <w:overflowPunct/>
              <w:bidi w:val="0"/>
              <w:spacing w:line="400" w:lineRule="atLeast"/>
              <w:rPr>
                <w:rFonts w:hint="default" w:ascii="Times New Roman" w:hAnsi="Times New Roman" w:cs="Times New Roman"/>
                <w:color w:val="auto"/>
                <w:szCs w:val="21"/>
                <w:highlight w:val="none"/>
              </w:rPr>
            </w:pPr>
          </w:p>
        </w:tc>
        <w:tc>
          <w:tcPr>
            <w:tcW w:w="629"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自有</w:t>
            </w:r>
          </w:p>
        </w:tc>
        <w:tc>
          <w:tcPr>
            <w:tcW w:w="324" w:type="pct"/>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新购</w:t>
            </w:r>
          </w:p>
        </w:tc>
        <w:tc>
          <w:tcPr>
            <w:tcW w:w="325" w:type="pct"/>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租赁</w:t>
            </w:r>
          </w:p>
        </w:tc>
        <w:tc>
          <w:tcPr>
            <w:tcW w:w="549" w:type="pct"/>
            <w:vMerge w:val="continue"/>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2"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vAlign w:val="center"/>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vAlign w:val="center"/>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62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43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8"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82"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545"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74"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249" w:type="pct"/>
            <w:shd w:val="clear" w:color="auto" w:fill="auto"/>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4"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325" w:type="pct"/>
            <w:shd w:val="clear" w:color="auto" w:fill="auto"/>
          </w:tcPr>
          <w:p>
            <w:pPr>
              <w:pageBreakBefore w:val="0"/>
              <w:kinsoku/>
              <w:wordWrap w:val="0"/>
              <w:overflowPunct/>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49" w:type="pct"/>
          </w:tcPr>
          <w:p>
            <w:pPr>
              <w:pageBreakBefore w:val="0"/>
              <w:kinsoku/>
              <w:wordWrap w:val="0"/>
              <w:overflowPunct/>
              <w:bidi w:val="0"/>
              <w:spacing w:line="400" w:lineRule="atLeast"/>
              <w:jc w:val="center"/>
              <w:rPr>
                <w:rFonts w:hint="default" w:ascii="Times New Roman" w:hAnsi="Times New Roman" w:cs="Times New Roman"/>
                <w:color w:val="auto"/>
                <w:szCs w:val="21"/>
                <w:highlight w:val="none"/>
              </w:rPr>
            </w:pPr>
          </w:p>
        </w:tc>
      </w:tr>
    </w:tbl>
    <w:p>
      <w:pPr>
        <w:pStyle w:val="17"/>
        <w:pageBreakBefore w:val="0"/>
        <w:kinsoku/>
        <w:wordWrap w:val="0"/>
        <w:overflowPunct/>
        <w:bidi w:val="0"/>
        <w:spacing w:after="0" w:line="400" w:lineRule="atLeast"/>
        <w:ind w:left="735" w:leftChars="0" w:hanging="735" w:hangingChars="350"/>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注：本表填报的设备应满足招标文件第二章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前附表附录7的要求。</w:t>
      </w:r>
    </w:p>
    <w:p>
      <w:pPr>
        <w:pageBreakBefore w:val="0"/>
        <w:kinsoku/>
        <w:wordWrap w:val="0"/>
        <w:overflowPunct/>
        <w:topLinePunct/>
        <w:bidi w:val="0"/>
        <w:spacing w:line="400" w:lineRule="atLeast"/>
        <w:rPr>
          <w:rFonts w:hint="default" w:ascii="Times New Roman" w:hAnsi="Times New Roman" w:cs="Times New Roman"/>
          <w:color w:val="auto"/>
          <w:sz w:val="23"/>
          <w:szCs w:val="23"/>
          <w:highlight w:val="none"/>
        </w:rPr>
      </w:pPr>
    </w:p>
    <w:p>
      <w:pPr>
        <w:keepNext/>
        <w:keepLines/>
        <w:pageBreakBefore w:val="0"/>
        <w:widowControl w:val="0"/>
        <w:kinsoku/>
        <w:wordWrap w:val="0"/>
        <w:overflowPunct/>
        <w:topLinePunct w:val="0"/>
        <w:autoSpaceDE/>
        <w:autoSpaceDN/>
        <w:bidi w:val="0"/>
        <w:adjustRightInd/>
        <w:snapToGrid/>
        <w:spacing w:before="0" w:after="0" w:line="380" w:lineRule="atLeast"/>
        <w:jc w:val="center"/>
        <w:textAlignment w:val="auto"/>
        <w:outlineLvl w:val="9"/>
        <w:rPr>
          <w:rFonts w:hint="default" w:ascii="Times New Roman" w:hAnsi="Times New Roman" w:eastAsia="黑体" w:cs="Times New Roman"/>
          <w:b w:val="0"/>
          <w:color w:val="auto"/>
          <w:sz w:val="24"/>
          <w:szCs w:val="24"/>
          <w:highlight w:val="none"/>
        </w:rPr>
      </w:pPr>
      <w:bookmarkStart w:id="2571" w:name="_Toc23747894"/>
      <w:bookmarkStart w:id="2572" w:name="_Toc234833289"/>
      <w:bookmarkStart w:id="2573" w:name="_Toc501257509"/>
      <w:r>
        <w:rPr>
          <w:rFonts w:hint="default" w:ascii="Times New Roman" w:hAnsi="Times New Roman" w:eastAsia="黑体" w:cs="Times New Roman"/>
          <w:b w:val="0"/>
          <w:color w:val="auto"/>
          <w:sz w:val="24"/>
          <w:szCs w:val="24"/>
          <w:highlight w:val="none"/>
        </w:rPr>
        <w:t>（十） 拟配备本标段的主要材料试验、测量、质检仪器设备表</w:t>
      </w:r>
      <w:r>
        <w:rPr>
          <w:rFonts w:hint="default" w:ascii="Times New Roman" w:hAnsi="Times New Roman" w:eastAsia="黑体" w:cs="Times New Roman"/>
          <w:b w:val="0"/>
          <w:color w:val="auto"/>
          <w:sz w:val="24"/>
          <w:szCs w:val="24"/>
          <w:highlight w:val="none"/>
          <w:vertAlign w:val="superscript"/>
        </w:rPr>
        <w:footnoteReference w:id="92"/>
      </w:r>
      <w:bookmarkEnd w:id="2571"/>
      <w:bookmarkEnd w:id="2572"/>
      <w:bookmarkEnd w:id="2573"/>
    </w:p>
    <w:p>
      <w:pPr>
        <w:pageBreakBefore w:val="0"/>
        <w:kinsoku/>
        <w:wordWrap w:val="0"/>
        <w:overflowPunct/>
        <w:bidi w:val="0"/>
        <w:spacing w:line="400" w:lineRule="atLeast"/>
        <w:rPr>
          <w:rFonts w:hint="default" w:ascii="Times New Roman" w:hAnsi="Times New Roman" w:cs="Times New Roman"/>
          <w:color w:val="auto"/>
          <w:sz w:val="20"/>
          <w:szCs w:val="20"/>
          <w:highlight w:val="none"/>
        </w:rPr>
      </w:pPr>
    </w:p>
    <w:tbl>
      <w:tblPr>
        <w:tblStyle w:val="37"/>
        <w:tblW w:w="4898"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6"/>
        <w:gridCol w:w="1596"/>
        <w:gridCol w:w="1017"/>
        <w:gridCol w:w="1003"/>
        <w:gridCol w:w="1013"/>
        <w:gridCol w:w="1013"/>
        <w:gridCol w:w="1672"/>
        <w:gridCol w:w="6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 w:type="pct"/>
            <w:vAlign w:val="center"/>
          </w:tcPr>
          <w:p>
            <w:pPr>
              <w:pageBreakBefore w:val="0"/>
              <w:kinsoku/>
              <w:wordWrap w:val="0"/>
              <w:overflowPunct/>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928" w:type="pct"/>
            <w:vAlign w:val="center"/>
          </w:tcPr>
          <w:p>
            <w:pPr>
              <w:pageBreakBefore w:val="0"/>
              <w:kinsoku/>
              <w:wordWrap w:val="0"/>
              <w:overflowPunct/>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仪器设备名称</w:t>
            </w:r>
          </w:p>
        </w:tc>
        <w:tc>
          <w:tcPr>
            <w:tcW w:w="591" w:type="pct"/>
            <w:vAlign w:val="center"/>
          </w:tcPr>
          <w:p>
            <w:pPr>
              <w:pageBreakBefore w:val="0"/>
              <w:kinsoku/>
              <w:wordWrap w:val="0"/>
              <w:overflowPunct/>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型号规格</w:t>
            </w:r>
          </w:p>
        </w:tc>
        <w:tc>
          <w:tcPr>
            <w:tcW w:w="583" w:type="pct"/>
            <w:vAlign w:val="center"/>
          </w:tcPr>
          <w:p>
            <w:pPr>
              <w:pageBreakBefore w:val="0"/>
              <w:kinsoku/>
              <w:wordWrap w:val="0"/>
              <w:overflowPunct/>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589" w:type="pct"/>
            <w:vAlign w:val="center"/>
          </w:tcPr>
          <w:p>
            <w:pPr>
              <w:pageBreakBefore w:val="0"/>
              <w:kinsoku/>
              <w:wordWrap w:val="0"/>
              <w:overflowPunct/>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国别产地</w:t>
            </w:r>
          </w:p>
        </w:tc>
        <w:tc>
          <w:tcPr>
            <w:tcW w:w="589" w:type="pct"/>
            <w:vAlign w:val="center"/>
          </w:tcPr>
          <w:p>
            <w:pPr>
              <w:pageBreakBefore w:val="0"/>
              <w:kinsoku/>
              <w:wordWrap w:val="0"/>
              <w:overflowPunct/>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制造年份</w:t>
            </w:r>
          </w:p>
        </w:tc>
        <w:tc>
          <w:tcPr>
            <w:tcW w:w="972" w:type="pct"/>
            <w:vAlign w:val="center"/>
          </w:tcPr>
          <w:p>
            <w:pPr>
              <w:pageBreakBefore w:val="0"/>
              <w:kinsoku/>
              <w:wordWrap w:val="0"/>
              <w:overflowPunct/>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用途</w:t>
            </w:r>
          </w:p>
        </w:tc>
        <w:tc>
          <w:tcPr>
            <w:tcW w:w="400" w:type="pct"/>
            <w:vAlign w:val="center"/>
          </w:tcPr>
          <w:p>
            <w:pPr>
              <w:pageBreakBefore w:val="0"/>
              <w:kinsoku/>
              <w:wordWrap w:val="0"/>
              <w:overflowPunct/>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vAlign w:val="center"/>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7"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7"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7"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7"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28"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91"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3"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589"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972"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400" w:type="pct"/>
          </w:tcPr>
          <w:p>
            <w:pPr>
              <w:pageBreakBefore w:val="0"/>
              <w:kinsoku/>
              <w:wordWrap w:val="0"/>
              <w:overflowPunct/>
              <w:bidi w:val="0"/>
              <w:spacing w:before="120" w:beforeLines="50" w:after="120" w:afterLines="50" w:line="400" w:lineRule="atLeast"/>
              <w:jc w:val="center"/>
              <w:rPr>
                <w:rFonts w:hint="default" w:ascii="Times New Roman" w:hAnsi="Times New Roman" w:cs="Times New Roman"/>
                <w:color w:val="auto"/>
                <w:szCs w:val="21"/>
                <w:highlight w:val="none"/>
              </w:rPr>
            </w:pPr>
          </w:p>
        </w:tc>
      </w:tr>
    </w:tbl>
    <w:p>
      <w:pPr>
        <w:pStyle w:val="17"/>
        <w:pageBreakBefore w:val="0"/>
        <w:kinsoku/>
        <w:wordWrap w:val="0"/>
        <w:overflowPunct/>
        <w:bidi w:val="0"/>
        <w:spacing w:after="0" w:line="400" w:lineRule="atLeast"/>
        <w:ind w:left="735" w:leftChars="0" w:hanging="735" w:hangingChars="3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注：本表填报的设备应满足招标文件第二章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前附表附录7的要求。</w:t>
      </w:r>
    </w:p>
    <w:p>
      <w:pPr>
        <w:pageBreakBefore w:val="0"/>
        <w:kinsoku/>
        <w:wordWrap w:val="0"/>
        <w:overflowPunct/>
        <w:topLinePunct/>
        <w:autoSpaceDE/>
        <w:autoSpaceDN/>
        <w:bidi w:val="0"/>
        <w:spacing w:line="400" w:lineRule="atLeast"/>
        <w:jc w:val="center"/>
        <w:textAlignment w:val="auto"/>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br w:type="page"/>
      </w:r>
      <w:bookmarkStart w:id="2574" w:name="_Toc234833291"/>
      <w:bookmarkStart w:id="2575" w:name="_Toc23747895"/>
      <w:bookmarkStart w:id="2576" w:name="_Toc501257510"/>
    </w:p>
    <w:p>
      <w:pPr>
        <w:keepNext/>
        <w:keepLines w:val="0"/>
        <w:pageBreakBefore w:val="0"/>
        <w:widowControl w:val="0"/>
        <w:kinsoku/>
        <w:wordWrap/>
        <w:overflowPunct/>
        <w:topLinePunct/>
        <w:autoSpaceDE/>
        <w:autoSpaceDN/>
        <w:bidi w:val="0"/>
        <w:adjustRightInd w:val="0"/>
        <w:snapToGrid/>
        <w:spacing w:line="440" w:lineRule="exact"/>
        <w:jc w:val="center"/>
        <w:textAlignment w:val="baseline"/>
        <w:outlineLvl w:val="1"/>
        <w:rPr>
          <w:rFonts w:hint="default" w:ascii="Times New Roman" w:hAnsi="Times New Roman" w:eastAsia="黑体" w:cs="Times New Roman"/>
          <w:color w:val="auto"/>
          <w:kern w:val="0"/>
          <w:sz w:val="28"/>
          <w:szCs w:val="20"/>
          <w:highlight w:val="none"/>
        </w:rPr>
      </w:pPr>
      <w:bookmarkStart w:id="2577" w:name="_Toc952"/>
      <w:bookmarkStart w:id="2578" w:name="_Toc1937"/>
      <w:bookmarkStart w:id="2579" w:name="_Toc6716"/>
      <w:bookmarkStart w:id="2580" w:name="_Toc14575"/>
      <w:r>
        <w:rPr>
          <w:rFonts w:hint="default" w:ascii="Times New Roman" w:hAnsi="Times New Roman" w:eastAsia="黑体" w:cs="Times New Roman"/>
          <w:b w:val="0"/>
          <w:bCs/>
          <w:color w:val="auto"/>
          <w:kern w:val="44"/>
          <w:sz w:val="28"/>
          <w:szCs w:val="28"/>
          <w:highlight w:val="none"/>
          <w:lang w:val="en-US" w:eastAsia="zh-CN" w:bidi="ar-SA"/>
        </w:rPr>
        <w:t>九</w:t>
      </w:r>
      <w:r>
        <w:rPr>
          <w:rFonts w:hint="default" w:ascii="Times New Roman" w:hAnsi="Times New Roman" w:eastAsia="黑体" w:cs="Times New Roman"/>
          <w:b w:val="0"/>
          <w:bCs/>
          <w:color w:val="auto"/>
          <w:kern w:val="44"/>
          <w:sz w:val="28"/>
          <w:szCs w:val="28"/>
          <w:highlight w:val="none"/>
          <w:lang w:val="zh-CN" w:eastAsia="zh-CN" w:bidi="ar-SA"/>
        </w:rPr>
        <w:t>、投标人告知承诺函</w:t>
      </w:r>
      <w:bookmarkEnd w:id="2577"/>
      <w:bookmarkEnd w:id="2578"/>
      <w:bookmarkEnd w:id="2579"/>
      <w:bookmarkEnd w:id="2580"/>
      <w:r>
        <w:rPr>
          <w:rFonts w:hint="default" w:ascii="Times New Roman" w:hAnsi="Times New Roman" w:eastAsia="宋体" w:cs="Times New Roman"/>
          <w:color w:val="auto"/>
          <w:kern w:val="0"/>
          <w:sz w:val="24"/>
          <w:highlight w:val="none"/>
          <w:u w:val="single"/>
          <w:vertAlign w:val="superscript"/>
          <w:lang w:val="zh-CN" w:bidi="zh-CN"/>
        </w:rPr>
        <w:footnoteReference w:id="93"/>
      </w:r>
    </w:p>
    <w:p>
      <w:pPr>
        <w:spacing w:line="380" w:lineRule="exact"/>
        <w:rPr>
          <w:rFonts w:hint="default" w:ascii="Times New Roman" w:hAnsi="Times New Roman" w:cs="Times New Roman"/>
          <w:color w:val="auto"/>
          <w:sz w:val="24"/>
          <w:highlight w:val="none"/>
          <w:u w:val="single"/>
        </w:rPr>
      </w:pPr>
    </w:p>
    <w:p>
      <w:pPr>
        <w:pageBreakBefore w:val="0"/>
        <w:kinsoku/>
        <w:wordWrap w:val="0"/>
        <w:overflowPunct/>
        <w:autoSpaceDE/>
        <w:autoSpaceDN/>
        <w:bidi w:val="0"/>
        <w:spacing w:line="38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（监管部门名称）：</w:t>
      </w:r>
    </w:p>
    <w:p>
      <w:pPr>
        <w:pageBreakBefore w:val="0"/>
        <w:kinsoku/>
        <w:wordWrap w:val="0"/>
        <w:overflowPunct/>
        <w:autoSpaceDE/>
        <w:autoSpaceDN/>
        <w:bidi w:val="0"/>
        <w:spacing w:line="38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我单位参与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u w:val="single"/>
          <w:lang w:val="en-US" w:eastAsia="zh-CN"/>
        </w:rPr>
        <w:t>设计施工总承包</w:t>
      </w:r>
      <w:r>
        <w:rPr>
          <w:rFonts w:hint="default" w:ascii="Times New Roman" w:hAnsi="Times New Roman" w:cs="Times New Roman"/>
          <w:color w:val="auto"/>
          <w:sz w:val="24"/>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pPr>
        <w:pageBreakBefore w:val="0"/>
        <w:kinsoku/>
        <w:overflowPunct/>
        <w:autoSpaceDE/>
        <w:autoSpaceDN/>
        <w:bidi w:val="0"/>
        <w:spacing w:line="38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一、我单位和我本人遵循公开、公平、公正、诚实守信的原则，依法依规参与本项目投标。</w:t>
      </w:r>
    </w:p>
    <w:p>
      <w:pPr>
        <w:pageBreakBefore w:val="0"/>
        <w:kinsoku/>
        <w:overflowPunct/>
        <w:autoSpaceDE/>
        <w:autoSpaceDN/>
        <w:bidi w:val="0"/>
        <w:spacing w:line="38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二、我单位具有参与本次投标的资质和能力，公司运营状况良好，不存在挂靠投标、不受让、租借、出租、出借资格或资质证书，无处罚期内的不良行为。</w:t>
      </w:r>
    </w:p>
    <w:p>
      <w:pPr>
        <w:pageBreakBefore w:val="0"/>
        <w:kinsoku/>
        <w:overflowPunct/>
        <w:autoSpaceDE/>
        <w:autoSpaceDN/>
        <w:bidi w:val="0"/>
        <w:spacing w:line="38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三、我单位在本项目投标过程中从招标公告列明的渠道获取招标文件，没有通过其他不正当渠道获取招标文件。</w:t>
      </w:r>
    </w:p>
    <w:p>
      <w:pPr>
        <w:pageBreakBefore w:val="0"/>
        <w:kinsoku/>
        <w:overflowPunct/>
        <w:autoSpaceDE/>
        <w:autoSpaceDN/>
        <w:bidi w:val="0"/>
        <w:spacing w:line="38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四、我单位承诺投标文件由本单位员工独立编制，严格遵守保密义务。所提供的一切投标相关材料都是真实、有效、合法的。</w:t>
      </w:r>
    </w:p>
    <w:p>
      <w:pPr>
        <w:pageBreakBefore w:val="0"/>
        <w:kinsoku/>
        <w:overflowPunct/>
        <w:autoSpaceDE/>
        <w:autoSpaceDN/>
        <w:bidi w:val="0"/>
        <w:spacing w:line="38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五、我单位不与其他投标人相互串通投标报价，不恶意压低或抬高投标报价，不排挤其他投标人的公平竞争，不损害招标人或其他投标人的合法权益。</w:t>
      </w:r>
    </w:p>
    <w:p>
      <w:pPr>
        <w:pageBreakBefore w:val="0"/>
        <w:kinsoku/>
        <w:overflowPunct/>
        <w:autoSpaceDE/>
        <w:autoSpaceDN/>
        <w:bidi w:val="0"/>
        <w:spacing w:line="38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六、我单位不与招标人或招标代理机构串通投标，损害国家利益、社会公共利益或者他人的合法权益。</w:t>
      </w:r>
    </w:p>
    <w:p>
      <w:pPr>
        <w:pageBreakBefore w:val="0"/>
        <w:kinsoku/>
        <w:overflowPunct/>
        <w:autoSpaceDE/>
        <w:autoSpaceDN/>
        <w:bidi w:val="0"/>
        <w:spacing w:line="38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七、我单位不向招标人或者评标委员会成员行贿以牟取中标，不在开标后进行虚假恶意投诉。</w:t>
      </w:r>
    </w:p>
    <w:p>
      <w:pPr>
        <w:pageBreakBefore w:val="0"/>
        <w:kinsoku/>
        <w:overflowPunct/>
        <w:autoSpaceDE/>
        <w:autoSpaceDN/>
        <w:bidi w:val="0"/>
        <w:spacing w:line="38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八、我单位和我个人清楚并知晓《中华人民共和国刑法》第二百二十三条</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相互串通投标报价，损害招标人或者其他投标人利益，情节严重的，处三年以下有期徒刑或者拘役，并处或者单处罚金。投标人与招标人串通投标，损害国家、集体、公民的合法利益的，依照前款的规定处罚</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的规定。</w:t>
      </w:r>
    </w:p>
    <w:p>
      <w:pPr>
        <w:pageBreakBefore w:val="0"/>
        <w:kinsoku/>
        <w:overflowPunct/>
        <w:autoSpaceDE/>
        <w:autoSpaceDN/>
        <w:bidi w:val="0"/>
        <w:spacing w:line="38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九、我单位如在本项目招标投标活动评标工作中存在串通投标、弄虚作假等行为的，本单位及本人自愿承担法律责任，接受相应刑事、纪律和行政处罚以及失信惩戒。</w:t>
      </w:r>
    </w:p>
    <w:p>
      <w:pPr>
        <w:pageBreakBefore w:val="0"/>
        <w:kinsoku/>
        <w:overflowPunct/>
        <w:autoSpaceDE/>
        <w:autoSpaceDN/>
        <w:bidi w:val="0"/>
        <w:spacing w:line="380" w:lineRule="exac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十、本承诺函由我单位盖章及法定代表人（授权委托人）本人</w:t>
      </w:r>
      <w:r>
        <w:rPr>
          <w:rFonts w:hint="default" w:ascii="Times New Roman" w:hAnsi="Times New Roman" w:cs="Times New Roman"/>
          <w:color w:val="auto"/>
          <w:sz w:val="24"/>
          <w:highlight w:val="none"/>
          <w:lang w:val="en-US" w:eastAsia="zh-CN"/>
        </w:rPr>
        <w:t>电子</w:t>
      </w:r>
      <w:r>
        <w:rPr>
          <w:rFonts w:hint="default" w:ascii="Times New Roman" w:hAnsi="Times New Roman" w:cs="Times New Roman"/>
          <w:color w:val="auto"/>
          <w:sz w:val="24"/>
          <w:highlight w:val="none"/>
        </w:rPr>
        <w:t>确认。</w:t>
      </w:r>
    </w:p>
    <w:p>
      <w:pPr>
        <w:pageBreakBefore w:val="0"/>
        <w:kinsoku/>
        <w:overflowPunct/>
        <w:autoSpaceDE/>
        <w:autoSpaceDN/>
        <w:bidi w:val="0"/>
        <w:spacing w:line="380" w:lineRule="exact"/>
        <w:ind w:firstLine="480" w:firstLineChars="200"/>
        <w:textAlignment w:val="auto"/>
        <w:outlineLvl w:val="9"/>
        <w:rPr>
          <w:rFonts w:hint="default" w:ascii="Times New Roman" w:hAnsi="Times New Roman" w:cs="Times New Roman"/>
          <w:color w:val="auto"/>
          <w:sz w:val="24"/>
          <w:highlight w:val="none"/>
        </w:rPr>
      </w:pPr>
    </w:p>
    <w:p>
      <w:pPr>
        <w:widowControl/>
        <w:spacing w:line="380" w:lineRule="exact"/>
        <w:jc w:val="right"/>
        <w:rPr>
          <w:rFonts w:hint="default" w:ascii="Times New Roman" w:hAnsi="Times New Roman" w:cs="Times New Roman"/>
          <w:color w:val="auto"/>
          <w:kern w:val="0"/>
          <w:sz w:val="24"/>
          <w:highlight w:val="none"/>
          <w:u w:val="single"/>
          <w:lang w:val="zh-CN" w:bidi="zh-CN"/>
        </w:rPr>
      </w:pPr>
      <w:r>
        <w:rPr>
          <w:rFonts w:hint="default" w:ascii="Times New Roman" w:hAnsi="Times New Roman" w:cs="Times New Roman"/>
          <w:color w:val="auto"/>
          <w:kern w:val="0"/>
          <w:sz w:val="24"/>
          <w:highlight w:val="none"/>
          <w:lang w:val="zh-CN" w:bidi="zh-CN"/>
        </w:rPr>
        <w:t>投标人：</w:t>
      </w:r>
      <w:r>
        <w:rPr>
          <w:rFonts w:hint="default" w:ascii="Times New Roman" w:hAnsi="Times New Roman" w:cs="Times New Roman"/>
          <w:color w:val="auto"/>
          <w:kern w:val="0"/>
          <w:sz w:val="24"/>
          <w:highlight w:val="none"/>
          <w:u w:val="single"/>
          <w:lang w:val="zh-CN" w:bidi="zh-CN"/>
        </w:rPr>
        <w:t>投标人全称（加盖单位</w:t>
      </w:r>
      <w:r>
        <w:rPr>
          <w:rFonts w:hint="default" w:ascii="Times New Roman" w:hAnsi="Times New Roman" w:cs="Times New Roman"/>
          <w:color w:val="auto"/>
          <w:kern w:val="0"/>
          <w:sz w:val="24"/>
          <w:highlight w:val="none"/>
          <w:u w:val="single"/>
          <w:lang w:val="en-US" w:bidi="zh-CN"/>
        </w:rPr>
        <w:t>电子印</w:t>
      </w:r>
      <w:r>
        <w:rPr>
          <w:rFonts w:hint="default" w:ascii="Times New Roman" w:hAnsi="Times New Roman" w:cs="Times New Roman"/>
          <w:color w:val="auto"/>
          <w:kern w:val="0"/>
          <w:sz w:val="24"/>
          <w:highlight w:val="none"/>
          <w:u w:val="single"/>
          <w:lang w:val="zh-CN" w:bidi="zh-CN"/>
        </w:rPr>
        <w:t>章）</w:t>
      </w:r>
    </w:p>
    <w:p>
      <w:pPr>
        <w:pageBreakBefore w:val="0"/>
        <w:widowControl/>
        <w:kinsoku/>
        <w:wordWrap w:val="0"/>
        <w:overflowPunct/>
        <w:autoSpaceDE/>
        <w:autoSpaceDN/>
        <w:bidi w:val="0"/>
        <w:spacing w:line="380" w:lineRule="exact"/>
        <w:jc w:val="right"/>
        <w:textAlignment w:val="auto"/>
        <w:outlineLvl w:val="9"/>
        <w:rPr>
          <w:rFonts w:hint="default" w:ascii="Times New Roman" w:hAnsi="Times New Roman" w:cs="Times New Roman"/>
          <w:color w:val="auto"/>
          <w:kern w:val="0"/>
          <w:sz w:val="24"/>
          <w:highlight w:val="none"/>
          <w:lang w:val="zh-CN" w:bidi="zh-CN"/>
        </w:rPr>
      </w:pPr>
      <w:r>
        <w:rPr>
          <w:rFonts w:hint="default" w:ascii="Times New Roman" w:hAnsi="Times New Roman" w:cs="Times New Roman"/>
          <w:color w:val="auto"/>
          <w:kern w:val="0"/>
          <w:sz w:val="24"/>
          <w:highlight w:val="none"/>
          <w:lang w:val="zh-CN" w:bidi="zh-CN"/>
        </w:rPr>
        <w:t>法定代表人（或授权委托人）：</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w:t>
      </w:r>
      <w:r>
        <w:rPr>
          <w:rFonts w:hint="default" w:ascii="Times New Roman" w:hAnsi="Times New Roman" w:cs="Times New Roman"/>
          <w:color w:val="auto"/>
          <w:sz w:val="24"/>
          <w:highlight w:val="none"/>
        </w:rPr>
        <w:t>个人</w:t>
      </w:r>
      <w:r>
        <w:rPr>
          <w:rFonts w:hint="default" w:ascii="Times New Roman" w:hAnsi="Times New Roman"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r>
        <w:rPr>
          <w:rFonts w:hint="default" w:ascii="Times New Roman" w:hAnsi="Times New Roman" w:cs="Times New Roman"/>
          <w:color w:val="auto"/>
          <w:kern w:val="0"/>
          <w:sz w:val="24"/>
          <w:highlight w:val="none"/>
          <w:lang w:val="zh-CN" w:bidi="zh-CN"/>
        </w:rPr>
        <w:t>）</w:t>
      </w:r>
    </w:p>
    <w:p>
      <w:pPr>
        <w:widowControl/>
        <w:wordWrap w:val="0"/>
        <w:spacing w:line="380" w:lineRule="exact"/>
        <w:jc w:val="right"/>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kern w:val="0"/>
          <w:sz w:val="24"/>
          <w:highlight w:val="none"/>
          <w:lang w:val="zh-CN" w:bidi="zh-CN"/>
        </w:rPr>
        <w:t>承诺日期：</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年</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月</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日</w:t>
      </w:r>
    </w:p>
    <w:p>
      <w:pPr>
        <w:pStyle w:val="2"/>
        <w:pageBreakBefore w:val="0"/>
        <w:kinsoku/>
        <w:wordWrap w:val="0"/>
        <w:overflowPunct/>
        <w:bidi w:val="0"/>
        <w:spacing w:before="0" w:after="0" w:line="380" w:lineRule="atLeast"/>
        <w:jc w:val="center"/>
        <w:outlineLvl w:val="9"/>
        <w:rPr>
          <w:rFonts w:hint="default" w:ascii="Times New Roman" w:hAnsi="Times New Roman" w:cs="Times New Roman"/>
          <w:b w:val="0"/>
          <w:color w:val="auto"/>
          <w:sz w:val="28"/>
          <w:szCs w:val="28"/>
          <w:highlight w:val="none"/>
          <w:lang w:val="en-US" w:eastAsia="zh-CN"/>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pPr>
        <w:pStyle w:val="2"/>
        <w:pageBreakBefore w:val="0"/>
        <w:kinsoku/>
        <w:wordWrap w:val="0"/>
        <w:overflowPunct/>
        <w:bidi w:val="0"/>
        <w:spacing w:before="0" w:after="0" w:line="380" w:lineRule="atLeast"/>
        <w:jc w:val="center"/>
        <w:outlineLvl w:val="1"/>
        <w:rPr>
          <w:rFonts w:hint="default" w:ascii="Times New Roman" w:hAnsi="Times New Roman" w:eastAsia="黑体" w:cs="Times New Roman"/>
          <w:b w:val="0"/>
          <w:color w:val="auto"/>
          <w:sz w:val="28"/>
          <w:szCs w:val="28"/>
          <w:highlight w:val="none"/>
        </w:rPr>
      </w:pPr>
      <w:bookmarkStart w:id="2581" w:name="_Toc4738"/>
      <w:bookmarkStart w:id="2582" w:name="_Toc1461"/>
      <w:bookmarkStart w:id="2583" w:name="_Toc20302"/>
      <w:r>
        <w:rPr>
          <w:rFonts w:hint="default" w:ascii="Times New Roman" w:hAnsi="Times New Roman" w:eastAsia="黑体" w:cs="Times New Roman"/>
          <w:b w:val="0"/>
          <w:color w:val="auto"/>
          <w:sz w:val="28"/>
          <w:szCs w:val="28"/>
          <w:highlight w:val="none"/>
          <w:lang w:val="en-US" w:eastAsia="zh-CN"/>
        </w:rPr>
        <w:t>十</w:t>
      </w:r>
      <w:r>
        <w:rPr>
          <w:rFonts w:hint="default" w:ascii="Times New Roman" w:hAnsi="Times New Roman" w:eastAsia="黑体" w:cs="Times New Roman"/>
          <w:b w:val="0"/>
          <w:color w:val="auto"/>
          <w:sz w:val="28"/>
          <w:szCs w:val="28"/>
          <w:highlight w:val="none"/>
        </w:rPr>
        <w:t>、其他</w:t>
      </w:r>
      <w:bookmarkEnd w:id="2574"/>
      <w:r>
        <w:rPr>
          <w:rFonts w:hint="default" w:ascii="Times New Roman" w:hAnsi="Times New Roman" w:eastAsia="黑体" w:cs="Times New Roman"/>
          <w:b w:val="0"/>
          <w:color w:val="auto"/>
          <w:sz w:val="28"/>
          <w:szCs w:val="28"/>
          <w:highlight w:val="none"/>
        </w:rPr>
        <w:t>资料</w:t>
      </w:r>
      <w:bookmarkEnd w:id="2575"/>
      <w:bookmarkEnd w:id="2576"/>
      <w:bookmarkEnd w:id="2581"/>
      <w:bookmarkEnd w:id="2582"/>
      <w:bookmarkEnd w:id="2583"/>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br w:type="page"/>
      </w:r>
    </w:p>
    <w:p>
      <w:pPr>
        <w:pStyle w:val="15"/>
        <w:keepNext w:val="0"/>
        <w:keepLines w:val="0"/>
        <w:pageBreakBefore w:val="0"/>
        <w:widowControl w:val="0"/>
        <w:kinsoku/>
        <w:overflowPunct/>
        <w:topLinePunct w:val="0"/>
        <w:autoSpaceDE/>
        <w:autoSpaceDN/>
        <w:bidi w:val="0"/>
        <w:adjustRightInd/>
        <w:snapToGrid/>
        <w:spacing w:line="360" w:lineRule="auto"/>
        <w:ind w:firstLine="1705" w:firstLineChars="550"/>
        <w:textAlignment w:val="auto"/>
        <w:rPr>
          <w:rFonts w:hint="default" w:ascii="Times New Roman" w:hAnsi="Times New Roman" w:eastAsia="黑体" w:cs="Times New Roman"/>
          <w:color w:val="auto"/>
          <w:sz w:val="31"/>
          <w:szCs w:val="31"/>
          <w:highlight w:val="none"/>
        </w:rPr>
      </w:pPr>
      <w:r>
        <w:rPr>
          <w:rFonts w:hint="default" w:ascii="Times New Roman" w:hAnsi="Times New Roman" w:eastAsia="黑体" w:cs="Times New Roman"/>
          <w:color w:val="auto"/>
          <w:sz w:val="31"/>
          <w:szCs w:val="31"/>
          <w:highlight w:val="none"/>
          <w:u w:val="single"/>
        </w:rPr>
        <w:t xml:space="preserve">          </w:t>
      </w:r>
      <w:r>
        <w:rPr>
          <w:rFonts w:hint="default" w:ascii="Times New Roman" w:hAnsi="Times New Roman" w:eastAsia="黑体" w:cs="Times New Roman"/>
          <w:color w:val="auto"/>
          <w:sz w:val="31"/>
          <w:szCs w:val="31"/>
          <w:highlight w:val="none"/>
        </w:rPr>
        <w:t>省（自治区、直辖市）</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lang w:val="en-US" w:eastAsia="zh-CN"/>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val="en-US" w:eastAsia="zh-CN"/>
        </w:rPr>
        <w:t>设计施工总承包招标</w:t>
      </w: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ageBreakBefore w:val="0"/>
        <w:kinsoku/>
        <w:wordWrap w:val="0"/>
        <w:overflowPunct/>
        <w:bidi w:val="0"/>
        <w:spacing w:line="440" w:lineRule="exact"/>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overflowPunct/>
        <w:bidi w:val="0"/>
        <w:spacing w:before="240" w:afterLines="100" w:line="360" w:lineRule="auto"/>
        <w:jc w:val="center"/>
        <w:outlineLvl w:val="9"/>
        <w:rPr>
          <w:rFonts w:hint="default" w:ascii="Times New Roman" w:hAnsi="Times New Roman" w:eastAsia="黑体" w:cs="Times New Roman"/>
          <w:b w:val="0"/>
          <w:color w:val="auto"/>
          <w:sz w:val="50"/>
          <w:szCs w:val="50"/>
          <w:highlight w:val="none"/>
        </w:rPr>
      </w:pPr>
      <w:bookmarkStart w:id="2584" w:name="_Toc470761103"/>
      <w:r>
        <w:rPr>
          <w:rFonts w:hint="default" w:ascii="Times New Roman" w:hAnsi="Times New Roman" w:eastAsia="黑体" w:cs="Times New Roman"/>
          <w:b w:val="0"/>
          <w:color w:val="auto"/>
          <w:sz w:val="50"/>
          <w:szCs w:val="50"/>
          <w:highlight w:val="none"/>
        </w:rPr>
        <w:t>投  标  文  件</w:t>
      </w:r>
      <w:bookmarkEnd w:id="2584"/>
    </w:p>
    <w:p>
      <w:pPr>
        <w:pageBreakBefore w:val="0"/>
        <w:kinsoku/>
        <w:wordWrap w:val="0"/>
        <w:overflowPunct/>
        <w:bidi w:val="0"/>
        <w:spacing w:line="300" w:lineRule="auto"/>
        <w:jc w:val="center"/>
        <w:outlineLvl w:val="9"/>
        <w:rPr>
          <w:rFonts w:hint="default" w:ascii="Times New Roman" w:hAnsi="Times New Roman" w:eastAsia="黑体" w:cs="Times New Roman"/>
          <w:b w:val="0"/>
          <w:color w:val="auto"/>
          <w:sz w:val="36"/>
          <w:szCs w:val="36"/>
          <w:highlight w:val="none"/>
        </w:rPr>
      </w:pPr>
      <w:r>
        <w:rPr>
          <w:rFonts w:hint="default" w:ascii="Times New Roman" w:hAnsi="Times New Roman" w:eastAsia="黑体" w:cs="Times New Roman"/>
          <w:b w:val="0"/>
          <w:color w:val="auto"/>
          <w:sz w:val="36"/>
          <w:szCs w:val="36"/>
          <w:highlight w:val="none"/>
        </w:rPr>
        <w:t>（第</w:t>
      </w:r>
      <w:r>
        <w:rPr>
          <w:rFonts w:hint="default" w:ascii="Times New Roman" w:hAnsi="Times New Roman" w:eastAsia="黑体" w:cs="Times New Roman"/>
          <w:b w:val="0"/>
          <w:color w:val="auto"/>
          <w:sz w:val="36"/>
          <w:szCs w:val="36"/>
          <w:highlight w:val="none"/>
          <w:lang w:val="en-US" w:eastAsia="zh-CN"/>
        </w:rPr>
        <w:t>二</w:t>
      </w:r>
      <w:r>
        <w:rPr>
          <w:rFonts w:hint="default" w:ascii="Times New Roman" w:hAnsi="Times New Roman" w:eastAsia="黑体" w:cs="Times New Roman"/>
          <w:b w:val="0"/>
          <w:color w:val="auto"/>
          <w:sz w:val="36"/>
          <w:szCs w:val="36"/>
          <w:highlight w:val="none"/>
        </w:rPr>
        <w:t xml:space="preserve">信封 </w:t>
      </w:r>
      <w:r>
        <w:rPr>
          <w:rFonts w:hint="default" w:ascii="Times New Roman" w:hAnsi="Times New Roman" w:eastAsia="黑体" w:cs="Times New Roman"/>
          <w:b w:val="0"/>
          <w:color w:val="auto"/>
          <w:sz w:val="36"/>
          <w:szCs w:val="36"/>
          <w:highlight w:val="none"/>
          <w:lang w:val="en-US" w:eastAsia="zh-CN"/>
        </w:rPr>
        <w:t>报价</w:t>
      </w:r>
      <w:r>
        <w:rPr>
          <w:rFonts w:hint="default" w:ascii="Times New Roman" w:hAnsi="Times New Roman" w:eastAsia="黑体" w:cs="Times New Roman"/>
          <w:b w:val="0"/>
          <w:color w:val="auto"/>
          <w:sz w:val="36"/>
          <w:szCs w:val="36"/>
          <w:highlight w:val="none"/>
        </w:rPr>
        <w:t>文件）</w:t>
      </w: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投标人：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overflowPunct/>
        <w:bidi w:val="0"/>
        <w:spacing w:line="440" w:lineRule="exact"/>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p>
    <w:p>
      <w:pPr>
        <w:pageBreakBefore w:val="0"/>
        <w:kinsoku/>
        <w:wordWrap w:val="0"/>
        <w:overflowPunct/>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br w:type="page"/>
      </w:r>
    </w:p>
    <w:p>
      <w:pPr>
        <w:pageBreakBefore w:val="0"/>
        <w:kinsoku/>
        <w:wordWrap w:val="0"/>
        <w:overflowPunct/>
        <w:bidi w:val="0"/>
        <w:spacing w:line="440" w:lineRule="exact"/>
        <w:ind w:firstLine="140" w:firstLineChars="50"/>
        <w:jc w:val="center"/>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ind w:firstLine="140" w:firstLineChars="50"/>
        <w:jc w:val="center"/>
        <w:rPr>
          <w:rFonts w:hint="default" w:ascii="Times New Roman" w:hAnsi="Times New Roman" w:eastAsia="黑体" w:cs="Times New Roman"/>
          <w:color w:val="auto"/>
          <w:sz w:val="28"/>
          <w:szCs w:val="28"/>
          <w:highlight w:val="none"/>
        </w:rPr>
      </w:pPr>
    </w:p>
    <w:p>
      <w:pPr>
        <w:pageBreakBefore w:val="0"/>
        <w:kinsoku/>
        <w:wordWrap w:val="0"/>
        <w:overflowPunct/>
        <w:bidi w:val="0"/>
        <w:spacing w:line="440" w:lineRule="exact"/>
        <w:ind w:firstLine="150" w:firstLineChars="50"/>
        <w:jc w:val="center"/>
        <w:rPr>
          <w:rFonts w:hint="default" w:ascii="Times New Roman" w:hAnsi="Times New Roman" w:eastAsia="黑体" w:cs="Times New Roman"/>
          <w:b/>
          <w:color w:val="auto"/>
          <w:sz w:val="30"/>
          <w:szCs w:val="30"/>
          <w:highlight w:val="none"/>
        </w:rPr>
      </w:pPr>
      <w:r>
        <w:rPr>
          <w:rFonts w:hint="default" w:ascii="Times New Roman" w:hAnsi="Times New Roman" w:eastAsia="黑体" w:cs="Times New Roman"/>
          <w:b/>
          <w:color w:val="auto"/>
          <w:sz w:val="30"/>
          <w:szCs w:val="30"/>
          <w:highlight w:val="none"/>
        </w:rPr>
        <w:t>目     录</w:t>
      </w: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overflowPunct/>
        <w:autoSpaceDE/>
        <w:autoSpaceDN/>
        <w:bidi w:val="0"/>
        <w:spacing w:line="440" w:lineRule="exact"/>
        <w:ind w:left="1619" w:leftChars="771" w:firstLine="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一、投标函</w:t>
      </w:r>
    </w:p>
    <w:p>
      <w:pPr>
        <w:pageBreakBefore w:val="0"/>
        <w:kinsoku/>
        <w:wordWrap w:val="0"/>
        <w:overflowPunct/>
        <w:autoSpaceDE/>
        <w:autoSpaceDN/>
        <w:bidi w:val="0"/>
        <w:spacing w:line="440" w:lineRule="exact"/>
        <w:ind w:left="1619" w:leftChars="771" w:firstLine="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二、价格清单</w:t>
      </w:r>
    </w:p>
    <w:p>
      <w:pPr>
        <w:pageBreakBefore w:val="0"/>
        <w:kinsoku/>
        <w:wordWrap w:val="0"/>
        <w:overflowPunct/>
        <w:autoSpaceDE/>
        <w:autoSpaceDN/>
        <w:bidi w:val="0"/>
        <w:spacing w:line="440" w:lineRule="exact"/>
        <w:ind w:left="1619" w:leftChars="771" w:firstLine="1"/>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三、合同用款估算表</w:t>
      </w:r>
    </w:p>
    <w:p>
      <w:pPr>
        <w:pageBreakBefore w:val="0"/>
        <w:widowControl w:val="0"/>
        <w:kinsoku/>
        <w:wordWrap w:val="0"/>
        <w:overflowPunct/>
        <w:topLinePunct w:val="0"/>
        <w:autoSpaceDE/>
        <w:autoSpaceDN/>
        <w:bidi w:val="0"/>
        <w:adjustRightInd/>
        <w:snapToGrid/>
        <w:spacing w:line="440" w:lineRule="exact"/>
        <w:ind w:left="1619" w:leftChars="771" w:firstLine="1"/>
        <w:textAlignment w:val="auto"/>
        <w:outlineLvl w:val="9"/>
        <w:rPr>
          <w:rFonts w:hint="default" w:ascii="Times New Roman" w:hAnsi="Times New Roman" w:cs="Times New Roman"/>
          <w:color w:val="auto"/>
          <w:sz w:val="24"/>
          <w:highlight w:val="none"/>
        </w:rPr>
      </w:pPr>
    </w:p>
    <w:p>
      <w:pPr>
        <w:pageBreakBefore w:val="0"/>
        <w:widowControl w:val="0"/>
        <w:kinsoku/>
        <w:wordWrap w:val="0"/>
        <w:overflowPunct/>
        <w:topLinePunct w:val="0"/>
        <w:autoSpaceDE/>
        <w:autoSpaceDN/>
        <w:bidi w:val="0"/>
        <w:adjustRightInd/>
        <w:snapToGrid/>
        <w:spacing w:before="360" w:beforeLines="150" w:after="240" w:afterLines="100" w:line="380" w:lineRule="atLeast"/>
        <w:jc w:val="center"/>
        <w:textAlignment w:val="auto"/>
        <w:outlineLvl w:val="9"/>
        <w:rPr>
          <w:rFonts w:hint="default" w:ascii="Times New Roman" w:hAnsi="Times New Roman" w:eastAsia="黑体" w:cs="Times New Roman"/>
          <w:color w:val="auto"/>
          <w:sz w:val="20"/>
          <w:szCs w:val="20"/>
          <w:highlight w:val="none"/>
        </w:rPr>
      </w:pPr>
    </w:p>
    <w:p>
      <w:pPr>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eastAsia="黑体" w:cs="Times New Roman"/>
          <w:color w:val="auto"/>
          <w:sz w:val="20"/>
          <w:szCs w:val="20"/>
          <w:highlight w:val="none"/>
        </w:rPr>
      </w:pPr>
    </w:p>
    <w:p>
      <w:pPr>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eastAsia="黑体" w:cs="Times New Roman"/>
          <w:color w:val="auto"/>
          <w:sz w:val="20"/>
          <w:szCs w:val="20"/>
          <w:highlight w:val="none"/>
        </w:rPr>
      </w:pPr>
    </w:p>
    <w:p>
      <w:pPr>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eastAsia="黑体" w:cs="Times New Roman"/>
          <w:color w:val="auto"/>
          <w:sz w:val="20"/>
          <w:szCs w:val="20"/>
          <w:highlight w:val="none"/>
        </w:rPr>
      </w:pPr>
    </w:p>
    <w:p>
      <w:pPr>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eastAsia="黑体" w:cs="Times New Roman"/>
          <w:color w:val="auto"/>
          <w:sz w:val="20"/>
          <w:szCs w:val="20"/>
          <w:highlight w:val="none"/>
        </w:rPr>
      </w:pPr>
    </w:p>
    <w:p>
      <w:pPr>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eastAsia="黑体" w:cs="Times New Roman"/>
          <w:color w:val="auto"/>
          <w:sz w:val="20"/>
          <w:szCs w:val="20"/>
          <w:highlight w:val="none"/>
        </w:rPr>
      </w:pPr>
    </w:p>
    <w:p>
      <w:pPr>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eastAsia="黑体" w:cs="Times New Roman"/>
          <w:color w:val="auto"/>
          <w:sz w:val="20"/>
          <w:szCs w:val="20"/>
          <w:highlight w:val="none"/>
        </w:rPr>
      </w:pPr>
    </w:p>
    <w:p>
      <w:pPr>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eastAsia="黑体" w:cs="Times New Roman"/>
          <w:color w:val="auto"/>
          <w:sz w:val="20"/>
          <w:szCs w:val="20"/>
          <w:highlight w:val="none"/>
        </w:rPr>
      </w:pPr>
    </w:p>
    <w:p>
      <w:pPr>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eastAsia="黑体" w:cs="Times New Roman"/>
          <w:color w:val="auto"/>
          <w:sz w:val="20"/>
          <w:szCs w:val="20"/>
          <w:highlight w:val="none"/>
        </w:rPr>
      </w:pPr>
    </w:p>
    <w:p>
      <w:pPr>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eastAsia="黑体" w:cs="Times New Roman"/>
          <w:color w:val="auto"/>
          <w:sz w:val="20"/>
          <w:szCs w:val="20"/>
          <w:highlight w:val="none"/>
        </w:rPr>
      </w:pPr>
    </w:p>
    <w:p>
      <w:pPr>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eastAsia="黑体" w:cs="Times New Roman"/>
          <w:color w:val="auto"/>
          <w:sz w:val="20"/>
          <w:szCs w:val="20"/>
          <w:highlight w:val="none"/>
        </w:rPr>
      </w:pPr>
    </w:p>
    <w:p>
      <w:pPr>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eastAsia="黑体" w:cs="Times New Roman"/>
          <w:color w:val="auto"/>
          <w:sz w:val="20"/>
          <w:szCs w:val="20"/>
          <w:highlight w:val="none"/>
        </w:rPr>
      </w:pPr>
    </w:p>
    <w:p>
      <w:pPr>
        <w:pageBreakBefore w:val="0"/>
        <w:widowControl w:val="0"/>
        <w:kinsoku/>
        <w:wordWrap w:val="0"/>
        <w:overflowPunct/>
        <w:topLinePunct w:val="0"/>
        <w:autoSpaceDE/>
        <w:autoSpaceDN/>
        <w:bidi w:val="0"/>
        <w:adjustRightInd/>
        <w:snapToGrid/>
        <w:spacing w:line="440" w:lineRule="exact"/>
        <w:textAlignment w:val="auto"/>
        <w:outlineLvl w:val="9"/>
        <w:rPr>
          <w:rFonts w:hint="default" w:ascii="Times New Roman" w:hAnsi="Times New Roman" w:eastAsia="黑体" w:cs="Times New Roman"/>
          <w:color w:val="auto"/>
          <w:sz w:val="20"/>
          <w:szCs w:val="20"/>
          <w:highlight w:val="none"/>
        </w:rPr>
      </w:pPr>
    </w:p>
    <w:p>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1"/>
        <w:rPr>
          <w:rFonts w:hint="default" w:ascii="Times New Roman" w:hAnsi="Times New Roman" w:eastAsia="黑体" w:cs="Times New Roman"/>
          <w:b/>
          <w:color w:val="auto"/>
          <w:sz w:val="30"/>
          <w:szCs w:val="30"/>
          <w:highlight w:val="none"/>
        </w:rPr>
      </w:pPr>
      <w:r>
        <w:rPr>
          <w:rFonts w:hint="default" w:ascii="Times New Roman" w:hAnsi="Times New Roman" w:eastAsia="黑体" w:cs="Times New Roman"/>
          <w:color w:val="auto"/>
          <w:sz w:val="20"/>
          <w:szCs w:val="20"/>
          <w:highlight w:val="none"/>
        </w:rPr>
        <w:br w:type="page"/>
      </w:r>
      <w:bookmarkStart w:id="2585" w:name="_Toc22531"/>
      <w:bookmarkStart w:id="2586" w:name="_Toc501257513"/>
      <w:bookmarkStart w:id="2587" w:name="_Toc21294"/>
      <w:bookmarkStart w:id="2588" w:name="_Toc14248"/>
      <w:r>
        <w:rPr>
          <w:rFonts w:hint="default" w:ascii="Times New Roman" w:hAnsi="Times New Roman" w:eastAsia="黑体" w:cs="Times New Roman"/>
          <w:b/>
          <w:color w:val="auto"/>
          <w:sz w:val="30"/>
          <w:szCs w:val="30"/>
          <w:highlight w:val="none"/>
        </w:rPr>
        <w:t>一、投标函</w:t>
      </w:r>
      <w:bookmarkEnd w:id="2585"/>
      <w:bookmarkEnd w:id="2586"/>
      <w:bookmarkEnd w:id="2587"/>
      <w:bookmarkEnd w:id="2588"/>
    </w:p>
    <w:p>
      <w:pPr>
        <w:keepNext/>
        <w:keepLines/>
        <w:pageBreakBefore w:val="0"/>
        <w:widowControl w:val="0"/>
        <w:kinsoku/>
        <w:wordWrap w:val="0"/>
        <w:overflowPunct/>
        <w:topLinePunct w:val="0"/>
        <w:autoSpaceDE/>
        <w:autoSpaceDN/>
        <w:bidi w:val="0"/>
        <w:adjustRightInd/>
        <w:snapToGrid/>
        <w:spacing w:before="360" w:beforeLines="150" w:after="240" w:afterLines="100" w:line="400" w:lineRule="atLeast"/>
        <w:jc w:val="center"/>
        <w:textAlignment w:val="auto"/>
        <w:outlineLvl w:val="9"/>
        <w:rPr>
          <w:rFonts w:hint="default" w:ascii="Times New Roman" w:hAnsi="Times New Roman" w:eastAsia="黑体" w:cs="Times New Roman"/>
          <w:b w:val="0"/>
          <w:color w:val="auto"/>
          <w:sz w:val="28"/>
          <w:szCs w:val="28"/>
          <w:highlight w:val="none"/>
        </w:rPr>
      </w:pPr>
    </w:p>
    <w:p>
      <w:pPr>
        <w:pageBreakBefore w:val="0"/>
        <w:kinsoku/>
        <w:wordWrap w:val="0"/>
        <w:overflowPunct/>
        <w:autoSpaceDE/>
        <w:autoSpaceDN/>
        <w:bidi w:val="0"/>
        <w:spacing w:before="240" w:beforeLines="100" w:after="120" w:afterLines="50" w:line="40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pPr>
        <w:pageBreakBefore w:val="0"/>
        <w:kinsoku/>
        <w:wordWrap w:val="0"/>
        <w:overflowPunct/>
        <w:autoSpaceDE/>
        <w:autoSpaceDN/>
        <w:bidi w:val="0"/>
        <w:adjustRightInd w:val="0"/>
        <w:snapToGrid w:val="0"/>
        <w:spacing w:line="336" w:lineRule="auto"/>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1．我方已仔细研究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标段设计施工总承包招标文件的全部内容（含补遗书第___号至第___号），在考察工程现场后，愿意以人民币（大写）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）的投标总报价（或根据招标文件规定修正核实后确定的另一金额，其中，勘察设计费合计为人民币(大写)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 ，增值税税率为</w:t>
      </w: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；施工费合计为人民币(大写)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元(¥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元)，增值税税率为</w:t>
      </w: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），按合同约定实施和完成承包工程，修补工程中的任何缺陷。</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2．在合同协议书正式签署生效之前，本投标函连同你方的中标通知书将构成我们双方之间共同遵守的文件，对双方具有约束力。</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（其他补充说明）。</w:t>
      </w:r>
    </w:p>
    <w:p>
      <w:pPr>
        <w:pageBreakBefore w:val="0"/>
        <w:kinsoku/>
        <w:wordWrap w:val="0"/>
        <w:overflowPunct/>
        <w:autoSpaceDE/>
        <w:autoSpaceDN/>
        <w:bidi w:val="0"/>
        <w:spacing w:line="400" w:lineRule="atLeast"/>
        <w:ind w:firstLine="480" w:firstLineChars="200"/>
        <w:textAlignment w:val="auto"/>
        <w:outlineLvl w:val="9"/>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 标 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default" w:ascii="Times New Roman" w:hAnsi="Times New Roman"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网    址：</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overflowPunct/>
        <w:bidi w:val="0"/>
        <w:spacing w:before="0" w:after="0" w:line="400" w:lineRule="atLeast"/>
        <w:jc w:val="center"/>
        <w:outlineLvl w:val="1"/>
        <w:rPr>
          <w:rFonts w:hint="default" w:ascii="Times New Roman" w:hAnsi="Times New Roman" w:eastAsia="黑体" w:cs="Times New Roman"/>
          <w:b w:val="0"/>
          <w:color w:val="auto"/>
          <w:sz w:val="30"/>
          <w:szCs w:val="30"/>
          <w:highlight w:val="none"/>
        </w:rPr>
      </w:pPr>
      <w:r>
        <w:rPr>
          <w:rFonts w:hint="default" w:ascii="Times New Roman" w:hAnsi="Times New Roman" w:cs="Times New Roman"/>
          <w:color w:val="auto"/>
          <w:sz w:val="24"/>
          <w:highlight w:val="none"/>
        </w:rPr>
        <w:br w:type="page"/>
      </w:r>
      <w:bookmarkStart w:id="2589" w:name="_Toc23747897"/>
      <w:bookmarkStart w:id="2590" w:name="_Toc4021"/>
      <w:bookmarkStart w:id="2591" w:name="_Toc31136"/>
      <w:bookmarkStart w:id="2592" w:name="_Toc4841"/>
      <w:r>
        <w:rPr>
          <w:rFonts w:hint="default" w:ascii="Times New Roman" w:hAnsi="Times New Roman" w:eastAsia="黑体" w:cs="Times New Roman"/>
          <w:b w:val="0"/>
          <w:color w:val="auto"/>
          <w:sz w:val="30"/>
          <w:szCs w:val="30"/>
          <w:highlight w:val="none"/>
        </w:rPr>
        <w:t>二、</w:t>
      </w:r>
      <w:bookmarkEnd w:id="2589"/>
      <w:r>
        <w:rPr>
          <w:rFonts w:hint="default" w:ascii="Times New Roman" w:hAnsi="Times New Roman" w:eastAsia="黑体" w:cs="Times New Roman"/>
          <w:b w:val="0"/>
          <w:color w:val="auto"/>
          <w:sz w:val="30"/>
          <w:szCs w:val="30"/>
          <w:highlight w:val="none"/>
        </w:rPr>
        <w:t>价格清单</w:t>
      </w:r>
      <w:bookmarkEnd w:id="2590"/>
      <w:bookmarkEnd w:id="2591"/>
      <w:bookmarkEnd w:id="2592"/>
    </w:p>
    <w:p>
      <w:pPr>
        <w:keepNext/>
        <w:keepLines/>
        <w:pageBreakBefore w:val="0"/>
        <w:widowControl w:val="0"/>
        <w:kinsoku/>
        <w:wordWrap w:val="0"/>
        <w:overflowPunct/>
        <w:topLinePunct w:val="0"/>
        <w:autoSpaceDE/>
        <w:autoSpaceDN/>
        <w:bidi w:val="0"/>
        <w:adjustRightInd/>
        <w:snapToGrid/>
        <w:spacing w:before="0" w:after="0" w:line="400" w:lineRule="atLeast"/>
        <w:textAlignment w:val="auto"/>
        <w:outlineLvl w:val="9"/>
        <w:rPr>
          <w:rFonts w:hint="default" w:ascii="Times New Roman" w:hAnsi="Times New Roman" w:eastAsia="宋体" w:cs="Times New Roman"/>
          <w:b/>
          <w:i w:val="0"/>
          <w:iCs w:val="0"/>
          <w:color w:val="auto"/>
          <w:szCs w:val="24"/>
          <w:highlight w:val="none"/>
        </w:rPr>
      </w:pPr>
      <w:bookmarkStart w:id="2593" w:name="_Toc23747898"/>
      <w:r>
        <w:rPr>
          <w:rFonts w:hint="default" w:ascii="Times New Roman" w:hAnsi="Times New Roman" w:eastAsia="宋体" w:cs="Times New Roman"/>
          <w:b/>
          <w:bCs w:val="0"/>
          <w:i w:val="0"/>
          <w:iCs w:val="0"/>
          <w:color w:val="auto"/>
          <w:szCs w:val="24"/>
          <w:highlight w:val="none"/>
        </w:rPr>
        <w:t>（一）价格清单说明</w:t>
      </w:r>
      <w:bookmarkEnd w:id="2593"/>
    </w:p>
    <w:p>
      <w:pPr>
        <w:pageBreakBefore w:val="0"/>
        <w:kinsoku/>
        <w:wordWrap w:val="0"/>
        <w:overflowPunct/>
        <w:bidi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 价格清单列出的任何数量，不视为要求承包人实施的工程的实际或准确的工作量。在价格清单中列出的任何工作量和价格数据应仅限用于合同约定的变更和支付的参考资料，而不能用于其他目的。</w:t>
      </w:r>
    </w:p>
    <w:p>
      <w:pPr>
        <w:pageBreakBefore w:val="0"/>
        <w:kinsoku/>
        <w:wordWrap w:val="0"/>
        <w:overflowPunct/>
        <w:bidi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 本价格清单应与招标文件中投标人须知、专用合同条款、通用合同条款、发包人要求、发包人提供的资料和条件等一起阅读和理解。</w:t>
      </w:r>
    </w:p>
    <w:p>
      <w:pPr>
        <w:pageBreakBefore w:val="0"/>
        <w:kinsoku/>
        <w:wordWrap w:val="0"/>
        <w:overflowPunct/>
        <w:bidi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1.3投标人没有填报的项目，应被认为有关费用已包含在其他项目中。</w:t>
      </w:r>
    </w:p>
    <w:p>
      <w:pPr>
        <w:pageBreakBefore w:val="0"/>
        <w:kinsoku/>
        <w:wordWrap w:val="0"/>
        <w:overflowPunct/>
        <w:bidi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1.4 勘察设计费的说明：投标人应根据发包人提供的资料和条件、现场踏勘情况及勘察设计经验填报勘察、设计价格清单表。 </w:t>
      </w:r>
    </w:p>
    <w:p>
      <w:pPr>
        <w:pageBreakBefore w:val="0"/>
        <w:kinsoku/>
        <w:wordWrap w:val="0"/>
        <w:overflowPunct/>
        <w:bidi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 施工费的说明：投标人应根据发包人提供的资料和条件、现场踏勘情况及投标人完成的设计图纸填报施工费价格清单表。编制清单时应参照《公路工程标准施工招标文件》（2018年版）的格式和计量支付的要求编制施工价格清单表。本清单表将作为后期施工图报价清单的编制重要参考。</w:t>
      </w:r>
    </w:p>
    <w:p>
      <w:pPr>
        <w:pageBreakBefore w:val="0"/>
        <w:kinsoku/>
        <w:wordWrap w:val="0"/>
        <w:overflowPunct/>
        <w:bidi w:val="0"/>
        <w:spacing w:line="44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1.6其它费用的说明：</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w:t>
      </w:r>
    </w:p>
    <w:p>
      <w:pPr>
        <w:keepNext/>
        <w:keepLines/>
        <w:pageBreakBefore w:val="0"/>
        <w:widowControl w:val="0"/>
        <w:kinsoku/>
        <w:wordWrap w:val="0"/>
        <w:overflowPunct/>
        <w:topLinePunct w:val="0"/>
        <w:autoSpaceDE/>
        <w:autoSpaceDN/>
        <w:bidi w:val="0"/>
        <w:adjustRightInd/>
        <w:snapToGrid/>
        <w:spacing w:before="0" w:after="0" w:line="400" w:lineRule="atLeast"/>
        <w:jc w:val="center"/>
        <w:textAlignment w:val="auto"/>
        <w:outlineLvl w:val="9"/>
        <w:rPr>
          <w:rFonts w:hint="default" w:ascii="Times New Roman" w:hAnsi="Times New Roman" w:eastAsia="黑体" w:cs="Times New Roman"/>
          <w:b w:val="0"/>
          <w:bCs w:val="0"/>
          <w:color w:val="auto"/>
          <w:sz w:val="24"/>
          <w:highlight w:val="none"/>
        </w:rPr>
      </w:pPr>
      <w:r>
        <w:rPr>
          <w:rFonts w:hint="default" w:ascii="Times New Roman" w:hAnsi="Times New Roman" w:cs="Times New Roman"/>
          <w:color w:val="auto"/>
          <w:szCs w:val="21"/>
          <w:highlight w:val="none"/>
        </w:rPr>
        <w:br w:type="page"/>
      </w:r>
      <w:bookmarkStart w:id="2594" w:name="_Toc23747899"/>
      <w:r>
        <w:rPr>
          <w:rFonts w:hint="default" w:ascii="Times New Roman" w:hAnsi="Times New Roman" w:cs="Times New Roman"/>
          <w:b w:val="0"/>
          <w:bCs w:val="0"/>
          <w:color w:val="auto"/>
          <w:sz w:val="24"/>
          <w:highlight w:val="none"/>
        </w:rPr>
        <w:t>2.1.1</w:t>
      </w:r>
      <w:r>
        <w:rPr>
          <w:rFonts w:hint="default" w:ascii="Times New Roman" w:hAnsi="Times New Roman" w:eastAsia="黑体" w:cs="Times New Roman"/>
          <w:b w:val="0"/>
          <w:bCs w:val="0"/>
          <w:color w:val="auto"/>
          <w:sz w:val="24"/>
          <w:highlight w:val="none"/>
        </w:rPr>
        <w:t xml:space="preserve">  勘察费价格清单表</w:t>
      </w:r>
      <w:bookmarkEnd w:id="2594"/>
    </w:p>
    <w:p>
      <w:pPr>
        <w:pageBreakBefore w:val="0"/>
        <w:kinsoku/>
        <w:wordWrap w:val="0"/>
        <w:overflowPunct/>
        <w:bidi w:val="0"/>
        <w:spacing w:line="320" w:lineRule="atLeast"/>
        <w:rPr>
          <w:rFonts w:hint="default" w:ascii="Times New Roman" w:hAnsi="Times New Roman" w:cs="Times New Roman"/>
          <w:color w:val="auto"/>
          <w:highlight w:val="none"/>
        </w:rPr>
      </w:pP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单位：元(人民币)</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30"/>
        <w:gridCol w:w="1421"/>
        <w:gridCol w:w="1417"/>
        <w:gridCol w:w="1417"/>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40" w:lineRule="exac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序号</w:t>
            </w: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40" w:lineRule="exac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项目名称</w:t>
            </w: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40" w:lineRule="exac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计量单位</w:t>
            </w: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40" w:lineRule="exac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实物工作量</w:t>
            </w: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40" w:lineRule="exac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单价金额</w:t>
            </w: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40" w:lineRule="exac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合价金额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30"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21"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2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400" w:lineRule="atLeast"/>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工程勘察收费小计＝                元(人民币)</w:t>
            </w:r>
          </w:p>
        </w:tc>
      </w:tr>
    </w:tbl>
    <w:p>
      <w:pPr>
        <w:pageBreakBefore w:val="0"/>
        <w:kinsoku/>
        <w:wordWrap w:val="0"/>
        <w:overflowPunct/>
        <w:bidi w:val="0"/>
        <w:jc w:val="center"/>
        <w:rPr>
          <w:rFonts w:hint="default" w:ascii="Times New Roman" w:hAnsi="Times New Roman" w:eastAsia="黑体" w:cs="Times New Roman"/>
          <w:color w:val="auto"/>
          <w:sz w:val="28"/>
          <w:highlight w:val="none"/>
        </w:rPr>
      </w:pPr>
    </w:p>
    <w:p>
      <w:pPr>
        <w:pageBreakBefore w:val="0"/>
        <w:widowControl/>
        <w:kinsoku/>
        <w:wordWrap w:val="0"/>
        <w:overflowPunct/>
        <w:bidi w:val="0"/>
        <w:jc w:val="left"/>
        <w:rPr>
          <w:rFonts w:hint="default" w:ascii="Times New Roman" w:hAnsi="Times New Roman" w:eastAsia="黑体" w:cs="Times New Roman"/>
          <w:color w:val="auto"/>
          <w:sz w:val="28"/>
          <w:highlight w:val="none"/>
        </w:rPr>
      </w:pPr>
      <w:r>
        <w:rPr>
          <w:rFonts w:hint="default" w:ascii="Times New Roman" w:hAnsi="Times New Roman" w:eastAsia="黑体" w:cs="Times New Roman"/>
          <w:color w:val="auto"/>
          <w:sz w:val="28"/>
          <w:highlight w:val="none"/>
        </w:rPr>
        <w:br w:type="page"/>
      </w:r>
    </w:p>
    <w:p>
      <w:pPr>
        <w:pageBreakBefore w:val="0"/>
        <w:kinsoku/>
        <w:wordWrap w:val="0"/>
        <w:overflowPunct/>
        <w:bidi w:val="0"/>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2.1.2 设计费价格清单表</w:t>
      </w:r>
    </w:p>
    <w:p>
      <w:pPr>
        <w:keepNext w:val="0"/>
        <w:keepLines w:val="0"/>
        <w:pageBreakBefore w:val="0"/>
        <w:widowControl w:val="0"/>
        <w:kinsoku/>
        <w:wordWrap w:val="0"/>
        <w:overflowPunct/>
        <w:topLinePunct w:val="0"/>
        <w:autoSpaceDE/>
        <w:autoSpaceDN/>
        <w:bidi w:val="0"/>
        <w:adjustRightInd/>
        <w:snapToGrid/>
        <w:spacing w:line="320" w:lineRule="atLeast"/>
        <w:textAlignment w:val="auto"/>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ab/>
      </w:r>
      <w:bookmarkStart w:id="2595" w:name="_Toc30336"/>
      <w:r>
        <w:rPr>
          <w:rFonts w:hint="default" w:ascii="Times New Roman" w:hAnsi="Times New Roman" w:cs="Times New Roman"/>
          <w:color w:val="auto"/>
          <w:highlight w:val="none"/>
        </w:rPr>
        <w:t>单位：元(人民币)</w:t>
      </w:r>
      <w:bookmarkEnd w:id="2595"/>
    </w:p>
    <w:tbl>
      <w:tblPr>
        <w:tblStyle w:val="37"/>
        <w:tblW w:w="8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443"/>
        <w:gridCol w:w="1133"/>
        <w:gridCol w:w="1288"/>
        <w:gridCol w:w="1107"/>
        <w:gridCol w:w="1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blHeader/>
        </w:trPr>
        <w:tc>
          <w:tcPr>
            <w:tcW w:w="753" w:type="dxa"/>
            <w:tcBorders>
              <w:top w:val="single" w:color="auto" w:sz="4" w:space="0"/>
              <w:left w:val="single" w:color="auto" w:sz="4" w:space="0"/>
              <w:bottom w:val="single" w:color="auto" w:sz="4" w:space="0"/>
              <w:right w:val="single" w:color="auto" w:sz="4" w:space="0"/>
            </w:tcBorders>
            <w:vAlign w:val="center"/>
          </w:tcPr>
          <w:p>
            <w:pPr>
              <w:pStyle w:val="86"/>
              <w:pageBreakBefore w:val="0"/>
              <w:kinsoku/>
              <w:wordWrap w:val="0"/>
              <w:overflowPunct/>
              <w:bidi w:val="0"/>
              <w:adjustRightInd/>
              <w:spacing w:line="320" w:lineRule="atLeast"/>
              <w:rPr>
                <w:rFonts w:hint="default" w:ascii="Times New Roman" w:hAnsi="Times New Roman" w:cs="Times New Roman"/>
                <w:color w:val="auto"/>
                <w:kern w:val="2"/>
                <w:szCs w:val="21"/>
                <w:highlight w:val="none"/>
              </w:rPr>
            </w:pPr>
            <w:r>
              <w:rPr>
                <w:rFonts w:hint="default" w:ascii="Times New Roman" w:hAnsi="Times New Roman" w:cs="Times New Roman"/>
                <w:color w:val="auto"/>
                <w:kern w:val="2"/>
                <w:szCs w:val="21"/>
                <w:highlight w:val="none"/>
              </w:rPr>
              <w:t>序号</w:t>
            </w: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2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      目</w:t>
            </w: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2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计量单位</w:t>
            </w: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2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实物工作量</w:t>
            </w: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2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单价金额</w:t>
            </w: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2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Style w:val="86"/>
              <w:pageBreakBefore w:val="0"/>
              <w:kinsoku/>
              <w:wordWrap w:val="0"/>
              <w:overflowPunct/>
              <w:bidi w:val="0"/>
              <w:adjustRightInd/>
              <w:rPr>
                <w:rFonts w:hint="default" w:ascii="Times New Roman" w:hAnsi="Times New Roman" w:cs="Times New Roman"/>
                <w:color w:val="auto"/>
                <w:kern w:val="2"/>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eastAsia="黑体" w:cs="Times New Roman"/>
                <w:b/>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eastAsia="黑体" w:cs="Times New Roman"/>
                <w:b/>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eastAsia="黑体" w:cs="Times New Roman"/>
                <w:b/>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eastAsia="黑体" w:cs="Times New Roman"/>
                <w:b/>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eastAsia="黑体" w:cs="Times New Roman"/>
                <w:b/>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eastAsia="黑体" w:cs="Times New Roman"/>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344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cs="Times New Roman"/>
                <w:color w:val="auto"/>
                <w:szCs w:val="21"/>
                <w:highlight w:val="none"/>
              </w:rPr>
            </w:pPr>
          </w:p>
        </w:tc>
        <w:tc>
          <w:tcPr>
            <w:tcW w:w="1133"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07"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4" w:type="dxa"/>
            <w:gridSpan w:val="5"/>
            <w:tcBorders>
              <w:top w:val="single" w:color="auto" w:sz="4" w:space="0"/>
              <w:left w:val="single" w:color="auto" w:sz="4" w:space="0"/>
              <w:bottom w:val="single" w:color="auto" w:sz="4" w:space="0"/>
              <w:right w:val="single" w:color="auto" w:sz="4" w:space="0"/>
            </w:tcBorders>
            <w:vAlign w:val="center"/>
          </w:tcPr>
          <w:p>
            <w:pPr>
              <w:pageBreakBefore w:val="0"/>
              <w:kinsoku/>
              <w:wordWrap w:val="0"/>
              <w:overflowPunct/>
              <w:bidi w:val="0"/>
              <w:spacing w:line="360" w:lineRule="atLeast"/>
              <w:ind w:firstLine="215"/>
              <w:rPr>
                <w:rFonts w:hint="default" w:ascii="Times New Roman" w:hAnsi="Times New Roman" w:eastAsia="黑体" w:cs="Times New Roman"/>
                <w:b/>
                <w:color w:val="auto"/>
                <w:szCs w:val="21"/>
                <w:highlight w:val="none"/>
              </w:rPr>
            </w:pPr>
            <w:r>
              <w:rPr>
                <w:rFonts w:hint="default" w:ascii="Times New Roman" w:hAnsi="Times New Roman" w:eastAsia="黑体" w:cs="Times New Roman"/>
                <w:b/>
                <w:color w:val="auto"/>
                <w:szCs w:val="21"/>
                <w:highlight w:val="none"/>
              </w:rPr>
              <w:t>工程设计收费小计＝              元(人民币)</w:t>
            </w:r>
          </w:p>
        </w:tc>
        <w:tc>
          <w:tcPr>
            <w:tcW w:w="1126" w:type="dxa"/>
            <w:tcBorders>
              <w:top w:val="single" w:color="auto" w:sz="4" w:space="0"/>
              <w:left w:val="single" w:color="auto" w:sz="4" w:space="0"/>
              <w:bottom w:val="single" w:color="auto" w:sz="4" w:space="0"/>
              <w:right w:val="single" w:color="auto" w:sz="4" w:space="0"/>
            </w:tcBorders>
          </w:tcPr>
          <w:p>
            <w:pPr>
              <w:pageBreakBefore w:val="0"/>
              <w:kinsoku/>
              <w:wordWrap w:val="0"/>
              <w:overflowPunct/>
              <w:bidi w:val="0"/>
              <w:spacing w:line="360" w:lineRule="atLeast"/>
              <w:ind w:firstLine="215"/>
              <w:rPr>
                <w:rFonts w:hint="default" w:ascii="Times New Roman" w:hAnsi="Times New Roman" w:eastAsia="黑体" w:cs="Times New Roman"/>
                <w:b/>
                <w:color w:val="auto"/>
                <w:szCs w:val="21"/>
                <w:highlight w:val="none"/>
              </w:rPr>
            </w:pPr>
          </w:p>
        </w:tc>
      </w:tr>
    </w:tbl>
    <w:p>
      <w:pPr>
        <w:pageBreakBefore w:val="0"/>
        <w:kinsoku/>
        <w:wordWrap w:val="0"/>
        <w:overflowPunct/>
        <w:bidi w:val="0"/>
        <w:rPr>
          <w:rFonts w:hint="default" w:ascii="Times New Roman" w:hAnsi="Times New Roman" w:eastAsia="黑体" w:cs="Times New Roman"/>
          <w:color w:val="auto"/>
          <w:sz w:val="24"/>
          <w:highlight w:val="none"/>
        </w:rPr>
      </w:pPr>
    </w:p>
    <w:p>
      <w:pPr>
        <w:pageBreakBefore w:val="0"/>
        <w:widowControl/>
        <w:kinsoku/>
        <w:wordWrap w:val="0"/>
        <w:overflowPunct/>
        <w:bidi w:val="0"/>
        <w:jc w:val="left"/>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br w:type="page"/>
      </w:r>
    </w:p>
    <w:p>
      <w:pPr>
        <w:pageBreakBefore w:val="0"/>
        <w:kinsoku/>
        <w:wordWrap w:val="0"/>
        <w:overflowPunct/>
        <w:bidi w:val="0"/>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2.2.1施工费价格清单表-100章</w:t>
      </w:r>
    </w:p>
    <w:p>
      <w:pPr>
        <w:pageBreakBefore w:val="0"/>
        <w:kinsoku/>
        <w:wordWrap w:val="0"/>
        <w:overflowPunct/>
        <w:autoSpaceDE/>
        <w:autoSpaceDN/>
        <w:bidi w:val="0"/>
        <w:jc w:val="center"/>
        <w:textAlignment w:val="auto"/>
        <w:outlineLvl w:val="9"/>
        <w:rPr>
          <w:rFonts w:hint="default" w:ascii="Times New Roman" w:hAnsi="Times New Roman" w:cs="Times New Roman"/>
          <w:color w:val="auto"/>
          <w:sz w:val="24"/>
          <w:highlight w:val="none"/>
        </w:rPr>
      </w:pPr>
    </w:p>
    <w:tbl>
      <w:tblPr>
        <w:tblStyle w:val="37"/>
        <w:tblW w:w="8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4728"/>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0" w:type="dxa"/>
            <w:gridSpan w:val="6"/>
            <w:vAlign w:val="center"/>
          </w:tcPr>
          <w:p>
            <w:pPr>
              <w:pageBreakBefore w:val="0"/>
              <w:kinsoku/>
              <w:wordWrap w:val="0"/>
              <w:overflowPunct/>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第100章   总  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28"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0" w:type="dxa"/>
            <w:gridSpan w:val="6"/>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p>
            <w:pPr>
              <w:pageBreakBefore w:val="0"/>
              <w:kinsoku/>
              <w:wordWrap w:val="0"/>
              <w:overflowPunct/>
              <w:bidi w:val="0"/>
              <w:spacing w:line="360" w:lineRule="atLeast"/>
              <w:jc w:val="center"/>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清单100章合计  人民币</w:t>
            </w:r>
            <w:r>
              <w:rPr>
                <w:rFonts w:hint="default" w:ascii="Times New Roman" w:hAnsi="Times New Roman" w:cs="Times New Roman"/>
                <w:color w:val="auto"/>
                <w:szCs w:val="21"/>
                <w:highlight w:val="none"/>
                <w:u w:val="single"/>
              </w:rPr>
              <w:t xml:space="preserve">                    </w:t>
            </w:r>
          </w:p>
        </w:tc>
      </w:tr>
    </w:tbl>
    <w:p>
      <w:pPr>
        <w:pageBreakBefore w:val="0"/>
        <w:kinsoku/>
        <w:wordWrap w:val="0"/>
        <w:overflowPunct/>
        <w:bidi w:val="0"/>
        <w:jc w:val="center"/>
        <w:rPr>
          <w:rFonts w:hint="default" w:ascii="Times New Roman" w:hAnsi="Times New Roman" w:eastAsia="黑体" w:cs="Times New Roman"/>
          <w:color w:val="auto"/>
          <w:sz w:val="28"/>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4"/>
          <w:highlight w:val="none"/>
        </w:rPr>
        <w:t>2.2.2施工费价格清单表-200章</w:t>
      </w:r>
    </w:p>
    <w:p>
      <w:pPr>
        <w:pageBreakBefore w:val="0"/>
        <w:kinsoku/>
        <w:wordWrap w:val="0"/>
        <w:overflowPunct/>
        <w:autoSpaceDE/>
        <w:autoSpaceDN/>
        <w:bidi w:val="0"/>
        <w:jc w:val="center"/>
        <w:textAlignment w:val="auto"/>
        <w:outlineLvl w:val="9"/>
        <w:rPr>
          <w:rFonts w:hint="default" w:ascii="Times New Roman" w:hAnsi="Times New Roman" w:cs="Times New Roman"/>
          <w:color w:val="auto"/>
          <w:sz w:val="24"/>
          <w:highlight w:val="none"/>
        </w:rPr>
      </w:pPr>
    </w:p>
    <w:tbl>
      <w:tblPr>
        <w:tblStyle w:val="37"/>
        <w:tblW w:w="8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4728"/>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0" w:type="dxa"/>
            <w:gridSpan w:val="6"/>
            <w:vAlign w:val="center"/>
          </w:tcPr>
          <w:p>
            <w:pPr>
              <w:pageBreakBefore w:val="0"/>
              <w:kinsoku/>
              <w:wordWrap w:val="0"/>
              <w:overflowPunct/>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第200章   路  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2"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28"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0" w:type="dxa"/>
            <w:gridSpan w:val="6"/>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p>
            <w:pPr>
              <w:pageBreakBefore w:val="0"/>
              <w:kinsoku/>
              <w:wordWrap w:val="0"/>
              <w:overflowPunct/>
              <w:bidi w:val="0"/>
              <w:spacing w:line="360" w:lineRule="atLeast"/>
              <w:jc w:val="center"/>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清单200章合计  人民币</w:t>
            </w:r>
            <w:r>
              <w:rPr>
                <w:rFonts w:hint="default" w:ascii="Times New Roman" w:hAnsi="Times New Roman" w:cs="Times New Roman"/>
                <w:color w:val="auto"/>
                <w:szCs w:val="21"/>
                <w:highlight w:val="none"/>
                <w:u w:val="single"/>
              </w:rPr>
              <w:t xml:space="preserve">                    </w:t>
            </w:r>
          </w:p>
        </w:tc>
      </w:tr>
    </w:tbl>
    <w:p>
      <w:pPr>
        <w:pageBreakBefore w:val="0"/>
        <w:kinsoku/>
        <w:wordWrap w:val="0"/>
        <w:overflowPunct/>
        <w:bidi w:val="0"/>
        <w:jc w:val="center"/>
        <w:rPr>
          <w:rFonts w:hint="default" w:ascii="Times New Roman" w:hAnsi="Times New Roman" w:eastAsia="黑体" w:cs="Times New Roman"/>
          <w:color w:val="auto"/>
          <w:sz w:val="28"/>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4"/>
          <w:highlight w:val="none"/>
        </w:rPr>
        <w:t>2.2.3施工费价格清单表-300章</w:t>
      </w:r>
    </w:p>
    <w:p>
      <w:pPr>
        <w:pageBreakBefore w:val="0"/>
        <w:kinsoku/>
        <w:wordWrap w:val="0"/>
        <w:overflowPunct/>
        <w:autoSpaceDE/>
        <w:autoSpaceDN/>
        <w:bidi w:val="0"/>
        <w:jc w:val="center"/>
        <w:textAlignment w:val="auto"/>
        <w:outlineLvl w:val="9"/>
        <w:rPr>
          <w:rFonts w:hint="default" w:ascii="Times New Roman" w:hAnsi="Times New Roman" w:cs="Times New Roman"/>
          <w:color w:val="auto"/>
          <w:sz w:val="24"/>
          <w:highlight w:val="none"/>
        </w:rPr>
      </w:pPr>
    </w:p>
    <w:tbl>
      <w:tblPr>
        <w:tblStyle w:val="37"/>
        <w:tblW w:w="8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4728"/>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0" w:type="dxa"/>
            <w:gridSpan w:val="6"/>
            <w:vAlign w:val="center"/>
          </w:tcPr>
          <w:p>
            <w:pPr>
              <w:pageBreakBefore w:val="0"/>
              <w:kinsoku/>
              <w:wordWrap w:val="0"/>
              <w:overflowPunct/>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第300章   路  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2"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28"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0" w:type="dxa"/>
            <w:gridSpan w:val="6"/>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p>
            <w:pPr>
              <w:pageBreakBefore w:val="0"/>
              <w:kinsoku/>
              <w:wordWrap w:val="0"/>
              <w:overflowPunct/>
              <w:bidi w:val="0"/>
              <w:spacing w:line="360" w:lineRule="atLeast"/>
              <w:jc w:val="center"/>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清单300章合计  人民币</w:t>
            </w:r>
            <w:r>
              <w:rPr>
                <w:rFonts w:hint="default" w:ascii="Times New Roman" w:hAnsi="Times New Roman" w:cs="Times New Roman"/>
                <w:color w:val="auto"/>
                <w:szCs w:val="21"/>
                <w:highlight w:val="none"/>
                <w:u w:val="single"/>
              </w:rPr>
              <w:t xml:space="preserve">                    </w:t>
            </w:r>
          </w:p>
        </w:tc>
      </w:tr>
    </w:tbl>
    <w:p>
      <w:pPr>
        <w:pageBreakBefore w:val="0"/>
        <w:kinsoku/>
        <w:wordWrap w:val="0"/>
        <w:overflowPunct/>
        <w:bidi w:val="0"/>
        <w:jc w:val="center"/>
        <w:rPr>
          <w:rFonts w:hint="default" w:ascii="Times New Roman" w:hAnsi="Times New Roman" w:eastAsia="黑体" w:cs="Times New Roman"/>
          <w:color w:val="auto"/>
          <w:sz w:val="28"/>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4"/>
          <w:highlight w:val="none"/>
        </w:rPr>
        <w:t>2.2.4施工费价格清单表-400章</w:t>
      </w:r>
    </w:p>
    <w:tbl>
      <w:tblPr>
        <w:tblStyle w:val="37"/>
        <w:tblW w:w="8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4728"/>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0" w:type="dxa"/>
            <w:gridSpan w:val="6"/>
            <w:vAlign w:val="center"/>
          </w:tcPr>
          <w:p>
            <w:pPr>
              <w:pageBreakBefore w:val="0"/>
              <w:kinsoku/>
              <w:wordWrap w:val="0"/>
              <w:overflowPunct/>
              <w:autoSpaceDE/>
              <w:autoSpaceDN/>
              <w:bidi w:val="0"/>
              <w:spacing w:before="120" w:after="120" w:line="360" w:lineRule="atLeast"/>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清单   第400章   桥梁、涵洞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2" w:type="dxa"/>
            <w:vAlign w:val="center"/>
          </w:tcPr>
          <w:p>
            <w:pPr>
              <w:pageBreakBefore w:val="0"/>
              <w:kinsoku/>
              <w:wordWrap w:val="0"/>
              <w:overflowPunct/>
              <w:autoSpaceDE/>
              <w:autoSpaceDN/>
              <w:bidi w:val="0"/>
              <w:spacing w:line="360" w:lineRule="atLeast"/>
              <w:ind w:left="-57" w:right="-57"/>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子目号</w:t>
            </w:r>
          </w:p>
        </w:tc>
        <w:tc>
          <w:tcPr>
            <w:tcW w:w="4728" w:type="dxa"/>
            <w:vAlign w:val="center"/>
          </w:tcPr>
          <w:p>
            <w:pPr>
              <w:pageBreakBefore w:val="0"/>
              <w:kinsoku/>
              <w:wordWrap w:val="0"/>
              <w:overflowPunct/>
              <w:autoSpaceDE/>
              <w:autoSpaceDN/>
              <w:bidi w:val="0"/>
              <w:spacing w:line="360" w:lineRule="atLeast"/>
              <w:ind w:left="-57" w:right="-57"/>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子  目  名  称</w:t>
            </w:r>
          </w:p>
        </w:tc>
        <w:tc>
          <w:tcPr>
            <w:tcW w:w="749" w:type="dxa"/>
            <w:vAlign w:val="center"/>
          </w:tcPr>
          <w:p>
            <w:pPr>
              <w:pageBreakBefore w:val="0"/>
              <w:kinsoku/>
              <w:wordWrap w:val="0"/>
              <w:overflowPunct/>
              <w:autoSpaceDE/>
              <w:autoSpaceDN/>
              <w:bidi w:val="0"/>
              <w:spacing w:line="360" w:lineRule="atLeast"/>
              <w:ind w:left="-57" w:right="-57"/>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单位</w:t>
            </w:r>
          </w:p>
        </w:tc>
        <w:tc>
          <w:tcPr>
            <w:tcW w:w="837" w:type="dxa"/>
            <w:vAlign w:val="center"/>
          </w:tcPr>
          <w:p>
            <w:pPr>
              <w:pageBreakBefore w:val="0"/>
              <w:kinsoku/>
              <w:wordWrap w:val="0"/>
              <w:overflowPunct/>
              <w:autoSpaceDE/>
              <w:autoSpaceDN/>
              <w:bidi w:val="0"/>
              <w:spacing w:line="360" w:lineRule="atLeast"/>
              <w:ind w:left="-57" w:right="-57"/>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数量</w:t>
            </w:r>
          </w:p>
        </w:tc>
        <w:tc>
          <w:tcPr>
            <w:tcW w:w="837" w:type="dxa"/>
            <w:vAlign w:val="center"/>
          </w:tcPr>
          <w:p>
            <w:pPr>
              <w:pageBreakBefore w:val="0"/>
              <w:kinsoku/>
              <w:wordWrap w:val="0"/>
              <w:overflowPunct/>
              <w:autoSpaceDE/>
              <w:autoSpaceDN/>
              <w:bidi w:val="0"/>
              <w:spacing w:line="360" w:lineRule="atLeast"/>
              <w:ind w:left="-57" w:right="-57"/>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单价</w:t>
            </w:r>
          </w:p>
        </w:tc>
        <w:tc>
          <w:tcPr>
            <w:tcW w:w="837" w:type="dxa"/>
            <w:vAlign w:val="center"/>
          </w:tcPr>
          <w:p>
            <w:pPr>
              <w:pageBreakBefore w:val="0"/>
              <w:kinsoku/>
              <w:wordWrap w:val="0"/>
              <w:overflowPunct/>
              <w:autoSpaceDE/>
              <w:autoSpaceDN/>
              <w:bidi w:val="0"/>
              <w:spacing w:line="360" w:lineRule="atLeast"/>
              <w:ind w:left="-57" w:right="-57"/>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0" w:type="dxa"/>
            <w:gridSpan w:val="6"/>
            <w:vAlign w:val="center"/>
          </w:tcPr>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highlight w:val="none"/>
              </w:rPr>
            </w:pPr>
          </w:p>
          <w:p>
            <w:pPr>
              <w:pageBreakBefore w:val="0"/>
              <w:kinsoku/>
              <w:wordWrap w:val="0"/>
              <w:overflowPunct/>
              <w:autoSpaceDE/>
              <w:autoSpaceDN/>
              <w:bidi w:val="0"/>
              <w:spacing w:line="360" w:lineRule="atLeast"/>
              <w:jc w:val="center"/>
              <w:textAlignment w:val="auto"/>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清单400章合计  人民币</w:t>
            </w:r>
            <w:r>
              <w:rPr>
                <w:rFonts w:hint="default" w:ascii="Times New Roman" w:hAnsi="Times New Roman" w:cs="Times New Roman"/>
                <w:color w:val="auto"/>
                <w:sz w:val="24"/>
                <w:highlight w:val="none"/>
                <w:u w:val="single"/>
              </w:rPr>
              <w:t xml:space="preserve">                    </w:t>
            </w:r>
          </w:p>
        </w:tc>
      </w:tr>
    </w:tbl>
    <w:p>
      <w:pPr>
        <w:pageBreakBefore w:val="0"/>
        <w:kinsoku/>
        <w:wordWrap w:val="0"/>
        <w:overflowPunct/>
        <w:bidi w:val="0"/>
        <w:jc w:val="center"/>
        <w:rPr>
          <w:rFonts w:hint="default" w:ascii="Times New Roman" w:hAnsi="Times New Roman" w:eastAsia="黑体" w:cs="Times New Roman"/>
          <w:color w:val="auto"/>
          <w:sz w:val="28"/>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4"/>
          <w:highlight w:val="none"/>
        </w:rPr>
        <w:t>2.2.5施工费价格清单表-500章</w:t>
      </w:r>
    </w:p>
    <w:p>
      <w:pPr>
        <w:pageBreakBefore w:val="0"/>
        <w:kinsoku/>
        <w:wordWrap w:val="0"/>
        <w:overflowPunct/>
        <w:autoSpaceDE/>
        <w:autoSpaceDN/>
        <w:bidi w:val="0"/>
        <w:jc w:val="center"/>
        <w:textAlignment w:val="auto"/>
        <w:outlineLvl w:val="9"/>
        <w:rPr>
          <w:rFonts w:hint="default" w:ascii="Times New Roman" w:hAnsi="Times New Roman" w:cs="Times New Roman"/>
          <w:color w:val="auto"/>
          <w:sz w:val="24"/>
          <w:highlight w:val="none"/>
        </w:rPr>
      </w:pPr>
    </w:p>
    <w:tbl>
      <w:tblPr>
        <w:tblStyle w:val="37"/>
        <w:tblW w:w="8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4640"/>
        <w:gridCol w:w="88"/>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0" w:type="dxa"/>
            <w:gridSpan w:val="7"/>
            <w:vAlign w:val="center"/>
          </w:tcPr>
          <w:p>
            <w:pPr>
              <w:pageBreakBefore w:val="0"/>
              <w:kinsoku/>
              <w:wordWrap w:val="0"/>
              <w:overflowPunct/>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第500章   隧  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2"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640"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837" w:type="dxa"/>
            <w:gridSpan w:val="2"/>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gridSpan w:val="2"/>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gridSpan w:val="2"/>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gridSpan w:val="2"/>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gridSpan w:val="2"/>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gridSpan w:val="2"/>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gridSpan w:val="2"/>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gridSpan w:val="2"/>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gridSpan w:val="2"/>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gridSpan w:val="2"/>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gridSpan w:val="2"/>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gridSpan w:val="2"/>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gridSpan w:val="2"/>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gridSpan w:val="2"/>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0" w:type="dxa"/>
            <w:gridSpan w:val="7"/>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p>
            <w:pPr>
              <w:pageBreakBefore w:val="0"/>
              <w:kinsoku/>
              <w:wordWrap w:val="0"/>
              <w:overflowPunct/>
              <w:bidi w:val="0"/>
              <w:spacing w:line="360" w:lineRule="atLeast"/>
              <w:jc w:val="center"/>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清单500章合计  人民币</w:t>
            </w:r>
            <w:r>
              <w:rPr>
                <w:rFonts w:hint="default" w:ascii="Times New Roman" w:hAnsi="Times New Roman" w:cs="Times New Roman"/>
                <w:color w:val="auto"/>
                <w:szCs w:val="21"/>
                <w:highlight w:val="none"/>
                <w:u w:val="single"/>
              </w:rPr>
              <w:t xml:space="preserve">                    </w:t>
            </w:r>
          </w:p>
        </w:tc>
      </w:tr>
    </w:tbl>
    <w:p>
      <w:pPr>
        <w:pageBreakBefore w:val="0"/>
        <w:kinsoku/>
        <w:wordWrap w:val="0"/>
        <w:overflowPunct/>
        <w:bidi w:val="0"/>
        <w:jc w:val="center"/>
        <w:rPr>
          <w:rFonts w:hint="default" w:ascii="Times New Roman" w:hAnsi="Times New Roman" w:eastAsia="黑体" w:cs="Times New Roman"/>
          <w:color w:val="auto"/>
          <w:sz w:val="28"/>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4"/>
          <w:highlight w:val="none"/>
        </w:rPr>
        <w:t>2.2.6施工费价格清单表-600章</w:t>
      </w:r>
    </w:p>
    <w:p>
      <w:pPr>
        <w:pageBreakBefore w:val="0"/>
        <w:kinsoku/>
        <w:wordWrap w:val="0"/>
        <w:overflowPunct/>
        <w:autoSpaceDE/>
        <w:autoSpaceDN/>
        <w:bidi w:val="0"/>
        <w:jc w:val="center"/>
        <w:textAlignment w:val="auto"/>
        <w:outlineLvl w:val="9"/>
        <w:rPr>
          <w:rFonts w:hint="default" w:ascii="Times New Roman" w:hAnsi="Times New Roman" w:cs="Times New Roman"/>
          <w:color w:val="auto"/>
          <w:sz w:val="24"/>
          <w:highlight w:val="none"/>
        </w:rPr>
      </w:pPr>
    </w:p>
    <w:tbl>
      <w:tblPr>
        <w:tblStyle w:val="37"/>
        <w:tblW w:w="8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4728"/>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0" w:type="dxa"/>
            <w:gridSpan w:val="6"/>
            <w:vAlign w:val="center"/>
          </w:tcPr>
          <w:p>
            <w:pPr>
              <w:pageBreakBefore w:val="0"/>
              <w:kinsoku/>
              <w:wordWrap w:val="0"/>
              <w:overflowPunct/>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第600章   安全设施及预埋管线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2"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28"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0" w:type="dxa"/>
            <w:gridSpan w:val="6"/>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p>
            <w:pPr>
              <w:pageBreakBefore w:val="0"/>
              <w:kinsoku/>
              <w:wordWrap w:val="0"/>
              <w:overflowPunct/>
              <w:bidi w:val="0"/>
              <w:spacing w:line="360" w:lineRule="atLeast"/>
              <w:jc w:val="center"/>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清单600章合计  人民币</w:t>
            </w:r>
            <w:r>
              <w:rPr>
                <w:rFonts w:hint="default" w:ascii="Times New Roman" w:hAnsi="Times New Roman" w:cs="Times New Roman"/>
                <w:color w:val="auto"/>
                <w:szCs w:val="21"/>
                <w:highlight w:val="none"/>
                <w:u w:val="single"/>
              </w:rPr>
              <w:t xml:space="preserve">                    </w:t>
            </w:r>
          </w:p>
        </w:tc>
      </w:tr>
    </w:tbl>
    <w:p>
      <w:pPr>
        <w:pageBreakBefore w:val="0"/>
        <w:kinsoku/>
        <w:wordWrap w:val="0"/>
        <w:overflowPunct/>
        <w:bidi w:val="0"/>
        <w:jc w:val="center"/>
        <w:rPr>
          <w:rFonts w:hint="default" w:ascii="Times New Roman" w:hAnsi="Times New Roman" w:eastAsia="黑体" w:cs="Times New Roman"/>
          <w:color w:val="auto"/>
          <w:sz w:val="28"/>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4"/>
          <w:highlight w:val="none"/>
        </w:rPr>
        <w:t>2.2.7施工费价格清单表-700章</w:t>
      </w:r>
    </w:p>
    <w:p>
      <w:pPr>
        <w:pageBreakBefore w:val="0"/>
        <w:kinsoku/>
        <w:wordWrap w:val="0"/>
        <w:overflowPunct/>
        <w:autoSpaceDE/>
        <w:autoSpaceDN/>
        <w:bidi w:val="0"/>
        <w:jc w:val="center"/>
        <w:textAlignment w:val="auto"/>
        <w:outlineLvl w:val="9"/>
        <w:rPr>
          <w:rFonts w:hint="default" w:ascii="Times New Roman" w:hAnsi="Times New Roman" w:cs="Times New Roman"/>
          <w:color w:val="auto"/>
          <w:sz w:val="24"/>
          <w:highlight w:val="none"/>
        </w:rPr>
      </w:pPr>
    </w:p>
    <w:tbl>
      <w:tblPr>
        <w:tblStyle w:val="37"/>
        <w:tblW w:w="8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4728"/>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0" w:type="dxa"/>
            <w:gridSpan w:val="6"/>
            <w:vAlign w:val="center"/>
          </w:tcPr>
          <w:p>
            <w:pPr>
              <w:pageBreakBefore w:val="0"/>
              <w:kinsoku/>
              <w:wordWrap w:val="0"/>
              <w:overflowPunct/>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第700章   绿化及环境保护设施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2"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28"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0" w:type="dxa"/>
            <w:gridSpan w:val="6"/>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p>
            <w:pPr>
              <w:pageBreakBefore w:val="0"/>
              <w:kinsoku/>
              <w:wordWrap w:val="0"/>
              <w:overflowPunct/>
              <w:bidi w:val="0"/>
              <w:spacing w:line="360" w:lineRule="atLeast"/>
              <w:jc w:val="center"/>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清单700章合计  人民币</w:t>
            </w:r>
            <w:r>
              <w:rPr>
                <w:rFonts w:hint="default" w:ascii="Times New Roman" w:hAnsi="Times New Roman" w:cs="Times New Roman"/>
                <w:color w:val="auto"/>
                <w:szCs w:val="21"/>
                <w:highlight w:val="none"/>
                <w:u w:val="single"/>
              </w:rPr>
              <w:t xml:space="preserve">                    </w:t>
            </w:r>
          </w:p>
        </w:tc>
      </w:tr>
    </w:tbl>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p>
    <w:p>
      <w:pPr>
        <w:pageBreakBefore w:val="0"/>
        <w:kinsoku/>
        <w:wordWrap w:val="0"/>
        <w:overflowPunct/>
        <w:bidi w:val="0"/>
        <w:jc w:val="center"/>
        <w:rPr>
          <w:rFonts w:hint="default" w:ascii="Times New Roman" w:hAnsi="Times New Roman" w:eastAsia="黑体" w:cs="Times New Roman"/>
          <w:color w:val="auto"/>
          <w:sz w:val="28"/>
          <w:highlight w:val="none"/>
        </w:rPr>
      </w:pPr>
      <w:r>
        <w:rPr>
          <w:rFonts w:hint="default" w:ascii="Times New Roman" w:hAnsi="Times New Roman" w:eastAsia="黑体" w:cs="Times New Roman"/>
          <w:color w:val="auto"/>
          <w:sz w:val="24"/>
          <w:highlight w:val="none"/>
        </w:rPr>
        <w:br w:type="page"/>
      </w:r>
      <w:r>
        <w:rPr>
          <w:rFonts w:hint="default" w:ascii="Times New Roman" w:hAnsi="Times New Roman" w:eastAsia="黑体" w:cs="Times New Roman"/>
          <w:color w:val="auto"/>
          <w:sz w:val="24"/>
          <w:highlight w:val="none"/>
        </w:rPr>
        <w:t>2.2.8施工费价格清单表-800章</w:t>
      </w:r>
    </w:p>
    <w:p>
      <w:pPr>
        <w:pageBreakBefore w:val="0"/>
        <w:kinsoku/>
        <w:wordWrap w:val="0"/>
        <w:overflowPunct/>
        <w:autoSpaceDE/>
        <w:autoSpaceDN/>
        <w:bidi w:val="0"/>
        <w:jc w:val="center"/>
        <w:textAlignment w:val="auto"/>
        <w:outlineLvl w:val="9"/>
        <w:rPr>
          <w:rFonts w:hint="default" w:ascii="Times New Roman" w:hAnsi="Times New Roman" w:cs="Times New Roman"/>
          <w:color w:val="auto"/>
          <w:sz w:val="24"/>
          <w:highlight w:val="none"/>
        </w:rPr>
      </w:pPr>
    </w:p>
    <w:tbl>
      <w:tblPr>
        <w:tblStyle w:val="37"/>
        <w:tblW w:w="8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4728"/>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0" w:type="dxa"/>
            <w:gridSpan w:val="6"/>
            <w:vAlign w:val="center"/>
          </w:tcPr>
          <w:p>
            <w:pPr>
              <w:pageBreakBefore w:val="0"/>
              <w:kinsoku/>
              <w:wordWrap w:val="0"/>
              <w:overflowPunct/>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第800章  其他工程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2"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28"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vAlign w:val="center"/>
          </w:tcPr>
          <w:p>
            <w:pPr>
              <w:pageBreakBefore w:val="0"/>
              <w:kinsoku/>
              <w:wordWrap w:val="0"/>
              <w:overflowPunct/>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4728" w:type="dxa"/>
            <w:vAlign w:val="center"/>
          </w:tcPr>
          <w:p>
            <w:pPr>
              <w:pageBreakBefore w:val="0"/>
              <w:kinsoku/>
              <w:wordWrap w:val="0"/>
              <w:overflowPunct/>
              <w:bidi w:val="0"/>
              <w:rPr>
                <w:rFonts w:hint="default" w:ascii="Times New Roman" w:hAnsi="Times New Roman" w:cs="Times New Roman"/>
                <w:color w:val="auto"/>
                <w:szCs w:val="21"/>
                <w:highlight w:val="none"/>
              </w:rPr>
            </w:pPr>
          </w:p>
        </w:tc>
        <w:tc>
          <w:tcPr>
            <w:tcW w:w="749" w:type="dxa"/>
            <w:vAlign w:val="center"/>
          </w:tcPr>
          <w:p>
            <w:pPr>
              <w:pageBreakBefore w:val="0"/>
              <w:kinsoku/>
              <w:wordWrap w:val="0"/>
              <w:overflowPunct/>
              <w:bidi w:val="0"/>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4728" w:type="dxa"/>
          </w:tcPr>
          <w:p>
            <w:pPr>
              <w:pageBreakBefore w:val="0"/>
              <w:kinsoku/>
              <w:wordWrap w:val="0"/>
              <w:overflowPunct/>
              <w:autoSpaceDE w:val="0"/>
              <w:autoSpaceDN w:val="0"/>
              <w:bidi w:val="0"/>
              <w:spacing w:line="400" w:lineRule="atLeast"/>
              <w:textAlignment w:val="bottom"/>
              <w:rPr>
                <w:rFonts w:hint="default" w:ascii="Times New Roman" w:hAnsi="Times New Roman" w:cs="Times New Roman"/>
                <w:color w:val="auto"/>
                <w:szCs w:val="21"/>
                <w:highlight w:val="none"/>
              </w:rPr>
            </w:pPr>
          </w:p>
        </w:tc>
        <w:tc>
          <w:tcPr>
            <w:tcW w:w="749" w:type="dxa"/>
          </w:tcPr>
          <w:p>
            <w:pPr>
              <w:pageBreakBefore w:val="0"/>
              <w:kinsoku/>
              <w:wordWrap w:val="0"/>
              <w:overflowPunct/>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c>
          <w:tcPr>
            <w:tcW w:w="837" w:type="dxa"/>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0" w:type="dxa"/>
            <w:gridSpan w:val="6"/>
            <w:vAlign w:val="center"/>
          </w:tcPr>
          <w:p>
            <w:pPr>
              <w:pageBreakBefore w:val="0"/>
              <w:kinsoku/>
              <w:wordWrap w:val="0"/>
              <w:overflowPunct/>
              <w:bidi w:val="0"/>
              <w:spacing w:line="360" w:lineRule="atLeast"/>
              <w:jc w:val="center"/>
              <w:rPr>
                <w:rFonts w:hint="default" w:ascii="Times New Roman" w:hAnsi="Times New Roman" w:cs="Times New Roman"/>
                <w:color w:val="auto"/>
                <w:szCs w:val="21"/>
                <w:highlight w:val="none"/>
              </w:rPr>
            </w:pPr>
          </w:p>
          <w:p>
            <w:pPr>
              <w:pageBreakBefore w:val="0"/>
              <w:kinsoku/>
              <w:wordWrap w:val="0"/>
              <w:overflowPunct/>
              <w:bidi w:val="0"/>
              <w:spacing w:line="360" w:lineRule="atLeast"/>
              <w:jc w:val="center"/>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清单800章合计  人民币</w:t>
            </w:r>
            <w:r>
              <w:rPr>
                <w:rFonts w:hint="default" w:ascii="Times New Roman" w:hAnsi="Times New Roman" w:cs="Times New Roman"/>
                <w:color w:val="auto"/>
                <w:szCs w:val="21"/>
                <w:highlight w:val="none"/>
                <w:u w:val="single"/>
              </w:rPr>
              <w:t xml:space="preserve">                    </w:t>
            </w:r>
          </w:p>
        </w:tc>
      </w:tr>
    </w:tbl>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p>
    <w:p>
      <w:pPr>
        <w:pageBreakBefore w:val="0"/>
        <w:widowControl/>
        <w:kinsoku/>
        <w:wordWrap w:val="0"/>
        <w:overflowPunct/>
        <w:bidi w:val="0"/>
        <w:jc w:val="left"/>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br w:type="page"/>
      </w:r>
    </w:p>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p>
    <w:p>
      <w:pPr>
        <w:pageBreakBefore w:val="0"/>
        <w:kinsoku/>
        <w:wordWrap w:val="0"/>
        <w:overflowPunct/>
        <w:bidi w:val="0"/>
        <w:spacing w:line="440" w:lineRule="exac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2.2.9 施工工程报价汇总表</w:t>
      </w:r>
    </w:p>
    <w:p>
      <w:pPr>
        <w:pageBreakBefore w:val="0"/>
        <w:kinsoku/>
        <w:wordWrap w:val="0"/>
        <w:overflowPunct/>
        <w:bidi w:val="0"/>
        <w:spacing w:line="440" w:lineRule="exact"/>
        <w:jc w:val="right"/>
        <w:rPr>
          <w:rFonts w:hint="default" w:ascii="Times New Roman" w:hAnsi="Times New Roman" w:cs="Times New Roman"/>
          <w:color w:val="auto"/>
          <w:szCs w:val="21"/>
          <w:highlight w:val="none"/>
        </w:rPr>
      </w:pPr>
    </w:p>
    <w:tbl>
      <w:tblPr>
        <w:tblStyle w:val="37"/>
        <w:tblW w:w="0" w:type="auto"/>
        <w:tblInd w:w="0" w:type="dxa"/>
        <w:tblLayout w:type="fixed"/>
        <w:tblCellMar>
          <w:top w:w="0" w:type="dxa"/>
          <w:left w:w="108" w:type="dxa"/>
          <w:bottom w:w="0" w:type="dxa"/>
          <w:right w:w="108" w:type="dxa"/>
        </w:tblCellMar>
      </w:tblPr>
      <w:tblGrid>
        <w:gridCol w:w="828"/>
        <w:gridCol w:w="1065"/>
        <w:gridCol w:w="4725"/>
        <w:gridCol w:w="1902"/>
      </w:tblGrid>
      <w:tr>
        <w:tblPrEx>
          <w:tblCellMar>
            <w:top w:w="0" w:type="dxa"/>
            <w:left w:w="108" w:type="dxa"/>
            <w:bottom w:w="0" w:type="dxa"/>
            <w:right w:w="108" w:type="dxa"/>
          </w:tblCellMar>
        </w:tblPrEx>
        <w:tc>
          <w:tcPr>
            <w:tcW w:w="828"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06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章次</w:t>
            </w:r>
          </w:p>
        </w:tc>
        <w:tc>
          <w:tcPr>
            <w:tcW w:w="472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科目名称</w:t>
            </w:r>
          </w:p>
        </w:tc>
        <w:tc>
          <w:tcPr>
            <w:tcW w:w="1902"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金额(元)</w:t>
            </w:r>
          </w:p>
        </w:tc>
      </w:tr>
      <w:tr>
        <w:tblPrEx>
          <w:tblCellMar>
            <w:top w:w="0" w:type="dxa"/>
            <w:left w:w="108" w:type="dxa"/>
            <w:bottom w:w="0" w:type="dxa"/>
            <w:right w:w="108" w:type="dxa"/>
          </w:tblCellMar>
        </w:tblPrEx>
        <w:tc>
          <w:tcPr>
            <w:tcW w:w="828"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06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w:t>
            </w:r>
          </w:p>
        </w:tc>
        <w:tc>
          <w:tcPr>
            <w:tcW w:w="472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总则</w:t>
            </w:r>
          </w:p>
        </w:tc>
        <w:tc>
          <w:tcPr>
            <w:tcW w:w="1902"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c>
          <w:tcPr>
            <w:tcW w:w="828"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06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200</w:t>
            </w:r>
          </w:p>
        </w:tc>
        <w:tc>
          <w:tcPr>
            <w:tcW w:w="472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路基</w:t>
            </w:r>
          </w:p>
        </w:tc>
        <w:tc>
          <w:tcPr>
            <w:tcW w:w="1902"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rPr>
                <w:rFonts w:hint="default" w:ascii="Times New Roman" w:hAnsi="Times New Roman" w:cs="Times New Roman"/>
                <w:color w:val="auto"/>
                <w:szCs w:val="21"/>
                <w:highlight w:val="none"/>
              </w:rPr>
            </w:pPr>
          </w:p>
        </w:tc>
      </w:tr>
      <w:tr>
        <w:tc>
          <w:tcPr>
            <w:tcW w:w="828"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106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300</w:t>
            </w:r>
          </w:p>
        </w:tc>
        <w:tc>
          <w:tcPr>
            <w:tcW w:w="472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路面</w:t>
            </w:r>
          </w:p>
        </w:tc>
        <w:tc>
          <w:tcPr>
            <w:tcW w:w="1902"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c>
          <w:tcPr>
            <w:tcW w:w="828"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106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400</w:t>
            </w:r>
          </w:p>
        </w:tc>
        <w:tc>
          <w:tcPr>
            <w:tcW w:w="472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桥梁、涵洞</w:t>
            </w:r>
          </w:p>
        </w:tc>
        <w:tc>
          <w:tcPr>
            <w:tcW w:w="1902"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c>
          <w:tcPr>
            <w:tcW w:w="828"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106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500</w:t>
            </w:r>
          </w:p>
        </w:tc>
        <w:tc>
          <w:tcPr>
            <w:tcW w:w="472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隧道</w:t>
            </w:r>
          </w:p>
        </w:tc>
        <w:tc>
          <w:tcPr>
            <w:tcW w:w="1902"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c>
          <w:tcPr>
            <w:tcW w:w="828"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106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600</w:t>
            </w:r>
          </w:p>
        </w:tc>
        <w:tc>
          <w:tcPr>
            <w:tcW w:w="472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安全设施及预埋管线</w:t>
            </w:r>
          </w:p>
        </w:tc>
        <w:tc>
          <w:tcPr>
            <w:tcW w:w="1902"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rPr>
                <w:rFonts w:hint="default" w:ascii="Times New Roman" w:hAnsi="Times New Roman" w:cs="Times New Roman"/>
                <w:color w:val="auto"/>
                <w:szCs w:val="21"/>
                <w:highlight w:val="none"/>
              </w:rPr>
            </w:pPr>
          </w:p>
        </w:tc>
      </w:tr>
      <w:tr>
        <w:tc>
          <w:tcPr>
            <w:tcW w:w="828"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c>
          <w:tcPr>
            <w:tcW w:w="106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700</w:t>
            </w:r>
          </w:p>
        </w:tc>
        <w:tc>
          <w:tcPr>
            <w:tcW w:w="472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绿化及环境保护设施</w:t>
            </w:r>
          </w:p>
        </w:tc>
        <w:tc>
          <w:tcPr>
            <w:tcW w:w="1902"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c>
          <w:tcPr>
            <w:tcW w:w="828"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w:t>
            </w:r>
          </w:p>
        </w:tc>
        <w:tc>
          <w:tcPr>
            <w:tcW w:w="106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800</w:t>
            </w:r>
          </w:p>
        </w:tc>
        <w:tc>
          <w:tcPr>
            <w:tcW w:w="4725"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其他工程</w:t>
            </w:r>
          </w:p>
        </w:tc>
        <w:tc>
          <w:tcPr>
            <w:tcW w:w="1902" w:type="dxa"/>
            <w:tcBorders>
              <w:top w:val="single" w:color="auto" w:sz="6" w:space="0"/>
              <w:left w:val="single" w:color="auto" w:sz="6" w:space="0"/>
              <w:bottom w:val="single" w:color="auto" w:sz="6" w:space="0"/>
              <w:right w:val="single" w:color="auto" w:sz="6" w:space="0"/>
            </w:tcBorders>
          </w:tcPr>
          <w:p>
            <w:pPr>
              <w:pageBreakBefore w:val="0"/>
              <w:kinsoku/>
              <w:wordWrap w:val="0"/>
              <w:overflowPunct/>
              <w:bidi w:val="0"/>
              <w:spacing w:before="120" w:after="120" w:line="240" w:lineRule="atLeast"/>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c>
          <w:tcPr>
            <w:tcW w:w="828" w:type="dxa"/>
            <w:tcBorders>
              <w:top w:val="single" w:color="auto" w:sz="6" w:space="0"/>
              <w:left w:val="single" w:color="auto" w:sz="6" w:space="0"/>
              <w:bottom w:val="single" w:color="auto" w:sz="4" w:space="0"/>
              <w:right w:val="single" w:color="auto" w:sz="6" w:space="0"/>
            </w:tcBorders>
          </w:tcPr>
          <w:p>
            <w:pPr>
              <w:pageBreakBefore w:val="0"/>
              <w:kinsoku/>
              <w:wordWrap w:val="0"/>
              <w:overflowPunct/>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w:t>
            </w:r>
          </w:p>
        </w:tc>
        <w:tc>
          <w:tcPr>
            <w:tcW w:w="5790" w:type="dxa"/>
            <w:gridSpan w:val="2"/>
            <w:tcBorders>
              <w:top w:val="single" w:color="auto" w:sz="6" w:space="0"/>
              <w:left w:val="single" w:color="auto" w:sz="6" w:space="0"/>
              <w:bottom w:val="single" w:color="auto" w:sz="4" w:space="0"/>
              <w:right w:val="single" w:color="auto" w:sz="6" w:space="0"/>
            </w:tcBorders>
          </w:tcPr>
          <w:p>
            <w:pPr>
              <w:pageBreakBefore w:val="0"/>
              <w:kinsoku/>
              <w:wordWrap w:val="0"/>
              <w:overflowPunct/>
              <w:bidi w:val="0"/>
              <w:spacing w:before="120" w:after="12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施工工程报价（1+2+3+4+5+6+7+8=9）</w:t>
            </w:r>
          </w:p>
        </w:tc>
        <w:tc>
          <w:tcPr>
            <w:tcW w:w="1902" w:type="dxa"/>
            <w:tcBorders>
              <w:top w:val="single" w:color="auto" w:sz="6" w:space="0"/>
              <w:left w:val="single" w:color="auto" w:sz="6" w:space="0"/>
              <w:bottom w:val="single" w:color="auto" w:sz="4" w:space="0"/>
              <w:right w:val="single" w:color="auto" w:sz="6" w:space="0"/>
            </w:tcBorders>
          </w:tcPr>
          <w:p>
            <w:pPr>
              <w:pageBreakBefore w:val="0"/>
              <w:kinsoku/>
              <w:wordWrap w:val="0"/>
              <w:overflowPunct/>
              <w:bidi w:val="0"/>
              <w:spacing w:before="120" w:after="120" w:line="240" w:lineRule="atLeast"/>
              <w:rPr>
                <w:rFonts w:hint="default" w:ascii="Times New Roman" w:hAnsi="Times New Roman" w:cs="Times New Roman"/>
                <w:color w:val="auto"/>
                <w:szCs w:val="21"/>
                <w:highlight w:val="none"/>
              </w:rPr>
            </w:pPr>
          </w:p>
        </w:tc>
      </w:tr>
    </w:tbl>
    <w:p>
      <w:pPr>
        <w:pageBreakBefore w:val="0"/>
        <w:kinsoku/>
        <w:wordWrap w:val="0"/>
        <w:overflowPunct/>
        <w:bidi w:val="0"/>
        <w:rPr>
          <w:rFonts w:hint="default" w:ascii="Times New Roman" w:hAnsi="Times New Roman" w:eastAsia="黑体" w:cs="Times New Roman"/>
          <w:b/>
          <w:color w:val="auto"/>
          <w:sz w:val="24"/>
          <w:highlight w:val="none"/>
        </w:rPr>
      </w:pPr>
    </w:p>
    <w:p>
      <w:pPr>
        <w:pageBreakBefore w:val="0"/>
        <w:kinsoku/>
        <w:wordWrap w:val="0"/>
        <w:overflowPunct/>
        <w:autoSpaceDE/>
        <w:autoSpaceDN/>
        <w:bidi w:val="0"/>
        <w:spacing w:line="400" w:lineRule="atLeast"/>
        <w:ind w:firstLine="120" w:firstLineChars="50"/>
        <w:jc w:val="center"/>
        <w:textAlignment w:val="auto"/>
        <w:outlineLvl w:val="9"/>
        <w:rPr>
          <w:rFonts w:hint="default" w:ascii="Times New Roman" w:hAnsi="Times New Roman" w:cs="Times New Roman"/>
          <w:b/>
          <w:color w:val="auto"/>
          <w:sz w:val="24"/>
          <w:highlight w:val="none"/>
        </w:rPr>
      </w:pPr>
      <w:r>
        <w:rPr>
          <w:rFonts w:hint="default" w:ascii="Times New Roman" w:hAnsi="Times New Roman" w:cs="Times New Roman"/>
          <w:color w:val="auto"/>
          <w:sz w:val="24"/>
          <w:highlight w:val="none"/>
        </w:rPr>
        <w:br w:type="page"/>
      </w:r>
      <w:r>
        <w:rPr>
          <w:rFonts w:hint="default" w:ascii="Times New Roman" w:hAnsi="Times New Roman" w:cs="Times New Roman"/>
          <w:color w:val="auto"/>
          <w:sz w:val="24"/>
          <w:highlight w:val="none"/>
        </w:rPr>
        <w:t>3．</w:t>
      </w:r>
      <w:r>
        <w:rPr>
          <w:rFonts w:hint="default" w:ascii="Times New Roman" w:hAnsi="Times New Roman" w:cs="Times New Roman"/>
          <w:b/>
          <w:color w:val="auto"/>
          <w:sz w:val="24"/>
          <w:highlight w:val="none"/>
        </w:rPr>
        <w:t>投标报价汇总表</w:t>
      </w:r>
    </w:p>
    <w:tbl>
      <w:tblPr>
        <w:tblStyle w:val="37"/>
        <w:tblW w:w="0" w:type="auto"/>
        <w:jc w:val="center"/>
        <w:tblLayout w:type="fixed"/>
        <w:tblCellMar>
          <w:top w:w="0" w:type="dxa"/>
          <w:left w:w="108" w:type="dxa"/>
          <w:bottom w:w="0" w:type="dxa"/>
          <w:right w:w="108" w:type="dxa"/>
        </w:tblCellMar>
      </w:tblPr>
      <w:tblGrid>
        <w:gridCol w:w="1005"/>
        <w:gridCol w:w="900"/>
        <w:gridCol w:w="1980"/>
        <w:gridCol w:w="2075"/>
        <w:gridCol w:w="2562"/>
      </w:tblGrid>
      <w:tr>
        <w:tblPrEx>
          <w:tblCellMar>
            <w:top w:w="0" w:type="dxa"/>
            <w:left w:w="108" w:type="dxa"/>
            <w:bottom w:w="0" w:type="dxa"/>
            <w:right w:w="108" w:type="dxa"/>
          </w:tblCellMar>
        </w:tblPrEx>
        <w:trPr>
          <w:trHeight w:val="567" w:hRule="atLeast"/>
          <w:jc w:val="center"/>
        </w:trPr>
        <w:tc>
          <w:tcPr>
            <w:tcW w:w="1005"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目</w:t>
            </w:r>
          </w:p>
        </w:tc>
        <w:tc>
          <w:tcPr>
            <w:tcW w:w="900"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节</w:t>
            </w:r>
          </w:p>
        </w:tc>
        <w:tc>
          <w:tcPr>
            <w:tcW w:w="1980"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项目名称</w:t>
            </w:r>
          </w:p>
        </w:tc>
        <w:tc>
          <w:tcPr>
            <w:tcW w:w="2075"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金额（人民币元）</w:t>
            </w:r>
          </w:p>
        </w:tc>
        <w:tc>
          <w:tcPr>
            <w:tcW w:w="2562"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备注</w:t>
            </w:r>
          </w:p>
        </w:tc>
      </w:tr>
      <w:tr>
        <w:tblPrEx>
          <w:tblCellMar>
            <w:top w:w="0" w:type="dxa"/>
            <w:left w:w="108" w:type="dxa"/>
            <w:bottom w:w="0" w:type="dxa"/>
            <w:right w:w="108" w:type="dxa"/>
          </w:tblCellMar>
        </w:tblPrEx>
        <w:trPr>
          <w:trHeight w:val="653" w:hRule="atLeast"/>
          <w:jc w:val="center"/>
        </w:trPr>
        <w:tc>
          <w:tcPr>
            <w:tcW w:w="1005"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一</w:t>
            </w:r>
          </w:p>
        </w:tc>
        <w:tc>
          <w:tcPr>
            <w:tcW w:w="900"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1980"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勘察设计费报价</w:t>
            </w:r>
          </w:p>
        </w:tc>
        <w:tc>
          <w:tcPr>
            <w:tcW w:w="2075"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562"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653" w:hRule="atLeast"/>
          <w:jc w:val="center"/>
        </w:trPr>
        <w:tc>
          <w:tcPr>
            <w:tcW w:w="1005"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900"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1980"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勘察费</w:t>
            </w:r>
          </w:p>
        </w:tc>
        <w:tc>
          <w:tcPr>
            <w:tcW w:w="2075"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562"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653" w:hRule="atLeast"/>
          <w:jc w:val="center"/>
        </w:trPr>
        <w:tc>
          <w:tcPr>
            <w:tcW w:w="1005"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900"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w:t>
            </w:r>
          </w:p>
        </w:tc>
        <w:tc>
          <w:tcPr>
            <w:tcW w:w="1980"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设计费</w:t>
            </w:r>
          </w:p>
        </w:tc>
        <w:tc>
          <w:tcPr>
            <w:tcW w:w="2075"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562"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653" w:hRule="atLeast"/>
          <w:jc w:val="center"/>
        </w:trPr>
        <w:tc>
          <w:tcPr>
            <w:tcW w:w="1005"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900"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c>
          <w:tcPr>
            <w:tcW w:w="1980"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075"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562"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653" w:hRule="atLeast"/>
          <w:jc w:val="center"/>
        </w:trPr>
        <w:tc>
          <w:tcPr>
            <w:tcW w:w="1005"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w:t>
            </w:r>
          </w:p>
        </w:tc>
        <w:tc>
          <w:tcPr>
            <w:tcW w:w="900"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1980"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eastAsia="黑体" w:cs="Times New Roman"/>
                <w:color w:val="auto"/>
                <w:szCs w:val="21"/>
                <w:highlight w:val="none"/>
              </w:rPr>
              <w:t>施工费报价</w:t>
            </w:r>
          </w:p>
        </w:tc>
        <w:tc>
          <w:tcPr>
            <w:tcW w:w="2075"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562"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653" w:hRule="atLeast"/>
          <w:jc w:val="center"/>
        </w:trPr>
        <w:tc>
          <w:tcPr>
            <w:tcW w:w="1005"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900"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1980"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075"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562"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653" w:hRule="atLeast"/>
          <w:jc w:val="center"/>
        </w:trPr>
        <w:tc>
          <w:tcPr>
            <w:tcW w:w="1005"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900"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w:t>
            </w:r>
          </w:p>
        </w:tc>
        <w:tc>
          <w:tcPr>
            <w:tcW w:w="1980"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075"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562"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653" w:hRule="atLeast"/>
          <w:jc w:val="center"/>
        </w:trPr>
        <w:tc>
          <w:tcPr>
            <w:tcW w:w="1005"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900"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c>
          <w:tcPr>
            <w:tcW w:w="1980"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075"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562"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562" w:hRule="atLeast"/>
          <w:jc w:val="center"/>
        </w:trPr>
        <w:tc>
          <w:tcPr>
            <w:tcW w:w="1005"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三</w:t>
            </w:r>
          </w:p>
        </w:tc>
        <w:tc>
          <w:tcPr>
            <w:tcW w:w="900"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1980"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其他费用</w:t>
            </w:r>
          </w:p>
        </w:tc>
        <w:tc>
          <w:tcPr>
            <w:tcW w:w="2075"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562"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556" w:hRule="atLeast"/>
          <w:jc w:val="center"/>
        </w:trPr>
        <w:tc>
          <w:tcPr>
            <w:tcW w:w="1005"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900"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1980"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075"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562"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602" w:hRule="atLeast"/>
          <w:jc w:val="center"/>
        </w:trPr>
        <w:tc>
          <w:tcPr>
            <w:tcW w:w="1005"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900"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w:t>
            </w:r>
          </w:p>
        </w:tc>
        <w:tc>
          <w:tcPr>
            <w:tcW w:w="1980"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075"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562"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ind w:right="-42" w:rightChars="-20"/>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602" w:hRule="atLeast"/>
          <w:jc w:val="center"/>
        </w:trPr>
        <w:tc>
          <w:tcPr>
            <w:tcW w:w="1005"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900" w:type="dxa"/>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c>
          <w:tcPr>
            <w:tcW w:w="1980" w:type="dxa"/>
            <w:tcBorders>
              <w:top w:val="single" w:color="auto" w:sz="4" w:space="0"/>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075"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c>
          <w:tcPr>
            <w:tcW w:w="2562" w:type="dxa"/>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eastAsia="黑体" w:cs="Times New Roman"/>
                <w:color w:val="auto"/>
                <w:szCs w:val="21"/>
                <w:highlight w:val="none"/>
              </w:rPr>
            </w:pPr>
          </w:p>
        </w:tc>
      </w:tr>
      <w:tr>
        <w:tblPrEx>
          <w:tblCellMar>
            <w:top w:w="0" w:type="dxa"/>
            <w:left w:w="108" w:type="dxa"/>
            <w:bottom w:w="0" w:type="dxa"/>
            <w:right w:w="108" w:type="dxa"/>
          </w:tblCellMar>
        </w:tblPrEx>
        <w:trPr>
          <w:trHeight w:val="567" w:hRule="atLeast"/>
          <w:jc w:val="center"/>
        </w:trPr>
        <w:tc>
          <w:tcPr>
            <w:tcW w:w="3885" w:type="dxa"/>
            <w:gridSpan w:val="3"/>
            <w:tcBorders>
              <w:top w:val="nil"/>
              <w:left w:val="single" w:color="auto" w:sz="4" w:space="0"/>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投标报价= 一+二+三</w:t>
            </w:r>
          </w:p>
        </w:tc>
        <w:tc>
          <w:tcPr>
            <w:tcW w:w="4637" w:type="dxa"/>
            <w:gridSpan w:val="2"/>
            <w:tcBorders>
              <w:top w:val="nil"/>
              <w:left w:val="nil"/>
              <w:bottom w:val="single" w:color="auto" w:sz="4" w:space="0"/>
              <w:right w:val="single" w:color="auto" w:sz="4" w:space="0"/>
            </w:tcBorders>
            <w:vAlign w:val="center"/>
          </w:tcPr>
          <w:p>
            <w:pPr>
              <w:pageBreakBefore w:val="0"/>
              <w:widowControl/>
              <w:kinsoku/>
              <w:wordWrap w:val="0"/>
              <w:overflowPunct/>
              <w:bidi w:val="0"/>
              <w:spacing w:line="400" w:lineRule="atLeast"/>
              <w:jc w:val="center"/>
              <w:rPr>
                <w:rFonts w:hint="default" w:ascii="Times New Roman" w:hAnsi="Times New Roman" w:cs="Times New Roman"/>
                <w:color w:val="auto"/>
                <w:kern w:val="0"/>
                <w:szCs w:val="21"/>
                <w:highlight w:val="none"/>
              </w:rPr>
            </w:pPr>
          </w:p>
        </w:tc>
      </w:tr>
    </w:tbl>
    <w:p>
      <w:pPr>
        <w:pageBreakBefore w:val="0"/>
        <w:kinsoku/>
        <w:wordWrap w:val="0"/>
        <w:overflowPunct/>
        <w:bidi w:val="0"/>
        <w:spacing w:line="400" w:lineRule="atLeast"/>
        <w:ind w:firstLine="120" w:firstLineChars="50"/>
        <w:rPr>
          <w:rFonts w:hint="default" w:ascii="Times New Roman" w:hAnsi="Times New Roman" w:cs="Times New Roman"/>
          <w:b/>
          <w:color w:val="auto"/>
          <w:sz w:val="24"/>
          <w:highlight w:val="none"/>
        </w:rPr>
      </w:pPr>
    </w:p>
    <w:p>
      <w:pPr>
        <w:pageBreakBefore w:val="0"/>
        <w:kinsoku/>
        <w:wordWrap w:val="0"/>
        <w:overflowPunct/>
        <w:bidi w:val="0"/>
        <w:spacing w:line="400" w:lineRule="atLeast"/>
        <w:ind w:firstLine="120" w:firstLineChars="50"/>
        <w:rPr>
          <w:rFonts w:hint="default" w:ascii="Times New Roman" w:hAnsi="Times New Roman" w:cs="Times New Roman"/>
          <w:b/>
          <w:color w:val="auto"/>
          <w:sz w:val="24"/>
          <w:highlight w:val="none"/>
        </w:rPr>
      </w:pPr>
    </w:p>
    <w:p>
      <w:pPr>
        <w:pageBreakBefore w:val="0"/>
        <w:kinsoku/>
        <w:wordWrap w:val="0"/>
        <w:overflowPunct/>
        <w:bidi w:val="0"/>
        <w:spacing w:line="400" w:lineRule="atLeast"/>
        <w:ind w:firstLine="120" w:firstLineChars="50"/>
        <w:rPr>
          <w:rFonts w:hint="default" w:ascii="Times New Roman" w:hAnsi="Times New Roman" w:cs="Times New Roman"/>
          <w:b/>
          <w:color w:val="auto"/>
          <w:sz w:val="24"/>
          <w:highlight w:val="none"/>
        </w:rPr>
      </w:pPr>
    </w:p>
    <w:p>
      <w:pPr>
        <w:pageBreakBefore w:val="0"/>
        <w:kinsoku/>
        <w:wordWrap w:val="0"/>
        <w:overflowPunct/>
        <w:bidi w:val="0"/>
        <w:spacing w:line="400" w:lineRule="atLeast"/>
        <w:ind w:firstLine="120" w:firstLineChars="50"/>
        <w:rPr>
          <w:rFonts w:hint="default" w:ascii="Times New Roman" w:hAnsi="Times New Roman" w:cs="Times New Roman"/>
          <w:b/>
          <w:color w:val="auto"/>
          <w:sz w:val="24"/>
          <w:highlight w:val="none"/>
        </w:rPr>
      </w:pPr>
    </w:p>
    <w:p>
      <w:pPr>
        <w:pageBreakBefore w:val="0"/>
        <w:kinsoku/>
        <w:wordWrap w:val="0"/>
        <w:overflowPunct/>
        <w:autoSpaceDE/>
        <w:autoSpaceDN/>
        <w:bidi w:val="0"/>
        <w:spacing w:line="400" w:lineRule="atLeast"/>
        <w:ind w:firstLine="180" w:firstLineChars="50"/>
        <w:jc w:val="center"/>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36"/>
          <w:szCs w:val="36"/>
          <w:highlight w:val="none"/>
        </w:rPr>
        <w:br w:type="page"/>
      </w:r>
      <w:bookmarkStart w:id="2596" w:name="_Toc23747900"/>
      <w:bookmarkStart w:id="2597" w:name="_Toc234833274"/>
      <w:bookmarkStart w:id="2598" w:name="_Toc501257516"/>
      <w:r>
        <w:rPr>
          <w:rFonts w:hint="default" w:ascii="Times New Roman" w:hAnsi="Times New Roman" w:cs="Times New Roman"/>
          <w:color w:val="auto"/>
          <w:sz w:val="24"/>
          <w:highlight w:val="none"/>
        </w:rPr>
        <w:t xml:space="preserve">4. </w:t>
      </w:r>
      <w:bookmarkStart w:id="2599" w:name="OLE_LINK1"/>
      <w:bookmarkStart w:id="2600" w:name="OLE_LINK2"/>
      <w:r>
        <w:rPr>
          <w:rFonts w:hint="default" w:ascii="Times New Roman" w:hAnsi="Times New Roman" w:cs="Times New Roman"/>
          <w:color w:val="auto"/>
          <w:sz w:val="24"/>
          <w:highlight w:val="none"/>
        </w:rPr>
        <w:t>报价清单单价分析表</w:t>
      </w:r>
    </w:p>
    <w:bookmarkEnd w:id="2599"/>
    <w:bookmarkEnd w:id="2600"/>
    <w:p>
      <w:pPr>
        <w:pageBreakBefore w:val="0"/>
        <w:kinsoku/>
        <w:wordWrap w:val="0"/>
        <w:overflowPunct/>
        <w:bidi w:val="0"/>
        <w:spacing w:line="440" w:lineRule="exact"/>
        <w:rPr>
          <w:rFonts w:hint="default" w:ascii="Times New Roman" w:hAnsi="Times New Roman" w:eastAsia="黑体" w:cs="Times New Roman"/>
          <w:color w:val="auto"/>
          <w:sz w:val="24"/>
          <w:highlight w:val="none"/>
        </w:rPr>
      </w:pPr>
    </w:p>
    <w:tbl>
      <w:tblPr>
        <w:tblStyle w:val="37"/>
        <w:tblW w:w="49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537"/>
        <w:gridCol w:w="647"/>
        <w:gridCol w:w="426"/>
        <w:gridCol w:w="426"/>
        <w:gridCol w:w="426"/>
        <w:gridCol w:w="426"/>
        <w:gridCol w:w="426"/>
        <w:gridCol w:w="426"/>
        <w:gridCol w:w="426"/>
        <w:gridCol w:w="426"/>
        <w:gridCol w:w="443"/>
        <w:gridCol w:w="540"/>
        <w:gridCol w:w="540"/>
        <w:gridCol w:w="540"/>
        <w:gridCol w:w="540"/>
        <w:gridCol w:w="540"/>
        <w:gridCol w:w="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 w:hRule="atLeast"/>
        </w:trPr>
        <w:tc>
          <w:tcPr>
            <w:tcW w:w="291" w:type="pct"/>
            <w:vMerge w:val="restart"/>
            <w:vAlign w:val="center"/>
          </w:tcPr>
          <w:p>
            <w:pPr>
              <w:pageBreakBefore w:val="0"/>
              <w:kinsoku/>
              <w:wordWrap w:val="0"/>
              <w:overflowPunct/>
              <w:bidi w:val="0"/>
              <w:spacing w:line="4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319" w:type="pct"/>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编码</w:t>
            </w:r>
          </w:p>
        </w:tc>
        <w:tc>
          <w:tcPr>
            <w:tcW w:w="382" w:type="pct"/>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子目名称</w:t>
            </w:r>
          </w:p>
        </w:tc>
        <w:tc>
          <w:tcPr>
            <w:tcW w:w="635" w:type="pct"/>
            <w:gridSpan w:val="3"/>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人工费</w:t>
            </w:r>
          </w:p>
        </w:tc>
        <w:tc>
          <w:tcPr>
            <w:tcW w:w="1454" w:type="pct"/>
            <w:gridSpan w:val="6"/>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材料费</w:t>
            </w:r>
          </w:p>
        </w:tc>
        <w:tc>
          <w:tcPr>
            <w:tcW w:w="320" w:type="pct"/>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机械使用费</w:t>
            </w:r>
          </w:p>
        </w:tc>
        <w:tc>
          <w:tcPr>
            <w:tcW w:w="320" w:type="pct"/>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其他</w:t>
            </w:r>
          </w:p>
        </w:tc>
        <w:tc>
          <w:tcPr>
            <w:tcW w:w="320" w:type="pct"/>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管理费</w:t>
            </w:r>
          </w:p>
        </w:tc>
        <w:tc>
          <w:tcPr>
            <w:tcW w:w="320" w:type="pct"/>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税费</w:t>
            </w:r>
          </w:p>
        </w:tc>
        <w:tc>
          <w:tcPr>
            <w:tcW w:w="320" w:type="pct"/>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利润</w:t>
            </w:r>
          </w:p>
        </w:tc>
        <w:tc>
          <w:tcPr>
            <w:tcW w:w="320" w:type="pct"/>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综合</w:t>
            </w:r>
          </w:p>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rPr>
        <w:tc>
          <w:tcPr>
            <w:tcW w:w="291" w:type="pct"/>
            <w:vMerge w:val="continue"/>
            <w:vAlign w:val="center"/>
          </w:tcPr>
          <w:p>
            <w:pPr>
              <w:pageBreakBefore w:val="0"/>
              <w:kinsoku/>
              <w:wordWrap w:val="0"/>
              <w:overflowPunct/>
              <w:bidi w:val="0"/>
              <w:spacing w:line="440" w:lineRule="exact"/>
              <w:rPr>
                <w:rFonts w:hint="default" w:ascii="Times New Roman" w:hAnsi="Times New Roman" w:cs="Times New Roman"/>
                <w:color w:val="auto"/>
                <w:highlight w:val="none"/>
              </w:rPr>
            </w:pPr>
          </w:p>
        </w:tc>
        <w:tc>
          <w:tcPr>
            <w:tcW w:w="319"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8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工日</w:t>
            </w:r>
          </w:p>
        </w:tc>
        <w:tc>
          <w:tcPr>
            <w:tcW w:w="211" w:type="pct"/>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单价</w:t>
            </w:r>
          </w:p>
        </w:tc>
        <w:tc>
          <w:tcPr>
            <w:tcW w:w="213" w:type="pct"/>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金额</w:t>
            </w:r>
          </w:p>
        </w:tc>
        <w:tc>
          <w:tcPr>
            <w:tcW w:w="962" w:type="pct"/>
            <w:gridSpan w:val="4"/>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主材</w:t>
            </w:r>
          </w:p>
        </w:tc>
        <w:tc>
          <w:tcPr>
            <w:tcW w:w="227" w:type="pct"/>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辅材费</w:t>
            </w:r>
          </w:p>
        </w:tc>
        <w:tc>
          <w:tcPr>
            <w:tcW w:w="265" w:type="pct"/>
            <w:vMerge w:val="restar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金额</w:t>
            </w:r>
          </w:p>
        </w:tc>
        <w:tc>
          <w:tcPr>
            <w:tcW w:w="320"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trPr>
        <w:tc>
          <w:tcPr>
            <w:tcW w:w="291" w:type="pct"/>
            <w:vMerge w:val="continue"/>
            <w:vAlign w:val="center"/>
          </w:tcPr>
          <w:p>
            <w:pPr>
              <w:pageBreakBefore w:val="0"/>
              <w:kinsoku/>
              <w:wordWrap w:val="0"/>
              <w:overflowPunct/>
              <w:bidi w:val="0"/>
              <w:spacing w:line="440" w:lineRule="exact"/>
              <w:rPr>
                <w:rFonts w:hint="default" w:ascii="Times New Roman" w:hAnsi="Times New Roman" w:cs="Times New Roman"/>
                <w:color w:val="auto"/>
                <w:highlight w:val="none"/>
              </w:rPr>
            </w:pPr>
          </w:p>
        </w:tc>
        <w:tc>
          <w:tcPr>
            <w:tcW w:w="319"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82"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3"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主材耗量</w:t>
            </w: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单位</w:t>
            </w: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单价</w:t>
            </w:r>
          </w:p>
        </w:tc>
        <w:tc>
          <w:tcPr>
            <w:tcW w:w="24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主材费</w:t>
            </w:r>
          </w:p>
        </w:tc>
        <w:tc>
          <w:tcPr>
            <w:tcW w:w="227"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65"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Merge w:val="continue"/>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vAlign w:val="center"/>
          </w:tcPr>
          <w:p>
            <w:pPr>
              <w:pageBreakBefore w:val="0"/>
              <w:kinsoku/>
              <w:wordWrap w:val="0"/>
              <w:overflowPunct/>
              <w:bidi w:val="0"/>
              <w:spacing w:line="440" w:lineRule="exact"/>
              <w:rPr>
                <w:rFonts w:hint="default" w:ascii="Times New Roman" w:hAnsi="Times New Roman" w:cs="Times New Roman"/>
                <w:color w:val="auto"/>
                <w:highlight w:val="none"/>
              </w:rPr>
            </w:pPr>
          </w:p>
        </w:tc>
        <w:tc>
          <w:tcPr>
            <w:tcW w:w="319"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8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3"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27"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65"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19"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8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3"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27"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65"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19"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8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3"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27"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65"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19"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8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3"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27"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65"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19"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8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3"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27"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65"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19"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8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3"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27"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65"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19"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8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3"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27"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65"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19"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8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3"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27"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65"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19"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8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3"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27"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65"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19"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8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3"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27"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65"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19"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8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1"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13"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42"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27"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265"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c>
          <w:tcPr>
            <w:tcW w:w="320" w:type="pct"/>
            <w:vAlign w:val="center"/>
          </w:tcPr>
          <w:p>
            <w:pPr>
              <w:pageBreakBefore w:val="0"/>
              <w:kinsoku/>
              <w:wordWrap w:val="0"/>
              <w:overflowPunct/>
              <w:bidi w:val="0"/>
              <w:spacing w:line="440" w:lineRule="exact"/>
              <w:jc w:val="center"/>
              <w:rPr>
                <w:rFonts w:hint="default" w:ascii="Times New Roman" w:hAnsi="Times New Roman" w:cs="Times New Roman"/>
                <w:color w:val="auto"/>
                <w:highlight w:val="none"/>
              </w:rPr>
            </w:pPr>
          </w:p>
        </w:tc>
      </w:tr>
    </w:tbl>
    <w:p>
      <w:pPr>
        <w:keepNext/>
        <w:keepLines/>
        <w:pageBreakBefore w:val="0"/>
        <w:widowControl w:val="0"/>
        <w:kinsoku/>
        <w:wordWrap w:val="0"/>
        <w:overflowPunct/>
        <w:topLinePunct w:val="0"/>
        <w:autoSpaceDE/>
        <w:autoSpaceDN/>
        <w:bidi w:val="0"/>
        <w:adjustRightInd/>
        <w:snapToGrid/>
        <w:spacing w:before="0" w:after="0" w:line="400" w:lineRule="atLeast"/>
        <w:jc w:val="center"/>
        <w:textAlignment w:val="auto"/>
        <w:outlineLvl w:val="9"/>
        <w:rPr>
          <w:rFonts w:hint="default" w:ascii="Times New Roman" w:hAnsi="Times New Roman" w:eastAsia="黑体" w:cs="Times New Roman"/>
          <w:b w:val="0"/>
          <w:color w:val="auto"/>
          <w:sz w:val="30"/>
          <w:szCs w:val="30"/>
          <w:highlight w:val="none"/>
        </w:rPr>
      </w:pPr>
    </w:p>
    <w:p>
      <w:pPr>
        <w:pageBreakBefore w:val="0"/>
        <w:widowControl/>
        <w:kinsoku/>
        <w:wordWrap w:val="0"/>
        <w:overflowPunct/>
        <w:bidi w:val="0"/>
        <w:jc w:val="left"/>
        <w:rPr>
          <w:rFonts w:hint="default" w:ascii="Times New Roman" w:hAnsi="Times New Roman" w:eastAsia="黑体" w:cs="Times New Roman"/>
          <w:bCs/>
          <w:color w:val="auto"/>
          <w:kern w:val="44"/>
          <w:sz w:val="30"/>
          <w:szCs w:val="30"/>
          <w:highlight w:val="none"/>
          <w:lang w:val="zh-CN"/>
        </w:rPr>
      </w:pPr>
      <w:r>
        <w:rPr>
          <w:rFonts w:hint="default" w:ascii="Times New Roman" w:hAnsi="Times New Roman" w:eastAsia="黑体" w:cs="Times New Roman"/>
          <w:b/>
          <w:color w:val="auto"/>
          <w:sz w:val="30"/>
          <w:szCs w:val="30"/>
          <w:highlight w:val="none"/>
        </w:rPr>
        <w:br w:type="page"/>
      </w:r>
    </w:p>
    <w:p>
      <w:pPr>
        <w:pStyle w:val="2"/>
        <w:pageBreakBefore w:val="0"/>
        <w:kinsoku/>
        <w:wordWrap w:val="0"/>
        <w:overflowPunct/>
        <w:bidi w:val="0"/>
        <w:spacing w:before="0" w:after="0" w:line="400" w:lineRule="atLeast"/>
        <w:jc w:val="center"/>
        <w:outlineLvl w:val="1"/>
        <w:rPr>
          <w:rFonts w:hint="default" w:ascii="Times New Roman" w:hAnsi="Times New Roman" w:eastAsia="黑体" w:cs="Times New Roman"/>
          <w:b w:val="0"/>
          <w:color w:val="auto"/>
          <w:sz w:val="30"/>
          <w:szCs w:val="30"/>
          <w:highlight w:val="none"/>
        </w:rPr>
      </w:pPr>
      <w:bookmarkStart w:id="2601" w:name="_Toc16428"/>
      <w:bookmarkStart w:id="2602" w:name="_Toc26141"/>
      <w:bookmarkStart w:id="2603" w:name="_Toc2926"/>
      <w:r>
        <w:rPr>
          <w:rFonts w:hint="default" w:ascii="Times New Roman" w:hAnsi="Times New Roman" w:eastAsia="黑体" w:cs="Times New Roman"/>
          <w:b w:val="0"/>
          <w:color w:val="auto"/>
          <w:sz w:val="30"/>
          <w:szCs w:val="30"/>
          <w:highlight w:val="none"/>
        </w:rPr>
        <w:t>三、合同用款估算表</w:t>
      </w:r>
      <w:bookmarkEnd w:id="2596"/>
      <w:bookmarkEnd w:id="2597"/>
      <w:bookmarkEnd w:id="2598"/>
      <w:bookmarkEnd w:id="2601"/>
      <w:bookmarkEnd w:id="2602"/>
      <w:bookmarkEnd w:id="2603"/>
    </w:p>
    <w:p>
      <w:pPr>
        <w:pageBreakBefore w:val="0"/>
        <w:kinsoku/>
        <w:wordWrap w:val="0"/>
        <w:overflowPunct/>
        <w:bidi w:val="0"/>
        <w:rPr>
          <w:rFonts w:hint="default" w:ascii="Times New Roman" w:hAnsi="Times New Roman" w:cs="Times New Roman"/>
          <w:color w:val="auto"/>
          <w:highlight w:val="none"/>
          <w:lang w:val="zh-CN"/>
        </w:rPr>
      </w:pPr>
    </w:p>
    <w:tbl>
      <w:tblPr>
        <w:tblStyle w:val="37"/>
        <w:tblW w:w="884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628"/>
        <w:gridCol w:w="2025"/>
        <w:gridCol w:w="1547"/>
        <w:gridCol w:w="1548"/>
        <w:gridCol w:w="1548"/>
        <w:gridCol w:w="154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restart"/>
            <w:tcBorders>
              <w:bottom w:val="nil"/>
              <w:right w:val="single" w:color="auto" w:sz="6" w:space="0"/>
            </w:tcBorders>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从开工月算起的时间</w:t>
            </w:r>
          </w:p>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（月）</w:t>
            </w:r>
          </w:p>
        </w:tc>
        <w:tc>
          <w:tcPr>
            <w:tcW w:w="6191" w:type="dxa"/>
            <w:gridSpan w:val="4"/>
            <w:tcBorders>
              <w:left w:val="single" w:color="auto" w:sz="6" w:space="0"/>
            </w:tcBorders>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投标人的估算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continue"/>
            <w:tcBorders>
              <w:top w:val="nil"/>
              <w:bottom w:val="nil"/>
              <w:right w:val="single" w:color="auto" w:sz="6" w:space="0"/>
            </w:tcBorders>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3095" w:type="dxa"/>
            <w:gridSpan w:val="2"/>
            <w:tcBorders>
              <w:top w:val="single" w:color="auto" w:sz="4" w:space="0"/>
              <w:left w:val="single" w:color="auto" w:sz="6" w:space="0"/>
              <w:bottom w:val="single" w:color="auto" w:sz="6" w:space="0"/>
              <w:right w:val="single" w:color="auto" w:sz="6" w:space="0"/>
            </w:tcBorders>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     期</w:t>
            </w:r>
          </w:p>
        </w:tc>
        <w:tc>
          <w:tcPr>
            <w:tcW w:w="3096" w:type="dxa"/>
            <w:gridSpan w:val="2"/>
            <w:tcBorders>
              <w:left w:val="single" w:color="auto" w:sz="6" w:space="0"/>
            </w:tcBorders>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累     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continue"/>
            <w:tcBorders>
              <w:top w:val="nil"/>
              <w:right w:val="single" w:color="auto" w:sz="6" w:space="0"/>
            </w:tcBorders>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7" w:type="dxa"/>
            <w:tcBorders>
              <w:top w:val="single" w:color="auto" w:sz="6" w:space="0"/>
              <w:left w:val="single" w:color="auto" w:sz="6" w:space="0"/>
            </w:tcBorders>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金额（元）</w:t>
            </w:r>
          </w:p>
        </w:tc>
        <w:tc>
          <w:tcPr>
            <w:tcW w:w="1548" w:type="dxa"/>
            <w:tcBorders>
              <w:top w:val="single" w:color="auto" w:sz="6" w:space="0"/>
            </w:tcBorders>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金额（元）</w:t>
            </w: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Pr>
        <w:tc>
          <w:tcPr>
            <w:tcW w:w="2653" w:type="dxa"/>
            <w:gridSpan w:val="2"/>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第一次开工预付款</w:t>
            </w:r>
          </w:p>
        </w:tc>
        <w:tc>
          <w:tcPr>
            <w:tcW w:w="1547"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 ~ 3</w:t>
            </w:r>
          </w:p>
        </w:tc>
        <w:tc>
          <w:tcPr>
            <w:tcW w:w="1547"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 ~ 6</w:t>
            </w:r>
          </w:p>
        </w:tc>
        <w:tc>
          <w:tcPr>
            <w:tcW w:w="1547"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 ~ 9</w:t>
            </w:r>
          </w:p>
        </w:tc>
        <w:tc>
          <w:tcPr>
            <w:tcW w:w="1547"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Pr>
        <w:tc>
          <w:tcPr>
            <w:tcW w:w="2653" w:type="dxa"/>
            <w:gridSpan w:val="2"/>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 ~ 12</w:t>
            </w:r>
          </w:p>
        </w:tc>
        <w:tc>
          <w:tcPr>
            <w:tcW w:w="1547"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 ~ 15</w:t>
            </w:r>
          </w:p>
        </w:tc>
        <w:tc>
          <w:tcPr>
            <w:tcW w:w="1547"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47"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47"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Pr>
        <w:tc>
          <w:tcPr>
            <w:tcW w:w="2653" w:type="dxa"/>
            <w:gridSpan w:val="2"/>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7"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缺陷责任期</w:t>
            </w:r>
          </w:p>
        </w:tc>
        <w:tc>
          <w:tcPr>
            <w:tcW w:w="1547"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      计</w:t>
            </w:r>
          </w:p>
        </w:tc>
        <w:tc>
          <w:tcPr>
            <w:tcW w:w="1547"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100.00</w:t>
            </w: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vAlign w:val="center"/>
          </w:tcPr>
          <w:p>
            <w:pPr>
              <w:pageBreakBefore w:val="0"/>
              <w:kinsoku/>
              <w:wordWrap w:val="0"/>
              <w:overflowPunct/>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c>
          <w:tcPr>
            <w:tcW w:w="8844" w:type="dxa"/>
            <w:gridSpan w:val="6"/>
            <w:vAlign w:val="center"/>
          </w:tcPr>
          <w:p>
            <w:pPr>
              <w:pStyle w:val="24"/>
              <w:pageBreakBefore w:val="0"/>
              <w:tabs>
                <w:tab w:val="clear" w:pos="4153"/>
                <w:tab w:val="clear" w:pos="8306"/>
              </w:tabs>
              <w:kinsoku/>
              <w:wordWrap w:val="0"/>
              <w:overflowPunct/>
              <w:bidi w:val="0"/>
              <w:spacing w:before="60" w:beforeLines="25" w:after="60" w:afterLines="25" w:line="400" w:lineRule="atLeas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投标价：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738" w:hRule="atLeast"/>
        </w:trPr>
        <w:tc>
          <w:tcPr>
            <w:tcW w:w="628" w:type="dxa"/>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w:t>
            </w:r>
          </w:p>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明</w:t>
            </w:r>
          </w:p>
        </w:tc>
        <w:tc>
          <w:tcPr>
            <w:tcW w:w="8216" w:type="dxa"/>
            <w:gridSpan w:val="5"/>
            <w:vAlign w:val="center"/>
          </w:tcPr>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overflowPunct/>
              <w:bidi w:val="0"/>
              <w:snapToGrid w:val="0"/>
              <w:spacing w:line="400" w:lineRule="atLeast"/>
              <w:jc w:val="center"/>
              <w:rPr>
                <w:rFonts w:hint="default" w:ascii="Times New Roman" w:hAnsi="Times New Roman" w:cs="Times New Roman"/>
                <w:color w:val="auto"/>
                <w:szCs w:val="21"/>
                <w:highlight w:val="none"/>
              </w:rPr>
            </w:pPr>
          </w:p>
        </w:tc>
      </w:tr>
    </w:tbl>
    <w:p>
      <w:pPr>
        <w:pageBreakBefore w:val="0"/>
        <w:kinsoku/>
        <w:wordWrap w:val="0"/>
        <w:overflowPunct/>
        <w:bidi w:val="0"/>
        <w:snapToGrid w:val="0"/>
        <w:spacing w:line="340" w:lineRule="atLeast"/>
        <w:ind w:left="894" w:leftChars="100" w:hanging="684" w:hangingChars="326"/>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注：1.投标人可按工程进度估算并填写本表。</w:t>
      </w:r>
    </w:p>
    <w:p>
      <w:pPr>
        <w:pageBreakBefore w:val="0"/>
        <w:kinsoku/>
        <w:wordWrap w:val="0"/>
        <w:overflowPunct/>
        <w:autoSpaceDE/>
        <w:autoSpaceDN/>
        <w:bidi w:val="0"/>
        <w:spacing w:line="340" w:lineRule="atLeast"/>
        <w:ind w:left="865" w:leftChars="286" w:right="-334" w:rightChars="-159" w:hanging="264" w:hangingChars="126"/>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Cs w:val="21"/>
          <w:highlight w:val="none"/>
        </w:rPr>
        <w:t>2.用款额按所报单价和总额价估算，不包括价格调整和暂列金额、暂估价，但应考虑开工预付款的扣回以及签发付款证书后到实际支付的时间间隔。</w:t>
      </w:r>
    </w:p>
    <w:p>
      <w:pPr>
        <w:pageBreakBefore w:val="0"/>
        <w:kinsoku/>
        <w:wordWrap w:val="0"/>
        <w:overflowPunct/>
        <w:bidi w:val="0"/>
        <w:spacing w:line="440" w:lineRule="exact"/>
        <w:rPr>
          <w:rFonts w:hint="default" w:ascii="Times New Roman" w:hAnsi="Times New Roman" w:eastAsia="黑体" w:cs="Times New Roman"/>
          <w:color w:val="auto"/>
          <w:sz w:val="20"/>
          <w:szCs w:val="20"/>
          <w:highlight w:val="none"/>
        </w:rPr>
      </w:pPr>
    </w:p>
    <w:p>
      <w:pPr>
        <w:pStyle w:val="2"/>
        <w:pageBreakBefore w:val="0"/>
        <w:kinsoku/>
        <w:wordWrap w:val="0"/>
        <w:overflowPunct/>
        <w:bidi w:val="0"/>
        <w:spacing w:before="0" w:after="0" w:line="380" w:lineRule="atLeast"/>
        <w:outlineLvl w:val="9"/>
        <w:rPr>
          <w:rFonts w:hint="default" w:ascii="Times New Roman" w:hAnsi="Times New Roman" w:eastAsia="黑体" w:cs="Times New Roman"/>
          <w:b w:val="0"/>
          <w:color w:val="auto"/>
          <w:sz w:val="42"/>
          <w:szCs w:val="42"/>
          <w:highlight w:val="none"/>
        </w:rPr>
        <w:sectPr>
          <w:footnotePr>
            <w:numFmt w:val="decimalEnclosedCircleChinese"/>
            <w:numRestart w:val="eachPage"/>
          </w:footnotePr>
          <w:pgSz w:w="11907" w:h="16840"/>
          <w:pgMar w:top="1588" w:right="1588" w:bottom="1474" w:left="1644" w:header="851" w:footer="851" w:gutter="0"/>
          <w:pgNumType w:fmt="decimal"/>
          <w:cols w:space="425" w:num="1"/>
          <w:docGrid w:linePitch="312" w:charSpace="0"/>
        </w:sectPr>
      </w:pPr>
    </w:p>
    <w:p>
      <w:pPr>
        <w:pageBreakBefore w:val="0"/>
        <w:kinsoku/>
        <w:wordWrap w:val="0"/>
        <w:overflowPunct/>
        <w:bidi w:val="0"/>
        <w:spacing w:line="400" w:lineRule="atLeast"/>
        <w:ind w:firstLine="420" w:firstLineChars="200"/>
        <w:rPr>
          <w:rFonts w:hint="default" w:ascii="Times New Roman" w:hAnsi="Times New Roman" w:cs="Times New Roman"/>
          <w:color w:val="auto"/>
          <w:highlight w:val="none"/>
        </w:rPr>
      </w:pPr>
    </w:p>
    <w:sectPr>
      <w:headerReference r:id="rId56" w:type="default"/>
      <w:footnotePr>
        <w:numFmt w:val="decimalEnclosedCircleChinese"/>
        <w:numRestart w:val="eachPage"/>
      </w:footnotePr>
      <w:type w:val="continuous"/>
      <w:pgSz w:w="11907" w:h="16840"/>
      <w:pgMar w:top="1588" w:right="1588" w:bottom="1474" w:left="1644" w:header="851" w:footer="851"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方正宋三简体">
    <w:altName w:val="宋体"/>
    <w:panose1 w:val="00000000000000000000"/>
    <w:charset w:val="86"/>
    <w:family w:val="auto"/>
    <w:pitch w:val="default"/>
    <w:sig w:usb0="00000000" w:usb1="00000000" w:usb2="00000010" w:usb3="00000000" w:csb0="00040000" w:csb1="00000000"/>
  </w:font>
  <w:font w:name="MingLiU">
    <w:altName w:val="Droid Sans Japanese"/>
    <w:panose1 w:val="02020509000000000000"/>
    <w:charset w:val="88"/>
    <w:family w:val="modern"/>
    <w:pitch w:val="default"/>
    <w:sig w:usb0="00000000" w:usb1="00000000" w:usb2="00000016" w:usb3="00000000" w:csb0="00100001" w:csb1="00000000"/>
  </w:font>
  <w:font w:name="Arial Unicode MS">
    <w:altName w:val="宋体"/>
    <w:panose1 w:val="020B0604020202020204"/>
    <w:charset w:val="86"/>
    <w:family w:val="swiss"/>
    <w:pitch w:val="default"/>
    <w:sig w:usb0="00000000" w:usb1="00000000" w:usb2="0000003F" w:usb3="00000000" w:csb0="003F01FF" w:csb1="00000000"/>
  </w:font>
  <w:font w:name="??">
    <w:altName w:val="Times New Roman"/>
    <w:panose1 w:val="00000000000000000000"/>
    <w:charset w:val="00"/>
    <w:family w:val="roman"/>
    <w:pitch w:val="default"/>
    <w:sig w:usb0="00000000" w:usb1="00000000" w:usb2="00000000" w:usb3="00000000" w:csb0="00000001" w:csb1="00000000"/>
  </w:font>
  <w:font w:name="华文彩云">
    <w:panose1 w:val="02010800040101010101"/>
    <w:charset w:val="86"/>
    <w:family w:val="auto"/>
    <w:pitch w:val="default"/>
    <w:sig w:usb0="00000001" w:usb1="080F0000" w:usb2="00000000" w:usb3="00000000" w:csb0="00040000" w:csb1="00000000"/>
  </w:font>
  <w:font w:name="方正姚体">
    <w:altName w:val="方正姚体_GBK"/>
    <w:panose1 w:val="02010601030101010101"/>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宋体-18030">
    <w:altName w:val="宋体"/>
    <w:panose1 w:val="00000000000000000000"/>
    <w:charset w:val="86"/>
    <w:family w:val="modern"/>
    <w:pitch w:val="default"/>
    <w:sig w:usb0="00000000" w:usb1="00000000" w:usb2="000A005E" w:usb3="00000000" w:csb0="00040001" w:csb1="00000000"/>
  </w:font>
  <w:font w:name="隶书">
    <w:altName w:val="宋体"/>
    <w:panose1 w:val="02010509060101010101"/>
    <w:charset w:val="86"/>
    <w:family w:val="modern"/>
    <w:pitch w:val="default"/>
    <w:sig w:usb0="00000000" w:usb1="0000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Roman">
    <w:altName w:val="Times New Roman"/>
    <w:panose1 w:val="00000000000000000000"/>
    <w:charset w:val="00"/>
    <w:family w:val="roman"/>
    <w:pitch w:val="default"/>
    <w:sig w:usb0="00000000" w:usb1="00000000" w:usb2="00000000" w:usb3="00000000" w:csb0="00000000" w:csb1="00000000"/>
  </w:font>
  <w:font w:name="宋体 ，Arial">
    <w:altName w:val="宋体"/>
    <w:panose1 w:val="00000000000000000000"/>
    <w:charset w:val="86"/>
    <w:family w:val="roman"/>
    <w:pitch w:val="default"/>
    <w:sig w:usb0="00000000" w:usb1="00000000" w:usb2="00000010" w:usb3="00000000" w:csb0="00040000" w:csb1="00000000"/>
  </w:font>
  <w:font w:name="方正姚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宋体S-超大字符集">
    <w:panose1 w:val="02000000000000000000"/>
    <w:charset w:val="86"/>
    <w:family w:val="auto"/>
    <w:pitch w:val="default"/>
    <w:sig w:usb0="00000001" w:usb1="08000000" w:usb2="00000000" w:usb3="00000000" w:csb0="00040000" w:csb1="0000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line="240" w:lineRule="exact"/>
      <w:ind w:right="360" w:firstLine="360"/>
      <w:jc w:val="center"/>
      <w:rPr>
        <w:rFonts w:eastAsia="黑体"/>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beforeLines="0" w:afterLines="0" w:line="240" w:lineRule="exact"/>
      <w:ind w:right="360" w:firstLine="360"/>
      <w:rPr>
        <w:rFonts w:hint="eastAsia" w:eastAsia="黑体"/>
        <w:sz w:val="17"/>
        <w:szCs w:val="17"/>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beforeLines="0" w:afterLines="0"/>
      <w:rPr>
        <w:rFonts w:hint="eastAsia"/>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line="240" w:lineRule="exact"/>
      <w:ind w:right="360" w:firstLine="360"/>
      <w:rPr>
        <w:rFonts w:eastAsia="黑体"/>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line="240" w:lineRule="exact"/>
      <w:ind w:right="360" w:firstLine="360"/>
      <w:jc w:val="center"/>
      <w:rPr>
        <w:rFonts w:eastAsia="黑体"/>
        <w:sz w:val="17"/>
        <w:szCs w:val="17"/>
      </w:rPr>
    </w:pPr>
    <w:r>
      <w:rPr>
        <w:sz w:val="17"/>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gUyDHQIAACsEAAAOAAAAZHJz&#10;L2Uyb0RvYy54bWytU82O0zAQviPxDpbvNGkRS1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mhLDNGZ0+vb19P3p9OML&#10;wRsAalyYwW/j4BnbN7YtaPR7MZgC3lPrrfQ63WiKwAVoHy8IizYSjsfxdDKd5jBx2AYFKbLrd+dD&#10;fCusJkkoqMcIO2TZYR3i2XVwSdmMXdVKdWNUhjQFvXn5K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qBTIM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QcJ/5BwCAAArBAAADgAAAAAAAAABACAAAAA1AQAAZHJzL2Uyb0RvYy54bWxQSwUG&#10;AAAAAAYABgBZAQAAwwU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right="360" w:firstLine="36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line="240" w:lineRule="exact"/>
      <w:ind w:right="360" w:firstLine="360"/>
      <w:rPr>
        <w:rFonts w:eastAsia="黑体"/>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zAJlYHQIAACsEAAAOAAAAZHJz&#10;L2Uyb0RvYy54bWytU82O0zAQviPxDpbvNGkRq1I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mhLDNGZ0+vb19P3p9OML&#10;wRsAalyYwW/j4BnbN7YtaPR7MZgC3lPrrfQ63WiKwAVoHy8IizYSjsfxdDKd5jBx2AYFKbLrd+dD&#10;fCusJkkoqMcIO2TZYR3i2XVwSdmMXdVKdWNUhjQFvXn5K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DMAmVg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right="360" w:firstLine="36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GQA+L8aAgAAKwQAAA4AAAAAAAAAAQAgAAAANQEAAGRycy9lMm9Eb2MueG1sUEsFBgAA&#10;AAAGAAYAWQEAAME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rPr>
        <w:rStyle w:val="41"/>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EXQu5HQ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RdC7k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8</w:t>
                    </w:r>
                    <w:r>
                      <w:fldChar w:fldCharType="end"/>
                    </w:r>
                  </w:p>
                </w:txbxContent>
              </v:textbox>
            </v:shape>
          </w:pict>
        </mc:Fallback>
      </mc:AlternateContent>
    </w:r>
  </w:p>
  <w:p>
    <w:pPr>
      <w:pStyle w:val="24"/>
      <w:spacing w:line="240" w:lineRule="exact"/>
      <w:ind w:right="360" w:firstLine="360"/>
      <w:jc w:val="center"/>
      <w:rPr>
        <w:rFonts w:eastAsia="黑体"/>
        <w:sz w:val="17"/>
        <w:szCs w:val="17"/>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right="360" w:firstLine="360"/>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line="240" w:lineRule="exact"/>
      <w:ind w:right="360" w:firstLine="360"/>
      <w:jc w:val="center"/>
      <w:rPr>
        <w:rFonts w:eastAsia="黑体"/>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right="360" w:firstLine="360"/>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q3L+FHQIAACs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Crcv4U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spacing w:line="14" w:lineRule="auto"/>
      <w:rPr>
        <w:sz w:val="20"/>
      </w:rPr>
    </w:pPr>
    <w:r>
      <w:rPr>
        <w:sz w:val="20"/>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98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EHTBAHQIAACsEAAAOAAAAZHJz&#10;L2Uyb0RvYy54bWytU82O0zAQviPxDpbvNGkRq1I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AQdMEA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98</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BYHlk5HgIAACsEAAAOAAAAAAAAAAEAIAAAADUBAABkcnMvZTJvRG9jLnhtbFBL&#10;BQYAAAAABgAGAFkBAADFBQ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line="240" w:lineRule="exact"/>
      <w:ind w:right="360" w:firstLine="360"/>
      <w:rPr>
        <w:rFonts w:eastAsia="黑体"/>
        <w:sz w:val="17"/>
        <w:szCs w:val="17"/>
      </w:rPr>
    </w:pPr>
    <w:r>
      <w:rPr>
        <w:sz w:val="17"/>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174</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XgMnHQ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9eAyc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174</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right="360" w:firstLine="36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188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B6+YZGwIAACsEAAAOAAAAAAAAAAEAIAAAADUBAABkcnMvZTJvRG9jLnhtbFBLBQYA&#10;AAAABgAGAFkBAADCBQ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188</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193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9nOWbHQIAACsEAAAOAAAAZHJz&#10;L2Uyb0RvYy54bWytU82O0zAQviPxDpbvNGkRS1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2c5Zs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193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right="360"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208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aVq7HgIAACs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kaVq7HgIAACsEAAAOAAAAAAAAAAEAIAAAADUBAABkcnMvZTJvRG9jLnhtbFBL&#10;BQYAAAAABgAGAFkBAADFBQ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208</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line="240" w:lineRule="exact"/>
      <w:ind w:right="360" w:firstLine="360"/>
      <w:rPr>
        <w:rFonts w:eastAsia="黑体"/>
        <w:sz w:val="17"/>
        <w:szCs w:val="17"/>
      </w:rPr>
    </w:pPr>
    <w:r>
      <w:rPr>
        <w:sz w:val="17"/>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195</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39b8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dt/W/BwCAAArBAAADgAAAAAAAAABACAAAAA1AQAAZHJzL2Uyb0RvYy54bWxQSwUG&#10;AAAAAAYABgBZAQAAwwU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195</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right="360" w:firstLine="360"/>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210</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ro7oc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210</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line="240" w:lineRule="exact"/>
      <w:ind w:right="360" w:firstLine="360"/>
      <w:jc w:val="center"/>
      <w:rPr>
        <w:rFonts w:eastAsia="黑体"/>
        <w:sz w:val="17"/>
        <w:szCs w:val="17"/>
      </w:rPr>
    </w:pPr>
    <w:r>
      <w:rPr>
        <w:sz w:val="17"/>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204</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MpAKU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204</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right="360" w:firstLine="360"/>
      <w:jc w:val="cente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218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valIlHgIAACsEAAAOAAAAAAAAAAEAIAAAADUBAABkcnMvZTJvRG9jLnhtbFBL&#10;BQYAAAAABgAGAFkBAADFBQ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218</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215</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FarvAc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215</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right="360" w:firstLine="360"/>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222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Nbrh/4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222</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line="240" w:lineRule="exact"/>
      <w:ind w:right="360" w:firstLine="360"/>
      <w:rPr>
        <w:rFonts w:eastAsia="黑体"/>
        <w:sz w:val="17"/>
        <w:szCs w:val="17"/>
      </w:rPr>
    </w:pPr>
    <w:r>
      <w:rPr>
        <w:sz w:val="17"/>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219</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4Kgg7HQIAACsEAAAOAAAAZHJz&#10;L2Uyb0RvYy54bWytU82O0zAQviPxDpbvNGkX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gqCDs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219</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222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F2otJk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222</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line="240" w:lineRule="exact"/>
      <w:ind w:right="360" w:firstLine="360"/>
      <w:rPr>
        <w:rFonts w:eastAsia="黑体"/>
        <w:sz w:val="17"/>
        <w:szCs w:val="17"/>
      </w:rPr>
    </w:pPr>
    <w:r>
      <w:rPr>
        <w:sz w:val="17"/>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223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kKWFCHQIAACs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KQpYUIdAgAAKwQAAA4AAAAAAAAAAQAgAAAANQ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223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8">
    <w:p>
      <w:r>
        <w:separator/>
      </w:r>
    </w:p>
  </w:footnote>
  <w:footnote w:type="continuationSeparator" w:id="189">
    <w:p>
      <w:r>
        <w:continuationSeparator/>
      </w:r>
    </w:p>
  </w:footnote>
  <w:footnote w:id="0">
    <w:p>
      <w:pPr>
        <w:pStyle w:val="27"/>
        <w:spacing w:line="300" w:lineRule="atLeast"/>
        <w:ind w:left="180" w:hanging="180" w:hangingChars="100"/>
        <w:jc w:val="both"/>
        <w:rPr>
          <w:szCs w:val="18"/>
        </w:rPr>
      </w:pPr>
      <w:r>
        <w:rPr>
          <w:rStyle w:val="45"/>
          <w:szCs w:val="18"/>
        </w:rPr>
        <w:footnoteRef/>
      </w:r>
      <w:r>
        <w:rPr>
          <w:rFonts w:hint="eastAsia"/>
          <w:szCs w:val="18"/>
        </w:rPr>
        <w:t xml:space="preserve"> 招标人可根据项目具体特点和实际需要对本章内容进行补充、细化，但应遵守有关法律法规、部门规章和行政规范性文件的规定。</w:t>
      </w:r>
    </w:p>
  </w:footnote>
  <w:footnote w:id="1">
    <w:p>
      <w:pPr>
        <w:pStyle w:val="27"/>
        <w:spacing w:line="320" w:lineRule="atLeast"/>
        <w:ind w:left="180" w:hanging="180" w:hangingChars="100"/>
        <w:jc w:val="both"/>
        <w:rPr>
          <w:szCs w:val="18"/>
        </w:rPr>
      </w:pPr>
      <w:r>
        <w:rPr>
          <w:rStyle w:val="45"/>
        </w:rPr>
        <w:footnoteRef/>
      </w:r>
      <w:r>
        <w:t xml:space="preserve"> </w:t>
      </w:r>
      <w:r>
        <w:rPr>
          <w:rFonts w:hint="eastAsia"/>
          <w:szCs w:val="18"/>
        </w:rPr>
        <w:t>招标人应自招标文件开始发售之日起，将招标文件的关键内容上传至</w:t>
      </w:r>
      <w:r>
        <w:rPr>
          <w:rFonts w:hint="eastAsia"/>
          <w:szCs w:val="18"/>
          <w:lang w:val="en-US" w:eastAsia="zh-CN"/>
        </w:rPr>
        <w:t>电子交易平台和</w:t>
      </w:r>
      <w:r>
        <w:rPr>
          <w:rFonts w:hint="eastAsia"/>
          <w:szCs w:val="18"/>
        </w:rPr>
        <w:t>具有招标监督职责的交通运输主管部门政府网站，</w:t>
      </w:r>
      <w:r>
        <w:rPr>
          <w:rFonts w:hint="eastAsia"/>
          <w:szCs w:val="18"/>
          <w:lang w:val="en-US" w:eastAsia="zh-CN"/>
        </w:rPr>
        <w:t>公告</w:t>
      </w:r>
      <w:r>
        <w:rPr>
          <w:rFonts w:hint="eastAsia"/>
          <w:szCs w:val="18"/>
        </w:rPr>
        <w:t>内容</w:t>
      </w:r>
      <w:r>
        <w:rPr>
          <w:rFonts w:hint="eastAsia"/>
          <w:szCs w:val="18"/>
          <w:lang w:val="en-US" w:eastAsia="zh-CN"/>
        </w:rPr>
        <w:t>应当</w:t>
      </w:r>
      <w:r>
        <w:rPr>
          <w:rFonts w:hint="eastAsia"/>
          <w:szCs w:val="18"/>
        </w:rPr>
        <w:t>载明项目概况、投标人资格条件要求、评标办法、潜在投标人访问电子交易系统的网络地址和方法、异议受理联系人和招标监督部门投诉举报电话等信息，接受社会监督。招标人可将招标文件的关键内容全部载明在招标公告正文中，或作为招标公告的附件进行公开，或作为独立文件在网站上进行公开。</w:t>
      </w:r>
    </w:p>
  </w:footnote>
  <w:footnote w:id="2">
    <w:p>
      <w:pPr>
        <w:widowControl w:val="0"/>
        <w:adjustRightInd w:val="0"/>
        <w:snapToGrid/>
        <w:spacing w:line="300" w:lineRule="atLeast"/>
        <w:ind w:left="180" w:hanging="210" w:hangingChars="100"/>
        <w:jc w:val="both"/>
        <w:textAlignment w:val="baseline"/>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2"/>
          <w:sz w:val="21"/>
          <w:szCs w:val="24"/>
          <w:vertAlign w:val="superscript"/>
          <w:lang w:val="en-US" w:eastAsia="zh-CN" w:bidi="ar-SA"/>
        </w:rPr>
        <w:footnoteRef/>
      </w:r>
      <w:r>
        <w:rPr>
          <w:rFonts w:hint="eastAsia" w:ascii="Times New Roman" w:hAnsi="Times New Roman" w:eastAsia="宋体" w:cs="Times New Roman"/>
          <w:kern w:val="2"/>
          <w:sz w:val="21"/>
          <w:szCs w:val="24"/>
          <w:vertAlign w:val="superscript"/>
          <w:lang w:val="en-US" w:eastAsia="zh-CN" w:bidi="ar-SA"/>
        </w:rPr>
        <w:t xml:space="preserve"> </w:t>
      </w:r>
      <w:r>
        <w:rPr>
          <w:rFonts w:hint="eastAsia" w:ascii="Times New Roman" w:hAnsi="Times New Roman" w:eastAsia="宋体" w:cs="Times New Roman"/>
          <w:kern w:val="0"/>
          <w:sz w:val="18"/>
          <w:szCs w:val="18"/>
          <w:lang w:val="en-US" w:eastAsia="zh-CN" w:bidi="ar-SA"/>
        </w:rPr>
        <w:t>招标人不得在招投标过程中设置各类不合理限制和壁垒，不得存在限制或变相限制符合准入条件的企业参与招投标采购活动。</w:t>
      </w:r>
    </w:p>
  </w:footnote>
  <w:footnote w:id="3">
    <w:p>
      <w:pPr>
        <w:pStyle w:val="27"/>
        <w:spacing w:line="300" w:lineRule="atLeast"/>
        <w:ind w:left="180" w:hanging="180" w:hangingChars="100"/>
        <w:jc w:val="both"/>
        <w:rPr>
          <w:szCs w:val="18"/>
        </w:rPr>
      </w:pPr>
      <w:r>
        <w:rPr>
          <w:rStyle w:val="45"/>
          <w:szCs w:val="18"/>
        </w:rPr>
        <w:footnoteRef/>
      </w:r>
      <w:r>
        <w:rPr>
          <w:rFonts w:hint="eastAsia"/>
          <w:szCs w:val="18"/>
        </w:rPr>
        <w:t xml:space="preserve"> 投标人应当同时具备与招标工程相适应的勘察设计和施工</w:t>
      </w:r>
      <w:r>
        <w:rPr>
          <w:szCs w:val="18"/>
        </w:rPr>
        <w:t>资质</w:t>
      </w:r>
      <w:r>
        <w:rPr>
          <w:rFonts w:hint="eastAsia"/>
          <w:szCs w:val="18"/>
        </w:rPr>
        <w:t>，或者由具备相应</w:t>
      </w:r>
      <w:r>
        <w:rPr>
          <w:szCs w:val="18"/>
        </w:rPr>
        <w:t>资质</w:t>
      </w:r>
      <w:r>
        <w:rPr>
          <w:rFonts w:hint="eastAsia"/>
          <w:szCs w:val="18"/>
        </w:rPr>
        <w:t>的勘察设计和施工单位组成联合体。</w:t>
      </w:r>
    </w:p>
  </w:footnote>
  <w:footnote w:id="4">
    <w:p>
      <w:pPr>
        <w:pStyle w:val="27"/>
        <w:snapToGrid w:val="0"/>
        <w:ind w:firstLine="0"/>
      </w:pPr>
      <w:r>
        <w:rPr>
          <w:rStyle w:val="45"/>
        </w:rPr>
        <w:footnoteRef/>
      </w:r>
      <w:r>
        <w:t xml:space="preserve"> </w:t>
      </w:r>
      <w:r>
        <w:rPr>
          <w:rFonts w:hint="eastAsia"/>
        </w:rPr>
        <w:t>本段规定仅适用于根据《关于发布公路工程从业企业资质名录的通知》（厅公路字〔2011〕114号）要求，招标人应通过名录对投标人资质条件进行审核的公路</w:t>
      </w:r>
      <w:r>
        <w:rPr>
          <w:rFonts w:hint="eastAsia"/>
          <w:lang w:val="en-US" w:eastAsia="zh-CN"/>
        </w:rPr>
        <w:t>设计、</w:t>
      </w:r>
      <w:r>
        <w:rPr>
          <w:rFonts w:hint="eastAsia"/>
        </w:rPr>
        <w:t>施工企业</w:t>
      </w:r>
      <w:r>
        <w:rPr>
          <w:rFonts w:hint="eastAsia"/>
          <w:lang w:eastAsia="zh-CN"/>
        </w:rPr>
        <w:t>；如前款文件中规定的资质已由省级相关部门负责审核、审批，则不做要求</w:t>
      </w:r>
      <w:r>
        <w:rPr>
          <w:rFonts w:hint="eastAsia"/>
        </w:rPr>
        <w:t>。</w:t>
      </w:r>
    </w:p>
  </w:footnote>
  <w:footnote w:id="5">
    <w:p>
      <w:pPr>
        <w:pStyle w:val="27"/>
        <w:spacing w:line="320" w:lineRule="atLeast"/>
        <w:ind w:left="180" w:right="-229" w:rightChars="-109" w:hanging="180" w:hangingChars="100"/>
        <w:rPr>
          <w:szCs w:val="18"/>
        </w:rPr>
      </w:pPr>
      <w:r>
        <w:rPr>
          <w:rStyle w:val="45"/>
          <w:szCs w:val="18"/>
        </w:rPr>
        <w:footnoteRef/>
      </w:r>
      <w:r>
        <w:rPr>
          <w:rFonts w:hint="eastAsia"/>
        </w:rPr>
        <w:t xml:space="preserve"> 招标人可根据</w:t>
      </w:r>
      <w:r>
        <w:rPr>
          <w:rFonts w:hint="eastAsia"/>
          <w:lang w:eastAsia="zh-CN"/>
        </w:rPr>
        <w:t>辽宁省交通运输厅</w:t>
      </w:r>
      <w:r>
        <w:rPr>
          <w:rFonts w:hint="eastAsia"/>
        </w:rPr>
        <w:t>的有关规定，对信用等级高的投标人，给予</w:t>
      </w:r>
      <w:r>
        <w:t>增加参与投标标段数量</w:t>
      </w:r>
      <w:r>
        <w:rPr>
          <w:rFonts w:hint="eastAsia"/>
        </w:rPr>
        <w:t>的优惠。</w:t>
      </w:r>
    </w:p>
  </w:footnote>
  <w:footnote w:id="6">
    <w:p>
      <w:pPr>
        <w:pStyle w:val="27"/>
        <w:spacing w:line="280" w:lineRule="atLeast"/>
        <w:ind w:left="180" w:hanging="180" w:hangingChars="100"/>
        <w:rPr>
          <w:szCs w:val="18"/>
        </w:rPr>
      </w:pPr>
      <w:r>
        <w:rPr>
          <w:rStyle w:val="45"/>
          <w:szCs w:val="18"/>
        </w:rPr>
        <w:footnoteRef/>
      </w:r>
      <w:r>
        <w:rPr>
          <w:szCs w:val="18"/>
        </w:rPr>
        <w:t xml:space="preserve"> </w:t>
      </w:r>
      <w:r>
        <w:rPr>
          <w:rFonts w:hint="eastAsia"/>
          <w:szCs w:val="18"/>
        </w:rPr>
        <w:t>a.“投标人须知前附表”用于进一步明确正文中的未尽事宜，由招标人根据招标项目具体特点和实际需要编制和填写，且</w:t>
      </w:r>
      <w:r>
        <w:rPr>
          <w:szCs w:val="18"/>
        </w:rPr>
        <w:t>应</w:t>
      </w:r>
      <w:r>
        <w:rPr>
          <w:rFonts w:hint="eastAsia"/>
          <w:szCs w:val="18"/>
        </w:rPr>
        <w:t>与招标文件中其他章节相衔接，并不得与本章正文内容相抵触。</w:t>
      </w:r>
      <w:r>
        <w:rPr>
          <w:rFonts w:hint="eastAsia"/>
          <w:b/>
          <w:bCs/>
          <w:szCs w:val="18"/>
        </w:rPr>
        <w:t>如前附表与正文不一致时，以前附表的规定为准</w:t>
      </w:r>
      <w:r>
        <w:rPr>
          <w:rFonts w:hint="eastAsia"/>
          <w:szCs w:val="18"/>
        </w:rPr>
        <w:t>。</w:t>
      </w:r>
    </w:p>
    <w:p>
      <w:pPr>
        <w:pStyle w:val="27"/>
        <w:spacing w:line="280" w:lineRule="atLeast"/>
        <w:ind w:left="0" w:leftChars="0" w:firstLine="180" w:firstLineChars="100"/>
        <w:rPr>
          <w:szCs w:val="18"/>
        </w:rPr>
      </w:pPr>
      <w:r>
        <w:rPr>
          <w:rFonts w:hint="eastAsia"/>
          <w:szCs w:val="18"/>
        </w:rPr>
        <w:t>b.</w:t>
      </w:r>
      <w:r>
        <w:rPr>
          <w:rFonts w:hint="eastAsia" w:ascii="宋体" w:hAnsi="宋体" w:cs="宋体-18030"/>
          <w:szCs w:val="18"/>
        </w:rPr>
        <w:t>“投标人须知前附表”中的附录表格同属“投标人须知前附表”内容，具有同等效力。</w:t>
      </w:r>
    </w:p>
  </w:footnote>
  <w:footnote w:id="7">
    <w:p>
      <w:pPr>
        <w:pStyle w:val="27"/>
        <w:spacing w:line="280" w:lineRule="atLeast"/>
        <w:ind w:left="180" w:hanging="180" w:hangingChars="100"/>
        <w:rPr>
          <w:szCs w:val="18"/>
        </w:rPr>
      </w:pPr>
      <w:r>
        <w:rPr>
          <w:rStyle w:val="45"/>
          <w:szCs w:val="18"/>
        </w:rPr>
        <w:footnoteRef/>
      </w:r>
      <w:r>
        <w:rPr>
          <w:szCs w:val="18"/>
        </w:rPr>
        <w:t xml:space="preserve"> </w:t>
      </w:r>
      <w:r>
        <w:rPr>
          <w:rFonts w:hint="eastAsia"/>
          <w:szCs w:val="18"/>
        </w:rPr>
        <w:t>招标人应根据招标项目具体特点和实际需要，对工程勘察设计、施工过程中的人员安全提出目标要求。</w:t>
      </w:r>
    </w:p>
  </w:footnote>
  <w:footnote w:id="8">
    <w:p>
      <w:pPr>
        <w:pStyle w:val="27"/>
        <w:spacing w:line="280" w:lineRule="atLeast"/>
        <w:ind w:left="180" w:hanging="180" w:hangingChars="100"/>
        <w:rPr>
          <w:szCs w:val="18"/>
        </w:rPr>
      </w:pPr>
      <w:r>
        <w:rPr>
          <w:rStyle w:val="45"/>
          <w:szCs w:val="18"/>
        </w:rPr>
        <w:footnoteRef/>
      </w:r>
      <w:r>
        <w:rPr>
          <w:szCs w:val="18"/>
        </w:rPr>
        <w:t xml:space="preserve"> </w:t>
      </w:r>
      <w:r>
        <w:rPr>
          <w:rFonts w:hint="eastAsia"/>
          <w:szCs w:val="18"/>
        </w:rPr>
        <w:t>对于特别复杂的特大桥梁和特长隧道项目主体工程以及其他有特殊要求的工程，招标人还可增加附录6、附录7对投标人的其他管理和技术人员</w:t>
      </w:r>
      <w:r>
        <w:rPr>
          <w:rFonts w:hint="eastAsia"/>
        </w:rPr>
        <w:t>（例如</w:t>
      </w:r>
      <w:r>
        <w:t>项目副经理、专业工程师等</w:t>
      </w:r>
      <w:r>
        <w:rPr>
          <w:rFonts w:hint="eastAsia"/>
        </w:rPr>
        <w:t>）</w:t>
      </w:r>
      <w:r>
        <w:rPr>
          <w:rFonts w:hint="eastAsia"/>
          <w:szCs w:val="18"/>
        </w:rPr>
        <w:t>以及主要机械设备和试验检测设备提出要求。</w:t>
      </w:r>
    </w:p>
  </w:footnote>
  <w:footnote w:id="9">
    <w:p>
      <w:pPr>
        <w:pStyle w:val="27"/>
        <w:spacing w:line="280" w:lineRule="atLeast"/>
        <w:ind w:left="180" w:hanging="180" w:hangingChars="100"/>
        <w:rPr>
          <w:szCs w:val="18"/>
        </w:rPr>
      </w:pPr>
      <w:r>
        <w:rPr>
          <w:rStyle w:val="45"/>
          <w:szCs w:val="18"/>
        </w:rPr>
        <w:footnoteRef/>
      </w:r>
      <w:r>
        <w:rPr>
          <w:szCs w:val="18"/>
        </w:rPr>
        <w:t xml:space="preserve"> </w:t>
      </w:r>
      <w:r>
        <w:rPr>
          <w:rFonts w:hint="eastAsia"/>
          <w:szCs w:val="18"/>
        </w:rPr>
        <w:t>招标人应在此明确由同一专业或不同专业组成的联合体中各专业的资质、财务、业绩、信誉、项目负责人、设计负责人、施工负责人、信用等级等的认定方法，以最终认定联合体的资格。</w:t>
      </w:r>
    </w:p>
  </w:footnote>
  <w:footnote w:id="10">
    <w:p>
      <w:pPr>
        <w:pStyle w:val="27"/>
        <w:spacing w:line="320" w:lineRule="atLeast"/>
        <w:ind w:left="180" w:hanging="180" w:hangingChars="100"/>
        <w:rPr>
          <w:szCs w:val="18"/>
        </w:rPr>
      </w:pPr>
      <w:r>
        <w:rPr>
          <w:rStyle w:val="45"/>
          <w:szCs w:val="18"/>
        </w:rPr>
        <w:footnoteRef/>
      </w:r>
      <w:r>
        <w:rPr>
          <w:rFonts w:hint="eastAsia"/>
        </w:rPr>
        <w:t xml:space="preserve"> 招标人应当按照国家有关规定，在招标文件中明确各类保证金收取比例。对于</w:t>
      </w:r>
      <w:r>
        <w:rPr>
          <w:rFonts w:hint="eastAsia"/>
          <w:lang w:eastAsia="zh-CN"/>
        </w:rPr>
        <w:t>最近年度</w:t>
      </w:r>
      <w:r>
        <w:rPr>
          <w:rFonts w:hint="eastAsia"/>
        </w:rPr>
        <w:t>信用等级AA的投标人，可给予减免投标保证金。</w:t>
      </w:r>
    </w:p>
  </w:footnote>
  <w:footnote w:id="11">
    <w:p>
      <w:pPr>
        <w:pStyle w:val="27"/>
        <w:spacing w:line="320" w:lineRule="atLeast"/>
        <w:ind w:left="180" w:hanging="180" w:hangingChars="100"/>
        <w:rPr>
          <w:szCs w:val="18"/>
        </w:rPr>
      </w:pPr>
      <w:r>
        <w:rPr>
          <w:rStyle w:val="45"/>
          <w:szCs w:val="18"/>
        </w:rPr>
        <w:footnoteRef/>
      </w:r>
      <w:r>
        <w:rPr>
          <w:rFonts w:hint="eastAsia"/>
        </w:rPr>
        <w:t xml:space="preserve"> 招标人不得强制限定投标保证金必须采用现金或支票方式缴纳，</w:t>
      </w:r>
      <w:r>
        <w:t>不得拒绝银行保函形式的投标保证金</w:t>
      </w:r>
      <w:r>
        <w:rPr>
          <w:rFonts w:hint="eastAsia"/>
        </w:rPr>
        <w:t>。</w:t>
      </w:r>
    </w:p>
  </w:footnote>
  <w:footnote w:id="12">
    <w:p>
      <w:pPr>
        <w:pStyle w:val="27"/>
        <w:spacing w:line="320" w:lineRule="atLeast"/>
        <w:ind w:left="180" w:hanging="180" w:hangingChars="100"/>
        <w:rPr>
          <w:szCs w:val="18"/>
        </w:rPr>
      </w:pPr>
      <w:r>
        <w:rPr>
          <w:rStyle w:val="45"/>
          <w:szCs w:val="18"/>
        </w:rPr>
        <w:footnoteRef/>
      </w:r>
      <w:r>
        <w:rPr>
          <w:szCs w:val="18"/>
        </w:rPr>
        <w:t xml:space="preserve"> </w:t>
      </w:r>
      <w:r>
        <w:rPr>
          <w:rFonts w:hint="eastAsia"/>
          <w:szCs w:val="18"/>
        </w:rPr>
        <w:t>评标委员会应由招标人代表和</w:t>
      </w:r>
      <w:r>
        <w:rPr>
          <w:rFonts w:hint="eastAsia" w:ascii="黑体" w:hAnsi="黑体" w:eastAsia="黑体"/>
        </w:rPr>
        <w:t>勘察设计、施工等专家组成，人数为</w:t>
      </w:r>
      <w:r>
        <w:rPr>
          <w:rFonts w:ascii="黑体" w:hAnsi="黑体" w:eastAsia="黑体"/>
        </w:rPr>
        <w:t>9</w:t>
      </w:r>
      <w:r>
        <w:rPr>
          <w:rFonts w:hint="eastAsia" w:ascii="黑体" w:hAnsi="黑体" w:eastAsia="黑体"/>
        </w:rPr>
        <w:t>人以上单数，</w:t>
      </w:r>
      <w:r>
        <w:rPr>
          <w:rFonts w:hint="eastAsia"/>
          <w:szCs w:val="18"/>
        </w:rPr>
        <w:t>其中技术、经济专家人数应不少于成员总数的三分之二。</w:t>
      </w:r>
    </w:p>
  </w:footnote>
  <w:footnote w:id="13">
    <w:p>
      <w:pPr>
        <w:pStyle w:val="27"/>
        <w:snapToGrid/>
        <w:spacing w:line="320" w:lineRule="atLeast"/>
        <w:ind w:left="180" w:hanging="180" w:hangingChars="100"/>
        <w:rPr>
          <w:rFonts w:hint="eastAsia" w:eastAsia="宋体"/>
          <w:szCs w:val="18"/>
          <w:lang w:val="en-US" w:eastAsia="zh-CN"/>
        </w:rPr>
      </w:pPr>
      <w:r>
        <w:rPr>
          <w:rStyle w:val="45"/>
          <w:rFonts w:hint="eastAsia"/>
          <w:szCs w:val="18"/>
        </w:rPr>
        <w:footnoteRef/>
      </w:r>
      <w:r>
        <w:rPr>
          <w:rFonts w:hint="eastAsia"/>
          <w:szCs w:val="18"/>
        </w:rPr>
        <w:t xml:space="preserve"> </w:t>
      </w:r>
      <w:r>
        <w:rPr>
          <w:rFonts w:hint="eastAsia"/>
          <w:szCs w:val="18"/>
          <w:lang w:val="en-US" w:eastAsia="zh-CN"/>
        </w:rPr>
        <w:t>根据《国务院办公厅关于创新完善体制机制推动招标投标市场规范健康发展的意见》（国办发〔2024〕21号）规定，招标人应结合项目特点和需求，明确定标规则。</w:t>
      </w:r>
    </w:p>
  </w:footnote>
  <w:footnote w:id="14">
    <w:p>
      <w:pPr>
        <w:pStyle w:val="27"/>
        <w:spacing w:line="320" w:lineRule="atLeast"/>
        <w:ind w:left="180" w:right="-229" w:rightChars="-109" w:hanging="180" w:hangingChars="100"/>
        <w:rPr>
          <w:szCs w:val="18"/>
        </w:rPr>
      </w:pPr>
      <w:r>
        <w:rPr>
          <w:rStyle w:val="45"/>
          <w:szCs w:val="18"/>
        </w:rPr>
        <w:footnoteRef/>
      </w:r>
      <w:r>
        <w:rPr>
          <w:rFonts w:hint="eastAsia"/>
        </w:rPr>
        <w:t xml:space="preserve"> 招标人不得强制限定履约保证金必须采用现金或支票方式缴纳，</w:t>
      </w:r>
      <w:r>
        <w:t>不得拒绝银行保函形式的</w:t>
      </w:r>
      <w:r>
        <w:rPr>
          <w:rFonts w:hint="eastAsia"/>
        </w:rPr>
        <w:t>履约保证金。</w:t>
      </w:r>
    </w:p>
  </w:footnote>
  <w:footnote w:id="15">
    <w:p>
      <w:pPr>
        <w:pStyle w:val="27"/>
        <w:spacing w:line="320" w:lineRule="atLeast"/>
        <w:ind w:left="180" w:hanging="180" w:hangingChars="100"/>
        <w:rPr>
          <w:szCs w:val="18"/>
        </w:rPr>
      </w:pPr>
      <w:r>
        <w:rPr>
          <w:rStyle w:val="45"/>
          <w:szCs w:val="18"/>
        </w:rPr>
        <w:footnoteRef/>
      </w:r>
      <w:r>
        <w:rPr>
          <w:rFonts w:hint="eastAsia"/>
        </w:rPr>
        <w:t xml:space="preserve"> </w:t>
      </w:r>
      <w:r>
        <w:rPr>
          <w:rFonts w:hint="eastAsia"/>
          <w:lang w:val="en-US" w:eastAsia="zh-CN"/>
        </w:rPr>
        <w:t>招标人应当按照国家有关规定，在招标文件中明确履约保证金收取比例，对于最近年度信用等级为AA的中标人，可给予减少履约保证金。</w:t>
      </w:r>
    </w:p>
  </w:footnote>
  <w:footnote w:id="16">
    <w:p>
      <w:pPr>
        <w:pStyle w:val="27"/>
        <w:snapToGrid w:val="0"/>
        <w:ind w:firstLine="0"/>
      </w:pPr>
      <w:r>
        <w:rPr>
          <w:rStyle w:val="45"/>
        </w:rPr>
        <w:footnoteRef/>
      </w:r>
      <w:r>
        <w:t xml:space="preserve"> </w:t>
      </w:r>
      <w:r>
        <w:rPr>
          <w:rFonts w:hint="eastAsia"/>
        </w:rPr>
        <w:t>仅适用于采用技术评分最低标价法、技术评分合理低价法</w:t>
      </w:r>
      <w:r>
        <w:rPr>
          <w:rFonts w:hint="eastAsia"/>
          <w:lang w:val="en-US" w:eastAsia="zh-CN"/>
        </w:rPr>
        <w:t>和</w:t>
      </w:r>
      <w:r>
        <w:rPr>
          <w:rFonts w:hint="eastAsia"/>
        </w:rPr>
        <w:t>综合评分法的项目。</w:t>
      </w:r>
    </w:p>
  </w:footnote>
  <w:footnote w:id="17">
    <w:p>
      <w:pPr>
        <w:keepNext w:val="0"/>
        <w:keepLines w:val="0"/>
        <w:widowControl/>
        <w:pBdr>
          <w:top w:val="none" w:color="auto" w:sz="0" w:space="0"/>
          <w:left w:val="none" w:color="auto" w:sz="0" w:space="0"/>
          <w:bottom w:val="none" w:color="auto" w:sz="0" w:space="0"/>
          <w:right w:val="none" w:color="auto" w:sz="0" w:space="0"/>
        </w:pBdr>
        <w:shd w:val="clear" w:fill="FFFFFF"/>
        <w:adjustRightInd w:val="0"/>
        <w:snapToGrid w:val="0"/>
        <w:spacing w:before="141" w:after="141" w:line="7" w:lineRule="atLeast"/>
        <w:ind w:left="0" w:hanging="168" w:hangingChars="80"/>
        <w:jc w:val="left"/>
        <w:textAlignment w:val="baseline"/>
        <w:outlineLvl w:val="0"/>
        <w:rPr>
          <w:rFonts w:hint="eastAsia" w:ascii="Times New Roman" w:hAnsi="Times New Roman" w:eastAsia="宋体" w:cs="Times New Roman"/>
          <w:bCs/>
          <w:kern w:val="0"/>
          <w:sz w:val="18"/>
          <w:szCs w:val="20"/>
          <w:lang w:val="en-US" w:eastAsia="zh-CN" w:bidi="ar-SA"/>
        </w:rPr>
      </w:pPr>
      <w:r>
        <w:rPr>
          <w:rFonts w:ascii="Times New Roman" w:hAnsi="Times New Roman" w:eastAsia="宋体" w:cs="Times New Roman"/>
          <w:bCs/>
          <w:kern w:val="2"/>
          <w:sz w:val="21"/>
          <w:szCs w:val="24"/>
          <w:vertAlign w:val="superscript"/>
          <w:lang w:val="en-US" w:eastAsia="zh-CN" w:bidi="ar-SA"/>
        </w:rPr>
        <w:footnoteRef/>
      </w:r>
      <w:r>
        <w:rPr>
          <w:rFonts w:ascii="Times New Roman" w:hAnsi="Times New Roman" w:eastAsia="宋体" w:cs="Times New Roman"/>
          <w:bCs/>
          <w:kern w:val="0"/>
          <w:sz w:val="18"/>
          <w:szCs w:val="20"/>
          <w:lang w:val="en-US" w:eastAsia="zh-CN" w:bidi="ar-SA"/>
        </w:rPr>
        <w:t xml:space="preserve"> </w:t>
      </w:r>
      <w:r>
        <w:rPr>
          <w:rFonts w:hint="eastAsia" w:ascii="Times New Roman" w:hAnsi="Times New Roman" w:eastAsia="宋体" w:cs="Times New Roman"/>
          <w:bCs w:val="0"/>
          <w:kern w:val="0"/>
          <w:sz w:val="18"/>
          <w:szCs w:val="20"/>
          <w:lang w:val="en-US" w:eastAsia="zh-CN" w:bidi="ar-SA"/>
        </w:rPr>
        <w:t>以工</w:t>
      </w:r>
      <w:r>
        <w:rPr>
          <w:rFonts w:hint="eastAsia" w:ascii="Times New Roman" w:hAnsi="Times New Roman" w:eastAsia="宋体" w:cs="Times New Roman"/>
          <w:bCs/>
          <w:kern w:val="0"/>
          <w:sz w:val="18"/>
          <w:szCs w:val="20"/>
          <w:lang w:val="en-US" w:eastAsia="zh-CN" w:bidi="ar-SA"/>
        </w:rPr>
        <w:t>代赈相关要求应符合《</w:t>
      </w:r>
      <w:r>
        <w:rPr>
          <w:rFonts w:hint="eastAsia" w:ascii="Times New Roman" w:hAnsi="Times New Roman" w:eastAsia="宋体" w:cs="Times New Roman"/>
          <w:b w:val="0"/>
          <w:bCs w:val="0"/>
          <w:i w:val="0"/>
          <w:iCs w:val="0"/>
          <w:caps w:val="0"/>
          <w:color w:val="2D66A5"/>
          <w:spacing w:val="0"/>
          <w:kern w:val="0"/>
          <w:sz w:val="18"/>
          <w:szCs w:val="20"/>
          <w:shd w:val="clear" w:fill="FFFFFF"/>
          <w:lang w:val="en-US" w:eastAsia="zh-CN" w:bidi="ar-SA"/>
        </w:rPr>
        <w:t>交通运输部办公厅关于做好交通运输基础设施建设和管护领域推广以工代赈工作的通知</w:t>
      </w:r>
      <w:r>
        <w:rPr>
          <w:rFonts w:hint="eastAsia" w:ascii="Times New Roman" w:hAnsi="Times New Roman" w:eastAsia="宋体" w:cs="Times New Roman"/>
          <w:bCs/>
          <w:kern w:val="0"/>
          <w:sz w:val="18"/>
          <w:szCs w:val="20"/>
          <w:lang w:val="en-US" w:eastAsia="zh-CN" w:bidi="ar-SA"/>
        </w:rPr>
        <w:t>》</w:t>
      </w:r>
      <w:r>
        <w:rPr>
          <w:rFonts w:hint="eastAsia" w:ascii="Times New Roman" w:hAnsi="Times New Roman" w:eastAsia="宋体" w:cs="Times New Roman"/>
          <w:bCs w:val="0"/>
          <w:kern w:val="0"/>
          <w:sz w:val="18"/>
          <w:szCs w:val="20"/>
          <w:lang w:val="en-US" w:eastAsia="zh-CN" w:bidi="ar-SA"/>
        </w:rPr>
        <w:t>（交办公路〔2022〕35号）规定</w:t>
      </w:r>
      <w:r>
        <w:rPr>
          <w:rFonts w:hint="eastAsia" w:ascii="Times New Roman" w:hAnsi="Times New Roman" w:eastAsia="宋体" w:cs="Times New Roman"/>
          <w:bCs/>
          <w:kern w:val="0"/>
          <w:sz w:val="18"/>
          <w:szCs w:val="20"/>
          <w:lang w:val="en-US" w:eastAsia="zh-CN" w:bidi="ar-SA"/>
        </w:rPr>
        <w:t>。</w:t>
      </w:r>
    </w:p>
  </w:footnote>
  <w:footnote w:id="18">
    <w:p>
      <w:pPr>
        <w:pStyle w:val="27"/>
        <w:ind w:left="210" w:hanging="210"/>
        <w:rPr>
          <w:szCs w:val="18"/>
        </w:rPr>
      </w:pPr>
      <w:r>
        <w:rPr>
          <w:rStyle w:val="45"/>
          <w:szCs w:val="18"/>
        </w:rPr>
        <w:footnoteRef/>
      </w:r>
      <w:r>
        <w:rPr>
          <w:rFonts w:hint="eastAsia"/>
          <w:szCs w:val="18"/>
        </w:rPr>
        <w:t xml:space="preserve"> 具体资质要求由招标人在满足国家相关法律法规前提下，根据招标项目具体特点和实际情况确定。</w:t>
      </w:r>
    </w:p>
  </w:footnote>
  <w:footnote w:id="19">
    <w:p>
      <w:pPr>
        <w:pStyle w:val="27"/>
        <w:snapToGrid w:val="0"/>
        <w:ind w:firstLine="0"/>
      </w:pPr>
      <w:r>
        <w:rPr>
          <w:rStyle w:val="45"/>
          <w:kern w:val="2"/>
          <w:sz w:val="21"/>
          <w:szCs w:val="24"/>
        </w:rPr>
        <w:footnoteRef/>
      </w:r>
      <w:r>
        <w:t xml:space="preserve"> </w:t>
      </w:r>
      <w:r>
        <w:rPr>
          <w:rFonts w:hint="eastAsia"/>
          <w:lang w:val="en-US" w:eastAsia="zh-CN"/>
        </w:rPr>
        <w:t>企业资质等级</w:t>
      </w:r>
      <w:r>
        <w:rPr>
          <w:rFonts w:hint="eastAsia"/>
        </w:rPr>
        <w:t>应当严格按照从业资质管理相关规定，提出与招标项目相适应的资质最低条件，不得提高资质等级要求。</w:t>
      </w:r>
    </w:p>
  </w:footnote>
  <w:footnote w:id="20">
    <w:p>
      <w:pPr>
        <w:pStyle w:val="27"/>
        <w:spacing w:line="240" w:lineRule="auto"/>
        <w:ind w:left="180" w:hanging="180" w:hangingChars="100"/>
        <w:rPr>
          <w:szCs w:val="18"/>
        </w:rPr>
      </w:pPr>
      <w:r>
        <w:rPr>
          <w:rStyle w:val="45"/>
          <w:szCs w:val="18"/>
        </w:rPr>
        <w:footnoteRef/>
      </w:r>
      <w:r>
        <w:rPr>
          <w:rFonts w:hint="eastAsia"/>
          <w:szCs w:val="18"/>
        </w:rPr>
        <w:t xml:space="preserve"> 具体财务要求由招标人在满足国家相关法律法规前提下，根据招标项目具体特点和实际情况确定。</w:t>
      </w:r>
    </w:p>
  </w:footnote>
  <w:footnote w:id="21">
    <w:p>
      <w:pPr>
        <w:pStyle w:val="27"/>
        <w:spacing w:line="300" w:lineRule="atLeast"/>
        <w:ind w:left="180" w:hanging="180" w:hangingChars="100"/>
        <w:rPr>
          <w:szCs w:val="18"/>
        </w:rPr>
      </w:pPr>
      <w:r>
        <w:rPr>
          <w:rStyle w:val="45"/>
          <w:szCs w:val="18"/>
        </w:rPr>
        <w:footnoteRef/>
      </w:r>
      <w:r>
        <w:rPr>
          <w:rFonts w:hint="eastAsia"/>
          <w:szCs w:val="18"/>
        </w:rPr>
        <w:t xml:space="preserve"> 具体业绩要求由招标人在满足国家相关法律法规前提下，根据招标项目具体特点和实际情况确定，但不得设置过高的业绩资格条件。</w:t>
      </w:r>
    </w:p>
  </w:footnote>
  <w:footnote w:id="22">
    <w:p>
      <w:pPr>
        <w:pStyle w:val="27"/>
        <w:snapToGrid w:val="0"/>
        <w:ind w:firstLine="0"/>
      </w:pPr>
      <w:r>
        <w:rPr>
          <w:rStyle w:val="45"/>
          <w:kern w:val="2"/>
          <w:sz w:val="21"/>
          <w:szCs w:val="24"/>
        </w:rPr>
        <w:footnoteRef/>
      </w:r>
      <w:r>
        <w:t xml:space="preserve"> </w:t>
      </w:r>
      <w:r>
        <w:rPr>
          <w:rFonts w:hint="eastAsia"/>
        </w:rPr>
        <w:t>业绩量化指标不得超过项目标的规模。</w:t>
      </w:r>
    </w:p>
  </w:footnote>
  <w:footnote w:id="23">
    <w:p>
      <w:pPr>
        <w:pStyle w:val="27"/>
        <w:ind w:left="210" w:hanging="210"/>
        <w:rPr>
          <w:rFonts w:hint="eastAsia" w:eastAsia="宋体"/>
          <w:szCs w:val="18"/>
          <w:lang w:eastAsia="zh-CN"/>
        </w:rPr>
      </w:pPr>
      <w:r>
        <w:rPr>
          <w:rStyle w:val="45"/>
          <w:szCs w:val="18"/>
        </w:rPr>
        <w:footnoteRef/>
      </w:r>
      <w:r>
        <w:rPr>
          <w:rFonts w:hint="eastAsia"/>
          <w:szCs w:val="18"/>
        </w:rPr>
        <w:t xml:space="preserve"> </w:t>
      </w:r>
      <w:r>
        <w:rPr>
          <w:rFonts w:hint="eastAsia"/>
        </w:rPr>
        <w:t>具体信誉要求由招标人在满足国家相关法律法规前提下，根据招标项目具体特点和实际情况确定</w:t>
      </w:r>
      <w:r>
        <w:rPr>
          <w:rFonts w:hint="eastAsia"/>
          <w:lang w:eastAsia="zh-CN"/>
        </w:rPr>
        <w:t>。</w:t>
      </w:r>
    </w:p>
  </w:footnote>
  <w:footnote w:id="24">
    <w:p>
      <w:pPr>
        <w:pStyle w:val="27"/>
        <w:spacing w:line="360" w:lineRule="atLeast"/>
        <w:ind w:left="180" w:hanging="180" w:hangingChars="100"/>
        <w:rPr>
          <w:szCs w:val="18"/>
        </w:rPr>
      </w:pPr>
      <w:r>
        <w:rPr>
          <w:rStyle w:val="45"/>
          <w:szCs w:val="18"/>
        </w:rPr>
        <w:footnoteRef/>
      </w:r>
      <w:r>
        <w:rPr>
          <w:rFonts w:hint="eastAsia"/>
          <w:szCs w:val="18"/>
        </w:rPr>
        <w:t xml:space="preserve"> 对项目负责人、设计负责人、施工负责人的具体资格要求由招标人在满足国家相关法律法规前提下，根据招标项目具体特点和实际情况确定，但不得设置过高的资格条件。</w:t>
      </w:r>
    </w:p>
  </w:footnote>
  <w:footnote w:id="25">
    <w:p>
      <w:pPr>
        <w:pStyle w:val="27"/>
        <w:snapToGrid w:val="0"/>
        <w:ind w:firstLine="0"/>
      </w:pPr>
      <w:r>
        <w:rPr>
          <w:rStyle w:val="45"/>
        </w:rPr>
        <w:footnoteRef/>
      </w:r>
      <w:r>
        <w:t xml:space="preserve"> </w:t>
      </w:r>
      <w:r>
        <w:rPr>
          <w:rFonts w:hint="default" w:ascii="Times New Roman" w:hAnsi="Times New Roman" w:cs="Times New Roman"/>
          <w:szCs w:val="21"/>
        </w:rPr>
        <w:t>施工负责人</w:t>
      </w:r>
      <w:r>
        <w:rPr>
          <w:rFonts w:hint="eastAsia"/>
        </w:rPr>
        <w:t>应当具有注册建造师证书，其专业和等级按照相关规定根据项目实际设置，招标人不得再另行设置相应等级技术职称要求</w:t>
      </w:r>
      <w:r>
        <w:rPr>
          <w:rFonts w:hint="eastAsia"/>
          <w:lang w:eastAsia="zh-CN"/>
        </w:rPr>
        <w:t>；</w:t>
      </w:r>
      <w:r>
        <w:rPr>
          <w:rFonts w:hint="default" w:ascii="Times New Roman" w:hAnsi="Times New Roman" w:cs="Times New Roman"/>
          <w:szCs w:val="21"/>
        </w:rPr>
        <w:t>施工负责人</w:t>
      </w:r>
      <w:r>
        <w:rPr>
          <w:rFonts w:hint="eastAsia"/>
        </w:rPr>
        <w:t>应当具有相应安全生产考核合格证书。</w:t>
      </w:r>
      <w:r>
        <w:rPr>
          <w:rFonts w:hint="eastAsia"/>
          <w:lang w:val="en-US" w:eastAsia="zh-CN"/>
        </w:rPr>
        <w:t>技术负责人（如有）</w:t>
      </w:r>
      <w:r>
        <w:rPr>
          <w:rFonts w:hint="eastAsia"/>
        </w:rPr>
        <w:t>一般应当设置技术职称要求。主要人员业绩量化指标不得超过项目标的规模。</w:t>
      </w:r>
    </w:p>
  </w:footnote>
  <w:footnote w:id="26">
    <w:p>
      <w:pPr>
        <w:pStyle w:val="27"/>
        <w:spacing w:line="300" w:lineRule="atLeast"/>
        <w:ind w:left="180" w:hanging="180" w:hangingChars="100"/>
        <w:jc w:val="both"/>
        <w:rPr>
          <w:rFonts w:ascii="宋体" w:hAnsi="宋体"/>
          <w:szCs w:val="18"/>
        </w:rPr>
      </w:pPr>
      <w:r>
        <w:rPr>
          <w:rStyle w:val="45"/>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仅适用于特别复杂的特大桥梁和特长隧道项目主体工程以及其他有特殊要求的工程。对其他管理和技术人员</w:t>
      </w:r>
      <w:r>
        <w:rPr>
          <w:rFonts w:hint="eastAsia"/>
        </w:rPr>
        <w:t>（例如分项负责人</w:t>
      </w:r>
      <w:r>
        <w:t>等</w:t>
      </w:r>
      <w:r>
        <w:rPr>
          <w:rFonts w:hint="eastAsia"/>
        </w:rPr>
        <w:t>）</w:t>
      </w:r>
      <w:r>
        <w:rPr>
          <w:rFonts w:hint="eastAsia"/>
          <w:szCs w:val="18"/>
        </w:rPr>
        <w:t>的最低要求，由招标人在满足国家相关法律法规前提下，根据招标项目具体特点和实际情况确定，但不得设置过高的资格条件。</w:t>
      </w:r>
    </w:p>
  </w:footnote>
  <w:footnote w:id="27">
    <w:p>
      <w:pPr>
        <w:pStyle w:val="27"/>
        <w:spacing w:line="300" w:lineRule="atLeast"/>
        <w:ind w:left="180" w:hanging="180" w:hangingChars="100"/>
        <w:jc w:val="both"/>
        <w:rPr>
          <w:rFonts w:ascii="宋体" w:hAnsi="宋体"/>
          <w:szCs w:val="18"/>
        </w:rPr>
      </w:pPr>
      <w:r>
        <w:rPr>
          <w:rStyle w:val="45"/>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对主要机械设备和试验检测设备的最低要求，由招标人在满足国家相关法律法规前提下，根据招标项目具体特点和实际情况确定。</w:t>
      </w:r>
    </w:p>
  </w:footnote>
  <w:footnote w:id="28">
    <w:p>
      <w:pPr>
        <w:pStyle w:val="27"/>
        <w:snapToGrid w:val="0"/>
      </w:pPr>
      <w:r>
        <w:rPr>
          <w:rStyle w:val="45"/>
        </w:rPr>
        <w:footnoteRef/>
      </w:r>
      <w:r>
        <w:t xml:space="preserve"> </w:t>
      </w:r>
      <w:r>
        <w:rPr>
          <w:rFonts w:hint="eastAsia"/>
        </w:rPr>
        <w:t>本</w:t>
      </w:r>
      <w:r>
        <w:rPr>
          <w:rFonts w:hint="eastAsia"/>
          <w:lang w:val="en-US" w:eastAsia="zh-CN"/>
        </w:rPr>
        <w:t>项</w:t>
      </w:r>
      <w:r>
        <w:rPr>
          <w:rFonts w:hint="eastAsia"/>
        </w:rPr>
        <w:t>规定仅适用于根据《关于发布公路工程从业企业资质名录的通知》（厅公路字〔2011〕114号）要求，招标人应通过名录对投标人资质条件进行审核的公路</w:t>
      </w:r>
      <w:r>
        <w:rPr>
          <w:rFonts w:hint="eastAsia"/>
          <w:lang w:val="en-US" w:eastAsia="zh-CN"/>
        </w:rPr>
        <w:t>设计、</w:t>
      </w:r>
      <w:r>
        <w:rPr>
          <w:rFonts w:hint="eastAsia"/>
        </w:rPr>
        <w:t>施工企业</w:t>
      </w:r>
      <w:r>
        <w:rPr>
          <w:rFonts w:hint="eastAsia"/>
          <w:lang w:eastAsia="zh-CN"/>
        </w:rPr>
        <w:t>；如前款文件中规定的资质已由省级相关部门负责审核、审批，则不做要求</w:t>
      </w:r>
      <w:r>
        <w:rPr>
          <w:rFonts w:hint="eastAsia"/>
        </w:rPr>
        <w:t>。</w:t>
      </w:r>
    </w:p>
  </w:footnote>
  <w:footnote w:id="29">
    <w:p>
      <w:pPr>
        <w:pStyle w:val="27"/>
        <w:spacing w:line="340" w:lineRule="atLeast"/>
        <w:ind w:left="210" w:right="-88" w:rightChars="-42" w:hanging="210"/>
        <w:rPr>
          <w:szCs w:val="18"/>
        </w:rPr>
      </w:pPr>
      <w:r>
        <w:rPr>
          <w:rStyle w:val="45"/>
          <w:szCs w:val="18"/>
        </w:rPr>
        <w:footnoteRef/>
      </w:r>
      <w:r>
        <w:rPr>
          <w:rFonts w:hint="eastAsia"/>
          <w:szCs w:val="18"/>
        </w:rPr>
        <w:t xml:space="preserve"> 投标保证金</w:t>
      </w:r>
      <w:r>
        <w:rPr>
          <w:szCs w:val="18"/>
        </w:rPr>
        <w:t>不得超过招标标段估算价的2%</w:t>
      </w:r>
      <w:r>
        <w:rPr>
          <w:rFonts w:hint="eastAsia"/>
          <w:szCs w:val="18"/>
        </w:rPr>
        <w:t>，招标人应据此测算出具体金额。</w:t>
      </w:r>
    </w:p>
  </w:footnote>
  <w:footnote w:id="30">
    <w:p>
      <w:pPr>
        <w:pStyle w:val="27"/>
        <w:snapToGrid w:val="0"/>
      </w:pPr>
      <w:r>
        <w:rPr>
          <w:rStyle w:val="45"/>
        </w:rPr>
        <w:footnoteRef/>
      </w:r>
      <w:r>
        <w:t xml:space="preserve"> </w:t>
      </w:r>
      <w:r>
        <w:rPr>
          <w:rFonts w:hint="eastAsia"/>
        </w:rPr>
        <w:t>本</w:t>
      </w:r>
      <w:r>
        <w:rPr>
          <w:rFonts w:hint="eastAsia"/>
          <w:lang w:val="en-US" w:eastAsia="zh-CN"/>
        </w:rPr>
        <w:t>项</w:t>
      </w:r>
      <w:r>
        <w:rPr>
          <w:rFonts w:hint="eastAsia"/>
        </w:rPr>
        <w:t>规定仅适用于根据《关于发布公路工程从业企业资质名录的通知》（厅公路字〔2011〕114号）要求，招标人应通过名录对投标人资质条件进行审核的公路</w:t>
      </w:r>
      <w:r>
        <w:rPr>
          <w:rFonts w:hint="eastAsia"/>
          <w:lang w:val="en-US" w:eastAsia="zh-CN"/>
        </w:rPr>
        <w:t>设计、</w:t>
      </w:r>
      <w:r>
        <w:rPr>
          <w:rFonts w:hint="eastAsia"/>
        </w:rPr>
        <w:t>施工企业</w:t>
      </w:r>
      <w:r>
        <w:rPr>
          <w:rFonts w:hint="eastAsia"/>
          <w:lang w:eastAsia="zh-CN"/>
        </w:rPr>
        <w:t>；</w:t>
      </w:r>
      <w:r>
        <w:rPr>
          <w:rFonts w:hint="eastAsia" w:cs="Times New Roman"/>
          <w:kern w:val="0"/>
          <w:sz w:val="18"/>
          <w:szCs w:val="18"/>
          <w:lang w:val="en-US" w:eastAsia="zh-CN"/>
        </w:rPr>
        <w:t>如前款文件中规定的资质已由省级相关部门负责审核、审批，则投标人无需提供相应资质的网页截图</w:t>
      </w:r>
      <w:r>
        <w:rPr>
          <w:rFonts w:hint="eastAsia"/>
        </w:rPr>
        <w:t>。</w:t>
      </w:r>
    </w:p>
  </w:footnote>
  <w:footnote w:id="31">
    <w:p>
      <w:pPr>
        <w:pStyle w:val="27"/>
        <w:snapToGrid w:val="0"/>
      </w:pPr>
      <w:r>
        <w:rPr>
          <w:rStyle w:val="45"/>
        </w:rPr>
        <w:footnoteRef/>
      </w:r>
      <w:r>
        <w:t xml:space="preserve"> </w:t>
      </w:r>
      <w:r>
        <w:rPr>
          <w:rFonts w:hint="eastAsia"/>
        </w:rPr>
        <w:t xml:space="preserve"> G值详见评标办法。</w:t>
      </w:r>
    </w:p>
  </w:footnote>
  <w:footnote w:id="32">
    <w:p>
      <w:pPr>
        <w:pStyle w:val="27"/>
        <w:tabs>
          <w:tab w:val="left" w:pos="3780"/>
        </w:tabs>
        <w:spacing w:line="320" w:lineRule="atLeast"/>
        <w:ind w:left="180" w:hanging="180" w:hangingChars="100"/>
        <w:rPr>
          <w:szCs w:val="18"/>
        </w:rPr>
      </w:pPr>
      <w:r>
        <w:rPr>
          <w:rStyle w:val="45"/>
          <w:szCs w:val="18"/>
        </w:rPr>
        <w:footnoteRef/>
      </w:r>
      <w:r>
        <w:rPr>
          <w:szCs w:val="18"/>
        </w:rPr>
        <w:t xml:space="preserve"> </w:t>
      </w:r>
      <w:r>
        <w:rPr>
          <w:rFonts w:hint="eastAsia"/>
          <w:szCs w:val="18"/>
        </w:rPr>
        <w:t>招标人可根据实际需要进行修改。</w:t>
      </w:r>
    </w:p>
  </w:footnote>
  <w:footnote w:id="33">
    <w:p>
      <w:pPr>
        <w:pStyle w:val="27"/>
        <w:spacing w:line="300" w:lineRule="atLeast"/>
        <w:ind w:left="180" w:hanging="180" w:hangingChars="100"/>
        <w:jc w:val="both"/>
        <w:rPr>
          <w:rFonts w:hAnsi="宋体"/>
          <w:szCs w:val="18"/>
        </w:rPr>
      </w:pPr>
      <w:r>
        <w:rPr>
          <w:rStyle w:val="45"/>
          <w:rFonts w:ascii="宋体" w:hAnsi="宋体"/>
          <w:szCs w:val="18"/>
        </w:rPr>
        <w:footnoteRef/>
      </w:r>
      <w:r>
        <w:rPr>
          <w:rFonts w:hint="eastAsia" w:hAnsi="宋体"/>
          <w:szCs w:val="18"/>
        </w:rPr>
        <w:t xml:space="preserve"> </w:t>
      </w:r>
      <w:r>
        <w:rPr>
          <w:rFonts w:hint="eastAsia" w:hAnsi="宋体"/>
          <w:szCs w:val="18"/>
          <w:lang w:eastAsia="zh-CN"/>
        </w:rPr>
        <w:t>投标人仅须在投标文件的澄清或说明上加盖CA数字证书中的单位章，或由法定代表人或其委托代理人的个人电子印章或电子签名</w:t>
      </w:r>
      <w:r>
        <w:rPr>
          <w:rFonts w:hint="eastAsia" w:hAnsi="宋体"/>
          <w:szCs w:val="18"/>
        </w:rPr>
        <w:t>。</w:t>
      </w:r>
    </w:p>
  </w:footnote>
  <w:footnote w:id="34">
    <w:p>
      <w:pPr>
        <w:pStyle w:val="27"/>
        <w:spacing w:line="300" w:lineRule="atLeast"/>
        <w:ind w:left="180" w:hanging="180" w:hangingChars="100"/>
        <w:rPr>
          <w:rFonts w:hint="eastAsia"/>
          <w:szCs w:val="18"/>
        </w:rPr>
      </w:pPr>
      <w:r>
        <w:rPr>
          <w:rStyle w:val="45"/>
          <w:szCs w:val="18"/>
        </w:rPr>
        <w:footnoteRef/>
      </w:r>
      <w:r>
        <w:rPr>
          <w:rFonts w:hint="eastAsia"/>
          <w:szCs w:val="18"/>
        </w:rPr>
        <w:t xml:space="preserve"> 本办法</w:t>
      </w:r>
      <w:r>
        <w:rPr>
          <w:rFonts w:hint="eastAsia"/>
          <w:szCs w:val="18"/>
          <w:lang w:val="en-US" w:eastAsia="zh-CN"/>
        </w:rPr>
        <w:t>原则上</w:t>
      </w:r>
      <w:r>
        <w:rPr>
          <w:rFonts w:hint="eastAsia"/>
          <w:szCs w:val="18"/>
        </w:rPr>
        <w:t>仅适用于技术特别复杂的特大桥梁和特长隧道项目主体工程。</w:t>
      </w:r>
    </w:p>
  </w:footnote>
  <w:footnote w:id="35">
    <w:p>
      <w:pPr>
        <w:pStyle w:val="27"/>
        <w:spacing w:line="300" w:lineRule="atLeast"/>
        <w:ind w:left="180" w:hanging="180" w:hangingChars="100"/>
        <w:rPr>
          <w:szCs w:val="18"/>
        </w:rPr>
      </w:pPr>
      <w:r>
        <w:rPr>
          <w:rStyle w:val="45"/>
          <w:szCs w:val="18"/>
        </w:rPr>
        <w:footnoteRef/>
      </w:r>
      <w:r>
        <w:rPr>
          <w:szCs w:val="18"/>
        </w:rPr>
        <w:t xml:space="preserve"> </w:t>
      </w:r>
      <w:r>
        <w:rPr>
          <w:rFonts w:hint="eastAsia"/>
          <w:szCs w:val="18"/>
        </w:rPr>
        <w:t>“评标办法前附表”用于明确评标的方法、因素、标准和程序</w:t>
      </w:r>
      <w:r>
        <w:rPr>
          <w:rFonts w:hint="eastAsia"/>
          <w:szCs w:val="18"/>
          <w:lang w:eastAsia="zh-CN"/>
        </w:rPr>
        <w:t>，</w:t>
      </w:r>
      <w:r>
        <w:rPr>
          <w:rFonts w:hint="eastAsia"/>
          <w:szCs w:val="18"/>
        </w:rPr>
        <w:t>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36">
    <w:p>
      <w:pPr>
        <w:pStyle w:val="27"/>
        <w:spacing w:line="280" w:lineRule="atLeast"/>
        <w:ind w:left="180" w:hanging="180" w:hangingChars="100"/>
        <w:rPr>
          <w:szCs w:val="18"/>
        </w:rPr>
      </w:pPr>
      <w:r>
        <w:rPr>
          <w:rStyle w:val="45"/>
          <w:szCs w:val="18"/>
        </w:rPr>
        <w:footnoteRef/>
      </w:r>
      <w:r>
        <w:rPr>
          <w:rFonts w:hint="eastAsia" w:ascii="宋体" w:hAnsi="宋体"/>
          <w:szCs w:val="18"/>
        </w:rPr>
        <w:t xml:space="preserve"> 对</w:t>
      </w:r>
      <w:r>
        <w:rPr>
          <w:rFonts w:hint="eastAsia"/>
          <w:szCs w:val="18"/>
        </w:rPr>
        <w:t>于特别复杂的特大桥梁和特长隧道项目主体工程以及其他有特殊要求的工程，还可对其他管理和技术人员</w:t>
      </w:r>
      <w:r>
        <w:rPr>
          <w:rFonts w:hint="eastAsia"/>
        </w:rPr>
        <w:t>（例如</w:t>
      </w:r>
      <w:r>
        <w:t>项目副经理、专业工程师等</w:t>
      </w:r>
      <w:r>
        <w:rPr>
          <w:rFonts w:hint="eastAsia"/>
        </w:rPr>
        <w:t>）</w:t>
      </w:r>
      <w:r>
        <w:rPr>
          <w:rFonts w:hint="eastAsia"/>
          <w:szCs w:val="18"/>
        </w:rPr>
        <w:t>以及主要机械设备和试验检测设备进行资格评审。</w:t>
      </w:r>
    </w:p>
  </w:footnote>
  <w:footnote w:id="37">
    <w:p>
      <w:pPr>
        <w:pStyle w:val="27"/>
        <w:spacing w:line="300" w:lineRule="atLeast"/>
        <w:ind w:left="180" w:hanging="210" w:hangingChars="100"/>
        <w:jc w:val="both"/>
        <w:rPr>
          <w:rFonts w:hint="eastAsia"/>
        </w:rPr>
      </w:pPr>
      <w:r>
        <w:rPr>
          <w:rStyle w:val="45"/>
          <w:kern w:val="2"/>
          <w:sz w:val="21"/>
          <w:szCs w:val="24"/>
          <w:lang w:val="en-US"/>
        </w:rPr>
        <w:footnoteRef/>
      </w:r>
      <w:r>
        <w:rPr>
          <w:rFonts w:hint="eastAsia"/>
          <w:szCs w:val="18"/>
          <w:lang w:eastAsia="zh-CN"/>
        </w:rPr>
        <w:t xml:space="preserve"> </w:t>
      </w:r>
      <w:r>
        <w:rPr>
          <w:rFonts w:hint="eastAsia"/>
          <w:szCs w:val="18"/>
        </w:rPr>
        <w:t>本</w:t>
      </w:r>
      <w:r>
        <w:rPr>
          <w:rFonts w:hint="eastAsia"/>
          <w:szCs w:val="18"/>
          <w:lang w:eastAsia="zh-CN"/>
        </w:rPr>
        <w:t>款</w:t>
      </w:r>
      <w:r>
        <w:rPr>
          <w:rFonts w:hint="eastAsia"/>
          <w:szCs w:val="18"/>
        </w:rPr>
        <w:t>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w:t>
      </w:r>
      <w:r>
        <w:rPr>
          <w:rFonts w:hint="eastAsia"/>
          <w:szCs w:val="18"/>
          <w:lang w:val="en-US" w:eastAsia="zh-CN"/>
        </w:rPr>
        <w:t>设计、</w:t>
      </w:r>
      <w:r>
        <w:rPr>
          <w:rFonts w:hint="eastAsia"/>
          <w:szCs w:val="18"/>
        </w:rPr>
        <w:t>施工企业</w:t>
      </w:r>
      <w:r>
        <w:rPr>
          <w:rFonts w:hint="eastAsia"/>
          <w:szCs w:val="18"/>
          <w:lang w:eastAsia="zh-CN"/>
        </w:rPr>
        <w:t>；</w:t>
      </w:r>
      <w:r>
        <w:rPr>
          <w:rFonts w:hint="eastAsia"/>
          <w:lang w:eastAsia="zh-CN"/>
        </w:rPr>
        <w:t>如前款文件中规定的资质已由省级相关部门负责审核、审批，则不做要求</w:t>
      </w:r>
      <w:r>
        <w:rPr>
          <w:rFonts w:hint="eastAsia"/>
          <w:szCs w:val="18"/>
        </w:rPr>
        <w:t>。</w:t>
      </w:r>
    </w:p>
  </w:footnote>
  <w:footnote w:id="38">
    <w:p>
      <w:pPr>
        <w:pStyle w:val="27"/>
        <w:spacing w:line="280" w:lineRule="atLeast"/>
        <w:ind w:left="180" w:hanging="180" w:hangingChars="100"/>
        <w:jc w:val="both"/>
      </w:pPr>
      <w:r>
        <w:rPr>
          <w:rStyle w:val="45"/>
        </w:rPr>
        <w:footnoteRef/>
      </w:r>
      <w:r>
        <w:rPr>
          <w:rFonts w:hint="eastAsia"/>
          <w:szCs w:val="18"/>
        </w:rPr>
        <w:t xml:space="preserve"> 各评分因素权重分值范围如下：承包人建议书5~10分；承包人实施计划：5~10分；主要人员10~20分；技术能力0~5分；财务能力5~10分；业绩5~12分</w:t>
      </w:r>
      <w:r>
        <w:rPr>
          <w:rFonts w:hint="eastAsia"/>
          <w:szCs w:val="21"/>
        </w:rPr>
        <w:t>；履约信誉</w:t>
      </w:r>
      <w:r>
        <w:rPr>
          <w:szCs w:val="21"/>
        </w:rPr>
        <w:t>3~5</w:t>
      </w:r>
      <w:r>
        <w:rPr>
          <w:rFonts w:hint="eastAsia"/>
          <w:szCs w:val="21"/>
        </w:rPr>
        <w:t>分</w:t>
      </w:r>
      <w:r>
        <w:rPr>
          <w:rFonts w:hint="eastAsia"/>
          <w:szCs w:val="18"/>
        </w:rPr>
        <w:t>。</w:t>
      </w:r>
    </w:p>
  </w:footnote>
  <w:footnote w:id="39">
    <w:p>
      <w:pPr>
        <w:pStyle w:val="27"/>
        <w:spacing w:line="280" w:lineRule="atLeast"/>
        <w:ind w:left="180" w:hanging="180" w:hangingChars="100"/>
        <w:jc w:val="both"/>
        <w:rPr>
          <w:szCs w:val="18"/>
        </w:rPr>
      </w:pPr>
      <w:r>
        <w:rPr>
          <w:rStyle w:val="45"/>
        </w:rPr>
        <w:footnoteRef/>
      </w:r>
      <w:r>
        <w:rPr>
          <w:rFonts w:hint="eastAsia"/>
          <w:szCs w:val="18"/>
        </w:rPr>
        <w:t xml:space="preserve"> </w:t>
      </w:r>
      <w:r>
        <w:rPr>
          <w:rFonts w:hint="eastAsia" w:ascii="宋体" w:hAnsi="宋体"/>
        </w:rPr>
        <w:t>“技术能力”指投标人的科研开发和技术创新能力，招标人可结合招标项目的具体情况提出相关要求，包括投标人获得的与项目施工有关的国家级工法、专利（发明专利或实用新型专利）、与工程咨询管理（包括勘察设计、监理、项目管理、代建、全过程咨询等工程咨询工作）有关的专利（发明专利或实用新型专利）、国家或省级科学技术进步奖，主编或参编过的国家、行业或地方标准等。</w:t>
      </w:r>
    </w:p>
  </w:footnote>
  <w:footnote w:id="40">
    <w:p>
      <w:pPr>
        <w:pStyle w:val="27"/>
        <w:spacing w:line="280" w:lineRule="atLeast"/>
        <w:ind w:left="210" w:hanging="210"/>
        <w:rPr>
          <w:szCs w:val="18"/>
        </w:rPr>
      </w:pPr>
      <w:r>
        <w:rPr>
          <w:rStyle w:val="45"/>
          <w:szCs w:val="18"/>
        </w:rPr>
        <w:footnoteRef/>
      </w:r>
      <w:r>
        <w:rPr>
          <w:szCs w:val="18"/>
        </w:rPr>
        <w:t xml:space="preserve"> </w:t>
      </w:r>
      <w:r>
        <w:rPr>
          <w:rFonts w:hint="eastAsia"/>
          <w:szCs w:val="18"/>
        </w:rPr>
        <w:t>评标价权重分值不应低于50分。</w:t>
      </w:r>
    </w:p>
  </w:footnote>
  <w:footnote w:id="41">
    <w:p>
      <w:pPr>
        <w:pStyle w:val="27"/>
        <w:spacing w:line="300" w:lineRule="atLeast"/>
        <w:ind w:left="180" w:hanging="180" w:hangingChars="100"/>
        <w:rPr>
          <w:szCs w:val="18"/>
        </w:rPr>
      </w:pPr>
      <w:r>
        <w:rPr>
          <w:rStyle w:val="45"/>
          <w:szCs w:val="18"/>
        </w:rPr>
        <w:footnoteRef/>
      </w:r>
      <w:r>
        <w:rPr>
          <w:rFonts w:hint="eastAsia"/>
          <w:szCs w:val="18"/>
        </w:rPr>
        <w:t xml:space="preserve"> 招标人应根据项目具体情况确定各评分因素及评分因素权重分值，并对各评分因素进行细分（如有）、确定各评分因素细分项的分值，各评分因素权重分值合计应为100分。</w:t>
      </w:r>
      <w:r>
        <w:rPr>
          <w:szCs w:val="18"/>
        </w:rPr>
        <w:t>各</w:t>
      </w:r>
      <w:r>
        <w:rPr>
          <w:rFonts w:hint="eastAsia"/>
          <w:szCs w:val="18"/>
        </w:rPr>
        <w:t>评分因素（</w:t>
      </w:r>
      <w:r>
        <w:rPr>
          <w:szCs w:val="18"/>
        </w:rPr>
        <w:t>评标价和履约信誉评分项除外</w:t>
      </w:r>
      <w:r>
        <w:rPr>
          <w:rFonts w:hint="eastAsia"/>
          <w:szCs w:val="18"/>
        </w:rPr>
        <w:t>）</w:t>
      </w:r>
      <w:r>
        <w:rPr>
          <w:szCs w:val="18"/>
        </w:rPr>
        <w:t>得分</w:t>
      </w:r>
      <w:r>
        <w:rPr>
          <w:rFonts w:hint="eastAsia"/>
          <w:szCs w:val="18"/>
        </w:rPr>
        <w:t>一般不得</w:t>
      </w:r>
      <w:r>
        <w:rPr>
          <w:szCs w:val="18"/>
        </w:rPr>
        <w:t>低于其权重分</w:t>
      </w:r>
      <w:r>
        <w:rPr>
          <w:rFonts w:hint="eastAsia"/>
          <w:szCs w:val="18"/>
        </w:rPr>
        <w:t>值</w:t>
      </w:r>
      <w:r>
        <w:rPr>
          <w:szCs w:val="18"/>
        </w:rPr>
        <w:t>的60%，且各</w:t>
      </w:r>
      <w:r>
        <w:rPr>
          <w:rFonts w:hint="eastAsia"/>
          <w:szCs w:val="18"/>
        </w:rPr>
        <w:t>评分因素</w:t>
      </w:r>
      <w:r>
        <w:rPr>
          <w:szCs w:val="18"/>
        </w:rPr>
        <w:t>得分应以评标委员会</w:t>
      </w:r>
      <w:r>
        <w:rPr>
          <w:rFonts w:hint="eastAsia"/>
          <w:szCs w:val="18"/>
        </w:rPr>
        <w:t>各成员</w:t>
      </w:r>
      <w:r>
        <w:rPr>
          <w:szCs w:val="18"/>
        </w:rPr>
        <w:t>的打分平均值确定</w:t>
      </w:r>
      <w:r>
        <w:rPr>
          <w:rFonts w:hint="eastAsia"/>
          <w:szCs w:val="18"/>
        </w:rPr>
        <w:t>，</w:t>
      </w:r>
      <w:r>
        <w:rPr>
          <w:szCs w:val="18"/>
        </w:rPr>
        <w:t>该平均值以去掉一个最高分和一个最低分后计算。评标委员会成员</w:t>
      </w:r>
      <w:r>
        <w:rPr>
          <w:rFonts w:hint="eastAsia"/>
          <w:szCs w:val="18"/>
        </w:rPr>
        <w:t>对某一项评分因素的</w:t>
      </w:r>
      <w:r>
        <w:rPr>
          <w:szCs w:val="18"/>
        </w:rPr>
        <w:t>评分低于权重分</w:t>
      </w:r>
      <w:r>
        <w:rPr>
          <w:rFonts w:hint="eastAsia"/>
          <w:szCs w:val="18"/>
        </w:rPr>
        <w:t>值</w:t>
      </w:r>
      <w:r>
        <w:rPr>
          <w:szCs w:val="18"/>
        </w:rPr>
        <w:t>60%的，应在评标报告中作出说明。</w:t>
      </w:r>
    </w:p>
  </w:footnote>
  <w:footnote w:id="42">
    <w:p>
      <w:pPr>
        <w:pStyle w:val="27"/>
        <w:spacing w:line="300" w:lineRule="atLeast"/>
        <w:ind w:left="210" w:hanging="210"/>
      </w:pPr>
      <w:r>
        <w:rPr>
          <w:rStyle w:val="45"/>
          <w:szCs w:val="18"/>
        </w:rPr>
        <w:footnoteRef/>
      </w:r>
      <w:r>
        <w:rPr>
          <w:rStyle w:val="45"/>
          <w:rFonts w:hint="eastAsia"/>
          <w:szCs w:val="18"/>
        </w:rPr>
        <w:t xml:space="preserve"> </w:t>
      </w:r>
      <w:r>
        <w:rPr>
          <w:rFonts w:hint="eastAsia"/>
          <w:szCs w:val="18"/>
        </w:rPr>
        <w:t>招标人应列明各评分因素或各评分因素细分项（如有）的评分标准并作为评标委员会进行评分的依据。</w:t>
      </w:r>
    </w:p>
  </w:footnote>
  <w:footnote w:id="43">
    <w:p>
      <w:pPr>
        <w:pStyle w:val="27"/>
        <w:spacing w:line="300" w:lineRule="atLeast"/>
        <w:ind w:left="180" w:hanging="210" w:hangingChars="100"/>
        <w:rPr>
          <w:szCs w:val="18"/>
        </w:rPr>
      </w:pPr>
      <w:r>
        <w:rPr>
          <w:rStyle w:val="45"/>
          <w:kern w:val="2"/>
          <w:sz w:val="21"/>
          <w:szCs w:val="18"/>
          <w:lang w:val="en-US"/>
        </w:rPr>
        <w:footnoteRef/>
      </w:r>
      <w:r>
        <w:rPr>
          <w:szCs w:val="18"/>
        </w:rPr>
        <w:t xml:space="preserve"> </w:t>
      </w:r>
      <w:r>
        <w:rPr>
          <w:rFonts w:hint="eastAsia"/>
          <w:szCs w:val="18"/>
        </w:rPr>
        <w:t>“评标办法前附表”用于明确评标的方法、因素、标准和程序</w:t>
      </w:r>
      <w:r>
        <w:rPr>
          <w:rFonts w:hint="eastAsia"/>
          <w:szCs w:val="18"/>
          <w:lang w:eastAsia="zh-CN"/>
        </w:rPr>
        <w:t>，</w:t>
      </w:r>
      <w:r>
        <w:rPr>
          <w:rFonts w:hint="eastAsia"/>
          <w:szCs w:val="18"/>
        </w:rPr>
        <w:t>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44">
    <w:p>
      <w:pPr>
        <w:pStyle w:val="27"/>
        <w:spacing w:line="280" w:lineRule="atLeast"/>
        <w:ind w:left="180" w:hanging="210" w:hangingChars="100"/>
        <w:rPr>
          <w:szCs w:val="18"/>
        </w:rPr>
      </w:pPr>
      <w:r>
        <w:rPr>
          <w:rStyle w:val="45"/>
          <w:kern w:val="2"/>
          <w:sz w:val="21"/>
          <w:szCs w:val="18"/>
          <w:lang w:val="en-US"/>
        </w:rPr>
        <w:footnoteRef/>
      </w:r>
      <w:r>
        <w:rPr>
          <w:rFonts w:hint="eastAsia" w:ascii="宋体" w:hAnsi="宋体"/>
          <w:szCs w:val="18"/>
        </w:rPr>
        <w:t xml:space="preserve"> 对</w:t>
      </w:r>
      <w:r>
        <w:rPr>
          <w:rFonts w:hint="eastAsia"/>
          <w:szCs w:val="18"/>
        </w:rPr>
        <w:t>于特别复杂的特大桥梁和特长隧道项目主体工程以及其他有特殊要求的工程，还可对其他管理和技术人员</w:t>
      </w:r>
      <w:r>
        <w:rPr>
          <w:rFonts w:hint="eastAsia"/>
        </w:rPr>
        <w:t>（例如</w:t>
      </w:r>
      <w:r>
        <w:t>项目副经理、专业工程师等</w:t>
      </w:r>
      <w:r>
        <w:rPr>
          <w:rFonts w:hint="eastAsia"/>
        </w:rPr>
        <w:t>）</w:t>
      </w:r>
      <w:r>
        <w:rPr>
          <w:rFonts w:hint="eastAsia"/>
          <w:szCs w:val="18"/>
        </w:rPr>
        <w:t>以及主要机械设备和试验检测设备进行资格评审。</w:t>
      </w:r>
    </w:p>
  </w:footnote>
  <w:footnote w:id="45">
    <w:p>
      <w:pPr>
        <w:pStyle w:val="27"/>
        <w:spacing w:line="280" w:lineRule="atLeast"/>
        <w:ind w:left="180" w:hanging="210" w:hangingChars="100"/>
      </w:pPr>
      <w:r>
        <w:rPr>
          <w:rStyle w:val="45"/>
          <w:kern w:val="2"/>
          <w:sz w:val="21"/>
          <w:szCs w:val="24"/>
          <w:lang w:val="en-US"/>
        </w:rPr>
        <w:footnoteRef/>
      </w:r>
      <w:r>
        <w:rPr>
          <w:rFonts w:hint="eastAsia"/>
          <w:szCs w:val="18"/>
        </w:rPr>
        <w:t xml:space="preserve"> 本款规定仅适用于根据《关于发布公路工程从业企业资质名录的通知》（厅公路字〔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号）要求，招标人应通过名录对投标人资质条件进行审核的公路设计、施工企业</w:t>
      </w:r>
      <w:r>
        <w:rPr>
          <w:rFonts w:hint="eastAsia"/>
          <w:szCs w:val="18"/>
          <w:lang w:eastAsia="zh-CN"/>
        </w:rPr>
        <w:t>；</w:t>
      </w:r>
      <w:r>
        <w:rPr>
          <w:rFonts w:hint="eastAsia"/>
          <w:lang w:eastAsia="zh-CN"/>
        </w:rPr>
        <w:t>如前款文件中规定的资质已由省级相关部门负责审核、审批，则不做要求</w:t>
      </w:r>
      <w:r>
        <w:rPr>
          <w:rFonts w:hint="eastAsia"/>
          <w:szCs w:val="18"/>
        </w:rPr>
        <w:t>。</w:t>
      </w:r>
    </w:p>
  </w:footnote>
  <w:footnote w:id="46">
    <w:p>
      <w:pPr>
        <w:pStyle w:val="27"/>
        <w:spacing w:line="320" w:lineRule="atLeast"/>
        <w:ind w:left="180" w:hanging="180" w:hangingChars="100"/>
        <w:jc w:val="both"/>
        <w:rPr>
          <w:rFonts w:hint="eastAsia"/>
          <w:szCs w:val="18"/>
        </w:rPr>
      </w:pPr>
      <w:r>
        <w:rPr>
          <w:rStyle w:val="45"/>
          <w:szCs w:val="18"/>
        </w:rPr>
        <w:footnoteRef/>
      </w:r>
      <w:r>
        <w:rPr>
          <w:rFonts w:hint="eastAsia"/>
          <w:szCs w:val="18"/>
        </w:rPr>
        <w:t xml:space="preserve"> “合理低价法”是综合评估法的评分因素中评标价得分为100分、其他评分因素分值为0分的特例。“合理低价法”中，第一个信封（商务及技术文件）的评审应采用合格制。</w:t>
      </w:r>
    </w:p>
  </w:footnote>
  <w:footnote w:id="47">
    <w:p>
      <w:pPr>
        <w:pStyle w:val="27"/>
        <w:spacing w:line="320" w:lineRule="atLeast"/>
        <w:ind w:left="180" w:hanging="180" w:hangingChars="100"/>
        <w:jc w:val="both"/>
        <w:rPr>
          <w:rFonts w:hint="eastAsia"/>
          <w:szCs w:val="18"/>
        </w:rPr>
      </w:pPr>
      <w:r>
        <w:rPr>
          <w:rStyle w:val="45"/>
          <w:szCs w:val="18"/>
        </w:rPr>
        <w:footnoteRef/>
      </w:r>
      <w:r>
        <w:rPr>
          <w:szCs w:val="18"/>
        </w:rPr>
        <w:t xml:space="preserve"> </w:t>
      </w:r>
      <w:r>
        <w:rPr>
          <w:rFonts w:hint="eastAsia"/>
          <w:szCs w:val="18"/>
        </w:rPr>
        <w:t>“评标办法前附表”用于明确评标的方法、因素、标准和程序</w:t>
      </w:r>
      <w:r>
        <w:rPr>
          <w:rFonts w:hint="eastAsia"/>
          <w:szCs w:val="18"/>
          <w:lang w:eastAsia="zh-CN"/>
        </w:rPr>
        <w:t>，</w:t>
      </w:r>
      <w:r>
        <w:rPr>
          <w:rFonts w:hint="eastAsia"/>
          <w:szCs w:val="18"/>
        </w:rPr>
        <w:t>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48">
    <w:p>
      <w:pPr>
        <w:pStyle w:val="27"/>
        <w:spacing w:line="280" w:lineRule="atLeast"/>
        <w:ind w:left="180" w:hanging="210" w:hangingChars="100"/>
        <w:rPr>
          <w:szCs w:val="18"/>
        </w:rPr>
      </w:pPr>
      <w:r>
        <w:rPr>
          <w:rStyle w:val="45"/>
          <w:kern w:val="2"/>
          <w:sz w:val="21"/>
          <w:szCs w:val="18"/>
          <w:lang w:val="en-US"/>
        </w:rPr>
        <w:footnoteRef/>
      </w:r>
      <w:r>
        <w:rPr>
          <w:rFonts w:hint="eastAsia" w:ascii="宋体" w:hAnsi="宋体"/>
          <w:szCs w:val="18"/>
        </w:rPr>
        <w:t xml:space="preserve"> 对</w:t>
      </w:r>
      <w:r>
        <w:rPr>
          <w:rFonts w:hint="eastAsia"/>
          <w:szCs w:val="18"/>
        </w:rPr>
        <w:t>于特别复杂的特大桥梁和特长隧道项目主体工程以及其他有特殊要求的工程，还可对其他管理和技术人员</w:t>
      </w:r>
      <w:r>
        <w:rPr>
          <w:rFonts w:hint="eastAsia"/>
        </w:rPr>
        <w:t>（例如</w:t>
      </w:r>
      <w:r>
        <w:t>项目副经理、专业工程师等</w:t>
      </w:r>
      <w:r>
        <w:rPr>
          <w:rFonts w:hint="eastAsia"/>
        </w:rPr>
        <w:t>）</w:t>
      </w:r>
      <w:r>
        <w:rPr>
          <w:rFonts w:hint="eastAsia"/>
          <w:szCs w:val="18"/>
        </w:rPr>
        <w:t>以及主要机械设备和试验检测设备进行资格评审。</w:t>
      </w:r>
    </w:p>
  </w:footnote>
  <w:footnote w:id="49">
    <w:p>
      <w:pPr>
        <w:pStyle w:val="27"/>
        <w:spacing w:line="300" w:lineRule="atLeast"/>
        <w:ind w:left="180" w:hanging="210" w:hangingChars="100"/>
        <w:jc w:val="both"/>
        <w:rPr>
          <w:rFonts w:hint="eastAsia"/>
        </w:rPr>
      </w:pPr>
      <w:r>
        <w:rPr>
          <w:rStyle w:val="45"/>
          <w:kern w:val="2"/>
          <w:sz w:val="21"/>
          <w:szCs w:val="24"/>
          <w:lang w:val="en-US"/>
        </w:rPr>
        <w:footnoteRef/>
      </w:r>
      <w:r>
        <w:rPr>
          <w:rFonts w:hint="eastAsia"/>
          <w:szCs w:val="18"/>
          <w:lang w:eastAsia="zh-CN"/>
        </w:rPr>
        <w:t xml:space="preserve"> </w:t>
      </w:r>
      <w:r>
        <w:rPr>
          <w:rFonts w:hint="eastAsia"/>
          <w:szCs w:val="18"/>
        </w:rPr>
        <w:t>本</w:t>
      </w:r>
      <w:r>
        <w:rPr>
          <w:rFonts w:hint="eastAsia"/>
          <w:szCs w:val="18"/>
          <w:lang w:eastAsia="zh-CN"/>
        </w:rPr>
        <w:t>款</w:t>
      </w:r>
      <w:r>
        <w:rPr>
          <w:rFonts w:hint="eastAsia"/>
          <w:szCs w:val="18"/>
        </w:rPr>
        <w:t>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w:t>
      </w:r>
      <w:r>
        <w:rPr>
          <w:rFonts w:hint="eastAsia"/>
          <w:szCs w:val="18"/>
          <w:lang w:val="en-US" w:eastAsia="zh-CN"/>
        </w:rPr>
        <w:t>设计、</w:t>
      </w:r>
      <w:r>
        <w:rPr>
          <w:rFonts w:hint="eastAsia"/>
          <w:szCs w:val="18"/>
        </w:rPr>
        <w:t>施工企业</w:t>
      </w:r>
      <w:r>
        <w:rPr>
          <w:rFonts w:hint="eastAsia"/>
          <w:szCs w:val="18"/>
          <w:lang w:eastAsia="zh-CN"/>
        </w:rPr>
        <w:t>；</w:t>
      </w:r>
      <w:r>
        <w:rPr>
          <w:rFonts w:hint="eastAsia"/>
          <w:lang w:eastAsia="zh-CN"/>
        </w:rPr>
        <w:t>如前款文件中规定的资质已由省级相关部门负责审核、审批，则不做要求</w:t>
      </w:r>
      <w:r>
        <w:rPr>
          <w:rFonts w:hint="eastAsia"/>
          <w:szCs w:val="18"/>
        </w:rPr>
        <w:t>。</w:t>
      </w:r>
    </w:p>
  </w:footnote>
  <w:footnote w:id="50">
    <w:p>
      <w:pPr>
        <w:pStyle w:val="27"/>
        <w:spacing w:line="320" w:lineRule="atLeast"/>
        <w:ind w:left="180" w:hanging="180" w:hangingChars="100"/>
        <w:rPr>
          <w:rFonts w:hint="eastAsia"/>
          <w:szCs w:val="18"/>
        </w:rPr>
      </w:pPr>
      <w:r>
        <w:rPr>
          <w:rStyle w:val="45"/>
          <w:szCs w:val="18"/>
        </w:rPr>
        <w:footnoteRef/>
      </w:r>
      <w:r>
        <w:rPr>
          <w:rFonts w:hint="eastAsia"/>
          <w:szCs w:val="18"/>
        </w:rPr>
        <w:t>“评标办法前附表”用于明确评标的方法、因素、标准和程序</w:t>
      </w:r>
      <w:r>
        <w:rPr>
          <w:rFonts w:hint="eastAsia"/>
          <w:szCs w:val="18"/>
          <w:lang w:eastAsia="zh-CN"/>
        </w:rPr>
        <w:t>，</w:t>
      </w:r>
      <w:r>
        <w:rPr>
          <w:rFonts w:hint="eastAsia"/>
          <w:szCs w:val="18"/>
        </w:rPr>
        <w:t>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51">
    <w:p>
      <w:pPr>
        <w:pStyle w:val="27"/>
        <w:spacing w:line="280" w:lineRule="atLeast"/>
        <w:ind w:left="180" w:hanging="210" w:hangingChars="100"/>
        <w:rPr>
          <w:szCs w:val="18"/>
        </w:rPr>
      </w:pPr>
      <w:r>
        <w:rPr>
          <w:rStyle w:val="45"/>
          <w:kern w:val="2"/>
          <w:sz w:val="21"/>
          <w:szCs w:val="18"/>
          <w:lang w:val="en-US"/>
        </w:rPr>
        <w:footnoteRef/>
      </w:r>
      <w:r>
        <w:rPr>
          <w:rFonts w:hint="eastAsia" w:ascii="宋体" w:hAnsi="宋体"/>
          <w:szCs w:val="18"/>
        </w:rPr>
        <w:t xml:space="preserve"> 对</w:t>
      </w:r>
      <w:r>
        <w:rPr>
          <w:rFonts w:hint="eastAsia"/>
          <w:szCs w:val="18"/>
        </w:rPr>
        <w:t>于特别复杂的特大桥梁和特长隧道项目主体工程以及其他有特殊要求的工程，还可对其他管理和技术人员</w:t>
      </w:r>
      <w:r>
        <w:rPr>
          <w:rFonts w:hint="eastAsia"/>
        </w:rPr>
        <w:t>（例如</w:t>
      </w:r>
      <w:r>
        <w:t>项目副经理、专业工程师等</w:t>
      </w:r>
      <w:r>
        <w:rPr>
          <w:rFonts w:hint="eastAsia"/>
        </w:rPr>
        <w:t>）</w:t>
      </w:r>
      <w:r>
        <w:rPr>
          <w:rFonts w:hint="eastAsia"/>
          <w:szCs w:val="18"/>
        </w:rPr>
        <w:t>以及主要机械设备和试验检测设备进行资格评审。</w:t>
      </w:r>
    </w:p>
  </w:footnote>
  <w:footnote w:id="52">
    <w:p>
      <w:pPr>
        <w:pStyle w:val="27"/>
        <w:spacing w:line="300" w:lineRule="atLeast"/>
        <w:ind w:left="180" w:hanging="210" w:hangingChars="100"/>
        <w:jc w:val="both"/>
        <w:rPr>
          <w:rFonts w:hint="eastAsia"/>
        </w:rPr>
      </w:pPr>
      <w:r>
        <w:rPr>
          <w:rStyle w:val="45"/>
          <w:kern w:val="2"/>
          <w:sz w:val="21"/>
          <w:szCs w:val="24"/>
          <w:lang w:val="en-US"/>
        </w:rPr>
        <w:footnoteRef/>
      </w:r>
      <w:r>
        <w:rPr>
          <w:rFonts w:hint="eastAsia"/>
          <w:szCs w:val="18"/>
          <w:lang w:eastAsia="zh-CN"/>
        </w:rPr>
        <w:t xml:space="preserve"> </w:t>
      </w:r>
      <w:r>
        <w:rPr>
          <w:rFonts w:hint="eastAsia"/>
          <w:szCs w:val="18"/>
        </w:rPr>
        <w:t>本</w:t>
      </w:r>
      <w:r>
        <w:rPr>
          <w:rFonts w:hint="eastAsia"/>
          <w:szCs w:val="18"/>
          <w:lang w:eastAsia="zh-CN"/>
        </w:rPr>
        <w:t>款</w:t>
      </w:r>
      <w:r>
        <w:rPr>
          <w:rFonts w:hint="eastAsia"/>
          <w:szCs w:val="18"/>
        </w:rPr>
        <w:t>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w:t>
      </w:r>
      <w:r>
        <w:rPr>
          <w:rFonts w:hint="eastAsia"/>
          <w:szCs w:val="18"/>
          <w:lang w:val="en-US" w:eastAsia="zh-CN"/>
        </w:rPr>
        <w:t>设计、</w:t>
      </w:r>
      <w:r>
        <w:rPr>
          <w:rFonts w:hint="eastAsia"/>
          <w:szCs w:val="18"/>
        </w:rPr>
        <w:t>施工企业</w:t>
      </w:r>
      <w:r>
        <w:rPr>
          <w:rFonts w:hint="eastAsia"/>
          <w:szCs w:val="18"/>
          <w:lang w:eastAsia="zh-CN"/>
        </w:rPr>
        <w:t>；</w:t>
      </w:r>
      <w:r>
        <w:rPr>
          <w:rFonts w:hint="eastAsia"/>
          <w:lang w:eastAsia="zh-CN"/>
        </w:rPr>
        <w:t>如前款文件中规定的资质已由省级相关部门负责审核、审批，则不做要求</w:t>
      </w:r>
      <w:r>
        <w:rPr>
          <w:rFonts w:hint="eastAsia"/>
          <w:szCs w:val="18"/>
        </w:rPr>
        <w:t>。</w:t>
      </w:r>
    </w:p>
  </w:footnote>
  <w:footnote w:id="53">
    <w:p>
      <w:pPr>
        <w:pStyle w:val="27"/>
        <w:spacing w:line="300" w:lineRule="atLeast"/>
        <w:ind w:left="180" w:hanging="180" w:hangingChars="100"/>
        <w:jc w:val="both"/>
        <w:rPr>
          <w:rFonts w:hint="eastAsia"/>
          <w:highlight w:val="yellow"/>
        </w:rPr>
      </w:pPr>
      <w:r>
        <w:rPr>
          <w:rStyle w:val="45"/>
        </w:rPr>
        <w:footnoteRef/>
      </w:r>
      <w:r>
        <w:rPr>
          <w:rFonts w:hint="eastAsia"/>
          <w:szCs w:val="18"/>
          <w:lang w:eastAsia="zh-CN"/>
        </w:rPr>
        <w:t xml:space="preserve"> 各</w:t>
      </w:r>
      <w:r>
        <w:rPr>
          <w:rFonts w:hint="eastAsia"/>
          <w:szCs w:val="18"/>
        </w:rPr>
        <w:t>评分因素权重分值范围如下</w:t>
      </w:r>
      <w:r>
        <w:rPr>
          <w:rFonts w:hint="eastAsia"/>
          <w:szCs w:val="18"/>
          <w:lang w:eastAsia="zh-CN"/>
        </w:rPr>
        <w:t>：承包人建议书15~20分；承包人实施计划15~20分；主要人员25~40分；技术能力10~20分</w:t>
      </w:r>
      <w:r>
        <w:rPr>
          <w:rFonts w:hint="eastAsia"/>
          <w:szCs w:val="21"/>
          <w:highlight w:val="none"/>
        </w:rPr>
        <w:t>；</w:t>
      </w:r>
      <w:r>
        <w:rPr>
          <w:rFonts w:hint="eastAsia"/>
          <w:szCs w:val="21"/>
        </w:rPr>
        <w:t>履约信誉</w:t>
      </w:r>
      <w:r>
        <w:rPr>
          <w:szCs w:val="21"/>
        </w:rPr>
        <w:t>15~25</w:t>
      </w:r>
      <w:r>
        <w:rPr>
          <w:rFonts w:hint="eastAsia"/>
          <w:szCs w:val="21"/>
        </w:rPr>
        <w:t>分</w:t>
      </w:r>
      <w:r>
        <w:rPr>
          <w:rFonts w:hint="eastAsia"/>
          <w:szCs w:val="18"/>
        </w:rPr>
        <w:t>。</w:t>
      </w:r>
    </w:p>
  </w:footnote>
  <w:footnote w:id="54">
    <w:p>
      <w:pPr>
        <w:pStyle w:val="27"/>
        <w:spacing w:line="280" w:lineRule="atLeast"/>
        <w:ind w:left="180" w:hanging="210" w:hangingChars="100"/>
        <w:jc w:val="both"/>
        <w:rPr>
          <w:szCs w:val="18"/>
        </w:rPr>
      </w:pPr>
      <w:r>
        <w:rPr>
          <w:rStyle w:val="45"/>
          <w:kern w:val="2"/>
          <w:sz w:val="21"/>
          <w:szCs w:val="24"/>
          <w:lang w:val="en-US"/>
        </w:rPr>
        <w:footnoteRef/>
      </w:r>
      <w:r>
        <w:rPr>
          <w:rFonts w:hint="eastAsia"/>
          <w:szCs w:val="18"/>
        </w:rPr>
        <w:t xml:space="preserve"> </w:t>
      </w:r>
      <w:r>
        <w:rPr>
          <w:rFonts w:hint="eastAsia" w:ascii="宋体" w:hAnsi="宋体"/>
        </w:rPr>
        <w:t>“技术能力”指投标人的科研开发和技术创新能力，招标人可结合招标项目的具体情况提出相关要求，包括投标人</w:t>
      </w:r>
      <w:r>
        <w:rPr>
          <w:rFonts w:hint="eastAsia"/>
        </w:rPr>
        <w:t>获得的与项目施工有关的国家级工法、专利（发明专利或实用新型专利）、与工程咨询管理（包括勘察设计、监理、项目管理、代建、全过程咨询等工程咨询工作）有关的专利（发明专利或实用新型专利）、国家或省级科学技术进步奖，主编或参编过的国家、行业或地方标准等。</w:t>
      </w:r>
    </w:p>
  </w:footnote>
  <w:footnote w:id="55">
    <w:p>
      <w:pPr>
        <w:pStyle w:val="27"/>
        <w:spacing w:line="320" w:lineRule="atLeast"/>
        <w:ind w:left="180" w:hanging="180" w:hangingChars="100"/>
        <w:jc w:val="both"/>
        <w:rPr>
          <w:szCs w:val="18"/>
        </w:rPr>
      </w:pPr>
      <w:r>
        <w:rPr>
          <w:rStyle w:val="45"/>
          <w:szCs w:val="18"/>
        </w:rPr>
        <w:footnoteRef/>
      </w:r>
      <w:r>
        <w:rPr>
          <w:rFonts w:hint="eastAsia"/>
          <w:szCs w:val="18"/>
        </w:rPr>
        <w:t xml:space="preserve"> 招标人应根据项目具体情况确定各评分因素及评分因素权重分值，并对各评分因素进行细分（如有）、确定各评分因素细分项的分值，各评分因素权重分值合计应为100分。</w:t>
      </w:r>
      <w:r>
        <w:rPr>
          <w:szCs w:val="18"/>
        </w:rPr>
        <w:t>各</w:t>
      </w:r>
      <w:r>
        <w:rPr>
          <w:rFonts w:hint="eastAsia"/>
          <w:szCs w:val="18"/>
        </w:rPr>
        <w:t>评分因素（</w:t>
      </w:r>
      <w:r>
        <w:rPr>
          <w:szCs w:val="18"/>
        </w:rPr>
        <w:t>评标价和履约信誉评分项除外</w:t>
      </w:r>
      <w:r>
        <w:rPr>
          <w:rFonts w:hint="eastAsia"/>
          <w:szCs w:val="18"/>
        </w:rPr>
        <w:t>）</w:t>
      </w:r>
      <w:r>
        <w:rPr>
          <w:szCs w:val="18"/>
        </w:rPr>
        <w:t>得分</w:t>
      </w:r>
      <w:r>
        <w:rPr>
          <w:rFonts w:hint="eastAsia"/>
          <w:szCs w:val="18"/>
        </w:rPr>
        <w:t>一般不得</w:t>
      </w:r>
      <w:r>
        <w:rPr>
          <w:szCs w:val="18"/>
        </w:rPr>
        <w:t>低于其权重分</w:t>
      </w:r>
      <w:r>
        <w:rPr>
          <w:rFonts w:hint="eastAsia"/>
          <w:szCs w:val="18"/>
        </w:rPr>
        <w:t>值</w:t>
      </w:r>
      <w:r>
        <w:rPr>
          <w:szCs w:val="18"/>
        </w:rPr>
        <w:t>的60%，且各</w:t>
      </w:r>
      <w:r>
        <w:rPr>
          <w:rFonts w:hint="eastAsia"/>
          <w:szCs w:val="18"/>
        </w:rPr>
        <w:t>评分因素</w:t>
      </w:r>
      <w:r>
        <w:rPr>
          <w:szCs w:val="18"/>
        </w:rPr>
        <w:t>得分应以评标委员会</w:t>
      </w:r>
      <w:r>
        <w:rPr>
          <w:rFonts w:hint="eastAsia"/>
          <w:szCs w:val="18"/>
        </w:rPr>
        <w:t>各成员</w:t>
      </w:r>
      <w:r>
        <w:rPr>
          <w:szCs w:val="18"/>
        </w:rPr>
        <w:t>的打分平均值确定，该平均值以去掉一个最高分和一个最低分后计算。评标委员会成员</w:t>
      </w:r>
      <w:r>
        <w:rPr>
          <w:rFonts w:hint="eastAsia"/>
          <w:szCs w:val="18"/>
        </w:rPr>
        <w:t>对某一项评分因素的</w:t>
      </w:r>
      <w:r>
        <w:rPr>
          <w:szCs w:val="18"/>
        </w:rPr>
        <w:t>评分低于权重分</w:t>
      </w:r>
      <w:r>
        <w:rPr>
          <w:rFonts w:hint="eastAsia"/>
          <w:szCs w:val="18"/>
        </w:rPr>
        <w:t>值</w:t>
      </w:r>
      <w:r>
        <w:rPr>
          <w:szCs w:val="18"/>
        </w:rPr>
        <w:t>60%的，应在评标报告中作出说明。</w:t>
      </w:r>
    </w:p>
  </w:footnote>
  <w:footnote w:id="56">
    <w:p>
      <w:pPr>
        <w:pStyle w:val="27"/>
        <w:spacing w:line="320" w:lineRule="atLeast"/>
        <w:ind w:left="180" w:hanging="180" w:hangingChars="100"/>
        <w:jc w:val="both"/>
      </w:pPr>
      <w:r>
        <w:rPr>
          <w:rStyle w:val="45"/>
          <w:szCs w:val="18"/>
        </w:rPr>
        <w:footnoteRef/>
      </w:r>
      <w:r>
        <w:rPr>
          <w:rStyle w:val="45"/>
          <w:rFonts w:hint="eastAsia"/>
          <w:szCs w:val="18"/>
        </w:rPr>
        <w:t xml:space="preserve"> </w:t>
      </w:r>
      <w:r>
        <w:rPr>
          <w:rFonts w:hint="eastAsia"/>
          <w:szCs w:val="18"/>
        </w:rPr>
        <w:t>招标人应列明各评分因素或各评分因素细分项（如有）的评分标准并作为评标委员会进行评分的依据。</w:t>
      </w:r>
    </w:p>
  </w:footnote>
  <w:footnote w:id="57">
    <w:p>
      <w:pPr>
        <w:pStyle w:val="27"/>
        <w:spacing w:line="320" w:lineRule="atLeast"/>
        <w:ind w:left="180" w:hanging="180" w:hangingChars="100"/>
        <w:rPr>
          <w:rStyle w:val="45"/>
          <w:rFonts w:hint="eastAsia"/>
          <w:szCs w:val="18"/>
        </w:rPr>
      </w:pPr>
      <w:r>
        <w:rPr>
          <w:rStyle w:val="45"/>
          <w:szCs w:val="18"/>
        </w:rPr>
        <w:footnoteRef/>
      </w:r>
      <w:r>
        <w:rPr>
          <w:rFonts w:hint="eastAsia"/>
          <w:szCs w:val="18"/>
        </w:rPr>
        <w:t xml:space="preserve"> 如</w:t>
      </w:r>
      <w:r>
        <w:rPr>
          <w:rStyle w:val="45"/>
          <w:szCs w:val="18"/>
          <w:vertAlign w:val="baseline"/>
        </w:rPr>
        <w:t>本项目招标</w:t>
      </w:r>
      <w:r>
        <w:rPr>
          <w:rStyle w:val="45"/>
          <w:rFonts w:hint="eastAsia"/>
          <w:szCs w:val="18"/>
          <w:vertAlign w:val="baseline"/>
        </w:rPr>
        <w:t>由投标人按照招标人提供的</w:t>
      </w:r>
      <w:r>
        <w:rPr>
          <w:szCs w:val="18"/>
        </w:rPr>
        <w:t>书面</w:t>
      </w:r>
      <w:r>
        <w:rPr>
          <w:rStyle w:val="45"/>
          <w:rFonts w:hint="eastAsia"/>
          <w:szCs w:val="18"/>
          <w:vertAlign w:val="baseline"/>
        </w:rPr>
        <w:t>工程量清单填写</w:t>
      </w:r>
      <w:r>
        <w:rPr>
          <w:rStyle w:val="45"/>
          <w:szCs w:val="18"/>
          <w:vertAlign w:val="baseline"/>
        </w:rPr>
        <w:t>本合同各工程子目的单价、合价和总额价</w:t>
      </w:r>
      <w:r>
        <w:rPr>
          <w:rStyle w:val="45"/>
          <w:rFonts w:hint="eastAsia"/>
          <w:szCs w:val="18"/>
          <w:vertAlign w:val="baseline"/>
        </w:rPr>
        <w:t>，则</w:t>
      </w:r>
      <w:r>
        <w:rPr>
          <w:rStyle w:val="45"/>
          <w:szCs w:val="18"/>
          <w:vertAlign w:val="baseline"/>
        </w:rPr>
        <w:t>评标委员会按照</w:t>
      </w:r>
      <w:r>
        <w:rPr>
          <w:rStyle w:val="45"/>
          <w:rFonts w:hint="eastAsia"/>
          <w:szCs w:val="18"/>
          <w:vertAlign w:val="baseline"/>
        </w:rPr>
        <w:t>本</w:t>
      </w:r>
      <w:r>
        <w:rPr>
          <w:rStyle w:val="45"/>
          <w:szCs w:val="18"/>
          <w:vertAlign w:val="baseline"/>
        </w:rPr>
        <w:t>章</w:t>
      </w:r>
      <w:r>
        <w:rPr>
          <w:rStyle w:val="45"/>
          <w:rFonts w:hint="eastAsia"/>
          <w:szCs w:val="18"/>
          <w:vertAlign w:val="baseline"/>
        </w:rPr>
        <w:t>第3.4.2项和第3</w:t>
      </w:r>
      <w:r>
        <w:rPr>
          <w:rFonts w:hint="eastAsia"/>
          <w:szCs w:val="18"/>
        </w:rPr>
        <w:t>.4.3项</w:t>
      </w:r>
      <w:r>
        <w:rPr>
          <w:rStyle w:val="45"/>
          <w:rFonts w:hint="eastAsia"/>
          <w:szCs w:val="18"/>
          <w:vertAlign w:val="baseline"/>
        </w:rPr>
        <w:t>的</w:t>
      </w:r>
      <w:r>
        <w:rPr>
          <w:rStyle w:val="45"/>
          <w:szCs w:val="18"/>
          <w:vertAlign w:val="baseline"/>
        </w:rPr>
        <w:t>规定</w:t>
      </w:r>
      <w:r>
        <w:rPr>
          <w:rStyle w:val="45"/>
          <w:rFonts w:hint="eastAsia"/>
          <w:szCs w:val="18"/>
          <w:vertAlign w:val="baseline"/>
        </w:rPr>
        <w:t>对投标人的投标报价进行修正。</w:t>
      </w:r>
      <w:r>
        <w:rPr>
          <w:rFonts w:hint="eastAsia"/>
          <w:szCs w:val="18"/>
        </w:rPr>
        <w:t>如</w:t>
      </w:r>
      <w:r>
        <w:rPr>
          <w:rStyle w:val="45"/>
          <w:szCs w:val="18"/>
          <w:vertAlign w:val="baseline"/>
        </w:rPr>
        <w:t>本项目招标</w:t>
      </w:r>
      <w:r>
        <w:rPr>
          <w:rFonts w:hint="eastAsia"/>
          <w:szCs w:val="18"/>
        </w:rPr>
        <w:t>由投标人按照招标人提供的</w:t>
      </w:r>
      <w:r>
        <w:rPr>
          <w:szCs w:val="18"/>
        </w:rPr>
        <w:t>工程量固化清单</w:t>
      </w:r>
      <w:r>
        <w:rPr>
          <w:rFonts w:hint="eastAsia"/>
          <w:szCs w:val="18"/>
        </w:rPr>
        <w:t>电子文件填写工程量清单，无须按照本章第3.4.2项和第3.4.3项的规定对投标报价进行修正，第3.4.2项</w:t>
      </w:r>
      <w:r>
        <w:rPr>
          <w:rFonts w:hint="eastAsia"/>
          <w:szCs w:val="18"/>
          <w:lang w:eastAsia="zh-CN"/>
        </w:rPr>
        <w:t>至</w:t>
      </w:r>
      <w:r>
        <w:rPr>
          <w:rFonts w:hint="eastAsia"/>
          <w:szCs w:val="18"/>
        </w:rPr>
        <w:t>第3.4.4项内容不适用。</w:t>
      </w:r>
    </w:p>
    <w:p>
      <w:pPr>
        <w:pStyle w:val="27"/>
        <w:spacing w:line="300" w:lineRule="atLeast"/>
        <w:ind w:left="210" w:hanging="210"/>
        <w:rPr>
          <w:rStyle w:val="45"/>
          <w:szCs w:val="18"/>
        </w:rPr>
      </w:pPr>
    </w:p>
  </w:footnote>
  <w:footnote w:id="58">
    <w:p>
      <w:pPr>
        <w:pStyle w:val="27"/>
        <w:spacing w:line="320" w:lineRule="atLeast"/>
        <w:ind w:left="180" w:hanging="210" w:hangingChars="100"/>
        <w:rPr>
          <w:rFonts w:hint="eastAsia"/>
          <w:szCs w:val="18"/>
        </w:rPr>
      </w:pPr>
      <w:r>
        <w:rPr>
          <w:rStyle w:val="45"/>
          <w:kern w:val="2"/>
          <w:sz w:val="21"/>
          <w:szCs w:val="18"/>
        </w:rPr>
        <w:footnoteRef/>
      </w:r>
      <w:r>
        <w:rPr>
          <w:rFonts w:hint="eastAsia"/>
          <w:szCs w:val="18"/>
        </w:rPr>
        <w:t>“评标办法前附表”用于明确评标的方法、因素、标准和程序</w:t>
      </w:r>
      <w:r>
        <w:rPr>
          <w:rFonts w:hint="eastAsia"/>
          <w:szCs w:val="18"/>
          <w:lang w:eastAsia="zh-CN"/>
        </w:rPr>
        <w:t>，</w:t>
      </w:r>
      <w:r>
        <w:rPr>
          <w:rFonts w:hint="eastAsia"/>
          <w:szCs w:val="18"/>
        </w:rPr>
        <w:t>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59">
    <w:p>
      <w:pPr>
        <w:pStyle w:val="27"/>
        <w:spacing w:line="280" w:lineRule="atLeast"/>
        <w:ind w:left="180" w:hanging="210" w:hangingChars="100"/>
        <w:rPr>
          <w:szCs w:val="18"/>
        </w:rPr>
      </w:pPr>
      <w:r>
        <w:rPr>
          <w:rStyle w:val="45"/>
          <w:kern w:val="2"/>
          <w:sz w:val="21"/>
          <w:szCs w:val="18"/>
          <w:lang w:val="en-US"/>
        </w:rPr>
        <w:footnoteRef/>
      </w:r>
      <w:r>
        <w:rPr>
          <w:rFonts w:hint="eastAsia" w:ascii="宋体" w:hAnsi="宋体"/>
          <w:szCs w:val="18"/>
        </w:rPr>
        <w:t xml:space="preserve"> 对</w:t>
      </w:r>
      <w:r>
        <w:rPr>
          <w:rFonts w:hint="eastAsia"/>
          <w:szCs w:val="18"/>
        </w:rPr>
        <w:t>于特别复杂的特大桥梁和特长隧道项目主体工程以及其他有特殊要求的工程，还可对其他管理和技术人员</w:t>
      </w:r>
      <w:r>
        <w:rPr>
          <w:rFonts w:hint="eastAsia"/>
        </w:rPr>
        <w:t>（例如</w:t>
      </w:r>
      <w:r>
        <w:t>项目副经理、专业工程师等</w:t>
      </w:r>
      <w:r>
        <w:rPr>
          <w:rFonts w:hint="eastAsia"/>
        </w:rPr>
        <w:t>）</w:t>
      </w:r>
      <w:r>
        <w:rPr>
          <w:rFonts w:hint="eastAsia"/>
          <w:szCs w:val="18"/>
        </w:rPr>
        <w:t>以及主要机械设备和试验检测设备进行资格评审。</w:t>
      </w:r>
    </w:p>
  </w:footnote>
  <w:footnote w:id="60">
    <w:p>
      <w:pPr>
        <w:pStyle w:val="27"/>
        <w:spacing w:line="300" w:lineRule="atLeast"/>
        <w:ind w:left="180" w:hanging="210" w:hangingChars="100"/>
        <w:jc w:val="both"/>
        <w:rPr>
          <w:rFonts w:hint="eastAsia"/>
        </w:rPr>
      </w:pPr>
      <w:r>
        <w:rPr>
          <w:rStyle w:val="45"/>
          <w:kern w:val="2"/>
          <w:sz w:val="21"/>
          <w:szCs w:val="24"/>
          <w:lang w:val="en-US"/>
        </w:rPr>
        <w:footnoteRef/>
      </w:r>
      <w:r>
        <w:rPr>
          <w:rFonts w:hint="eastAsia"/>
          <w:szCs w:val="18"/>
          <w:lang w:eastAsia="zh-CN"/>
        </w:rPr>
        <w:t xml:space="preserve"> </w:t>
      </w:r>
      <w:r>
        <w:rPr>
          <w:rFonts w:hint="eastAsia"/>
          <w:szCs w:val="18"/>
        </w:rPr>
        <w:t>本</w:t>
      </w:r>
      <w:r>
        <w:rPr>
          <w:rFonts w:hint="eastAsia"/>
          <w:szCs w:val="18"/>
          <w:lang w:eastAsia="zh-CN"/>
        </w:rPr>
        <w:t>款</w:t>
      </w:r>
      <w:r>
        <w:rPr>
          <w:rFonts w:hint="eastAsia"/>
          <w:szCs w:val="18"/>
        </w:rPr>
        <w:t>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w:t>
      </w:r>
      <w:r>
        <w:rPr>
          <w:rFonts w:hint="eastAsia"/>
          <w:szCs w:val="18"/>
          <w:lang w:val="en-US" w:eastAsia="zh-CN"/>
        </w:rPr>
        <w:t>设计、</w:t>
      </w:r>
      <w:r>
        <w:rPr>
          <w:rFonts w:hint="eastAsia"/>
          <w:szCs w:val="18"/>
        </w:rPr>
        <w:t>施工企业</w:t>
      </w:r>
      <w:r>
        <w:rPr>
          <w:rFonts w:hint="eastAsia"/>
          <w:szCs w:val="18"/>
          <w:lang w:eastAsia="zh-CN"/>
        </w:rPr>
        <w:t>；</w:t>
      </w:r>
      <w:r>
        <w:rPr>
          <w:rFonts w:hint="eastAsia"/>
          <w:lang w:eastAsia="zh-CN"/>
        </w:rPr>
        <w:t>如前款文件中规定的资质已由省级相关部门负责审核、审批，则不做要求</w:t>
      </w:r>
      <w:r>
        <w:rPr>
          <w:rFonts w:hint="eastAsia"/>
          <w:szCs w:val="18"/>
        </w:rPr>
        <w:t>。</w:t>
      </w:r>
    </w:p>
  </w:footnote>
  <w:footnote w:id="61">
    <w:p>
      <w:pPr>
        <w:pStyle w:val="27"/>
        <w:spacing w:line="300" w:lineRule="atLeast"/>
        <w:ind w:left="180" w:hanging="210" w:hangingChars="100"/>
        <w:jc w:val="both"/>
        <w:rPr>
          <w:rFonts w:hint="eastAsia"/>
          <w:highlight w:val="yellow"/>
        </w:rPr>
      </w:pPr>
      <w:r>
        <w:rPr>
          <w:rStyle w:val="45"/>
          <w:kern w:val="2"/>
          <w:sz w:val="21"/>
          <w:szCs w:val="24"/>
        </w:rPr>
        <w:footnoteRef/>
      </w:r>
      <w:r>
        <w:rPr>
          <w:rFonts w:hint="eastAsia"/>
          <w:szCs w:val="18"/>
          <w:lang w:eastAsia="zh-CN"/>
        </w:rPr>
        <w:t xml:space="preserve"> 各</w:t>
      </w:r>
      <w:r>
        <w:rPr>
          <w:rFonts w:hint="eastAsia"/>
          <w:szCs w:val="18"/>
        </w:rPr>
        <w:t>评分因素权重分值范围如下</w:t>
      </w:r>
      <w:r>
        <w:rPr>
          <w:rFonts w:hint="eastAsia"/>
          <w:szCs w:val="18"/>
          <w:lang w:eastAsia="zh-CN"/>
        </w:rPr>
        <w:t>：</w:t>
      </w:r>
      <w:r>
        <w:rPr>
          <w:rFonts w:hint="eastAsia"/>
          <w:szCs w:val="21"/>
        </w:rPr>
        <w:t>承包人建议书</w:t>
      </w:r>
      <w:r>
        <w:rPr>
          <w:szCs w:val="21"/>
        </w:rPr>
        <w:t>15~20分；</w:t>
      </w:r>
      <w:r>
        <w:rPr>
          <w:rFonts w:hint="eastAsia"/>
          <w:szCs w:val="21"/>
        </w:rPr>
        <w:t>承包人实施计划</w:t>
      </w:r>
      <w:r>
        <w:rPr>
          <w:szCs w:val="21"/>
        </w:rPr>
        <w:t>15~20</w:t>
      </w:r>
      <w:r>
        <w:rPr>
          <w:rFonts w:hint="eastAsia"/>
          <w:szCs w:val="21"/>
        </w:rPr>
        <w:t>分；主要人员</w:t>
      </w:r>
      <w:r>
        <w:rPr>
          <w:szCs w:val="21"/>
        </w:rPr>
        <w:t>25~40</w:t>
      </w:r>
      <w:r>
        <w:rPr>
          <w:rFonts w:hint="eastAsia"/>
          <w:szCs w:val="21"/>
        </w:rPr>
        <w:t>分；技术能力</w:t>
      </w:r>
      <w:r>
        <w:rPr>
          <w:szCs w:val="21"/>
        </w:rPr>
        <w:t>10~20</w:t>
      </w:r>
      <w:r>
        <w:rPr>
          <w:rFonts w:hint="eastAsia"/>
          <w:szCs w:val="21"/>
        </w:rPr>
        <w:t>分</w:t>
      </w:r>
      <w:r>
        <w:rPr>
          <w:rFonts w:hint="eastAsia"/>
          <w:szCs w:val="21"/>
          <w:highlight w:val="none"/>
          <w:lang w:eastAsia="zh-CN"/>
        </w:rPr>
        <w:t>；</w:t>
      </w:r>
      <w:r>
        <w:rPr>
          <w:rFonts w:hint="eastAsia"/>
          <w:szCs w:val="21"/>
        </w:rPr>
        <w:t>履约信誉</w:t>
      </w:r>
      <w:r>
        <w:rPr>
          <w:szCs w:val="21"/>
        </w:rPr>
        <w:t>15~25</w:t>
      </w:r>
      <w:r>
        <w:rPr>
          <w:rFonts w:hint="eastAsia"/>
          <w:szCs w:val="21"/>
        </w:rPr>
        <w:t>分</w:t>
      </w:r>
      <w:r>
        <w:rPr>
          <w:rFonts w:hint="eastAsia"/>
          <w:szCs w:val="18"/>
        </w:rPr>
        <w:t>。</w:t>
      </w:r>
    </w:p>
  </w:footnote>
  <w:footnote w:id="62">
    <w:p>
      <w:pPr>
        <w:pStyle w:val="27"/>
        <w:spacing w:line="280" w:lineRule="atLeast"/>
        <w:ind w:left="180" w:hanging="210" w:hangingChars="100"/>
        <w:jc w:val="both"/>
        <w:rPr>
          <w:szCs w:val="18"/>
        </w:rPr>
      </w:pPr>
      <w:r>
        <w:rPr>
          <w:rStyle w:val="45"/>
          <w:kern w:val="2"/>
          <w:sz w:val="21"/>
          <w:szCs w:val="24"/>
          <w:lang w:val="en-US"/>
        </w:rPr>
        <w:footnoteRef/>
      </w:r>
      <w:r>
        <w:rPr>
          <w:rFonts w:hint="eastAsia"/>
          <w:szCs w:val="18"/>
        </w:rPr>
        <w:t xml:space="preserve"> </w:t>
      </w:r>
      <w:r>
        <w:rPr>
          <w:rFonts w:hint="eastAsia" w:ascii="宋体" w:hAnsi="宋体"/>
        </w:rPr>
        <w:t>“技术能力”指投标人的科研开发和技术创新能力，招标人可结合招标项目的具体情况提出相关要求，包括投标人获得的与项目施工有关的国家级工法、专利（发明专利或实用新型专利）、与工程咨询管理（包括勘察设计、监理、项目管理、代建、全过程咨询等工程咨询工作）有关的专利（发明专利或实用新型专利）、国家或省级科学技术进步奖，主编或参编过的国家、行业或地方标准等。</w:t>
      </w:r>
    </w:p>
  </w:footnote>
  <w:footnote w:id="63">
    <w:p>
      <w:pPr>
        <w:pStyle w:val="27"/>
        <w:spacing w:line="320" w:lineRule="atLeast"/>
        <w:ind w:left="180" w:hanging="180" w:hangingChars="100"/>
        <w:jc w:val="both"/>
        <w:rPr>
          <w:szCs w:val="18"/>
        </w:rPr>
      </w:pPr>
      <w:r>
        <w:rPr>
          <w:rStyle w:val="45"/>
          <w:szCs w:val="18"/>
        </w:rPr>
        <w:footnoteRef/>
      </w:r>
      <w:r>
        <w:rPr>
          <w:rFonts w:hint="eastAsia"/>
          <w:szCs w:val="18"/>
        </w:rPr>
        <w:t xml:space="preserve"> 招标人应根据项目具体情况确定各评分因素及评分因素权重分值，并对各评分因素进行细分（如有）、确定各评分因素细分项的分值，各评分因素权重分值合计应为100分。</w:t>
      </w:r>
      <w:r>
        <w:rPr>
          <w:szCs w:val="18"/>
        </w:rPr>
        <w:t>各</w:t>
      </w:r>
      <w:r>
        <w:rPr>
          <w:rFonts w:hint="eastAsia"/>
          <w:szCs w:val="18"/>
        </w:rPr>
        <w:t>评分因素（</w:t>
      </w:r>
      <w:r>
        <w:rPr>
          <w:szCs w:val="18"/>
        </w:rPr>
        <w:t>评标价和履约信誉评分项除外</w:t>
      </w:r>
      <w:r>
        <w:rPr>
          <w:rFonts w:hint="eastAsia"/>
          <w:szCs w:val="18"/>
        </w:rPr>
        <w:t>）</w:t>
      </w:r>
      <w:r>
        <w:rPr>
          <w:szCs w:val="18"/>
        </w:rPr>
        <w:t>得分</w:t>
      </w:r>
      <w:r>
        <w:rPr>
          <w:rFonts w:hint="eastAsia"/>
          <w:szCs w:val="18"/>
        </w:rPr>
        <w:t>一般不得</w:t>
      </w:r>
      <w:r>
        <w:rPr>
          <w:szCs w:val="18"/>
        </w:rPr>
        <w:t>低于其权重分</w:t>
      </w:r>
      <w:r>
        <w:rPr>
          <w:rFonts w:hint="eastAsia"/>
          <w:szCs w:val="18"/>
        </w:rPr>
        <w:t>值</w:t>
      </w:r>
      <w:r>
        <w:rPr>
          <w:szCs w:val="18"/>
        </w:rPr>
        <w:t>的60%，且各</w:t>
      </w:r>
      <w:r>
        <w:rPr>
          <w:rFonts w:hint="eastAsia"/>
          <w:szCs w:val="18"/>
        </w:rPr>
        <w:t>评分因素</w:t>
      </w:r>
      <w:r>
        <w:rPr>
          <w:szCs w:val="18"/>
        </w:rPr>
        <w:t>得分应以评标委员会</w:t>
      </w:r>
      <w:r>
        <w:rPr>
          <w:rFonts w:hint="eastAsia"/>
          <w:szCs w:val="18"/>
        </w:rPr>
        <w:t>各成员</w:t>
      </w:r>
      <w:r>
        <w:rPr>
          <w:szCs w:val="18"/>
        </w:rPr>
        <w:t>的打分平均值确定，该平均值以去掉一个最高分和一个最低分后计算。评标委员会成员</w:t>
      </w:r>
      <w:r>
        <w:rPr>
          <w:rFonts w:hint="eastAsia"/>
          <w:szCs w:val="18"/>
        </w:rPr>
        <w:t>对某一项评分因素的</w:t>
      </w:r>
      <w:r>
        <w:rPr>
          <w:szCs w:val="18"/>
        </w:rPr>
        <w:t>评分低于权重分</w:t>
      </w:r>
      <w:r>
        <w:rPr>
          <w:rFonts w:hint="eastAsia"/>
          <w:szCs w:val="18"/>
        </w:rPr>
        <w:t>值</w:t>
      </w:r>
      <w:r>
        <w:rPr>
          <w:szCs w:val="18"/>
        </w:rPr>
        <w:t>60%的，应在评标报告中作出说明。</w:t>
      </w:r>
    </w:p>
  </w:footnote>
  <w:footnote w:id="64">
    <w:p>
      <w:pPr>
        <w:pStyle w:val="27"/>
        <w:spacing w:line="320" w:lineRule="atLeast"/>
        <w:ind w:left="180" w:hanging="180" w:hangingChars="100"/>
        <w:jc w:val="both"/>
      </w:pPr>
      <w:r>
        <w:rPr>
          <w:rStyle w:val="45"/>
          <w:szCs w:val="18"/>
        </w:rPr>
        <w:footnoteRef/>
      </w:r>
      <w:r>
        <w:rPr>
          <w:rStyle w:val="45"/>
          <w:rFonts w:hint="eastAsia"/>
          <w:szCs w:val="18"/>
        </w:rPr>
        <w:t xml:space="preserve"> </w:t>
      </w:r>
      <w:r>
        <w:rPr>
          <w:rFonts w:hint="eastAsia"/>
          <w:szCs w:val="18"/>
        </w:rPr>
        <w:t>招标人应列明各评分因素或各评分因素细分项（如有）的评分标准并作为评标委员会进行评分的依据。</w:t>
      </w:r>
    </w:p>
  </w:footnote>
  <w:footnote w:id="65">
    <w:p>
      <w:pPr>
        <w:pStyle w:val="27"/>
        <w:spacing w:line="320" w:lineRule="atLeast"/>
        <w:ind w:left="180" w:hanging="210" w:hangingChars="100"/>
        <w:rPr>
          <w:rStyle w:val="45"/>
          <w:rFonts w:hint="eastAsia"/>
          <w:szCs w:val="18"/>
        </w:rPr>
      </w:pPr>
      <w:r>
        <w:rPr>
          <w:rStyle w:val="45"/>
          <w:kern w:val="2"/>
          <w:sz w:val="21"/>
          <w:szCs w:val="18"/>
        </w:rPr>
        <w:footnoteRef/>
      </w:r>
      <w:r>
        <w:rPr>
          <w:rFonts w:hint="eastAsia"/>
          <w:szCs w:val="18"/>
        </w:rPr>
        <w:t xml:space="preserve"> 如</w:t>
      </w:r>
      <w:r>
        <w:rPr>
          <w:rStyle w:val="45"/>
          <w:kern w:val="2"/>
          <w:sz w:val="21"/>
          <w:szCs w:val="18"/>
          <w:vertAlign w:val="baseline"/>
        </w:rPr>
        <w:t>本项目招标</w:t>
      </w:r>
      <w:r>
        <w:rPr>
          <w:rStyle w:val="45"/>
          <w:rFonts w:hint="eastAsia"/>
          <w:kern w:val="2"/>
          <w:sz w:val="21"/>
          <w:szCs w:val="18"/>
          <w:vertAlign w:val="baseline"/>
        </w:rPr>
        <w:t>由投标人按照招标人提供的</w:t>
      </w:r>
      <w:r>
        <w:rPr>
          <w:szCs w:val="18"/>
        </w:rPr>
        <w:t>书面</w:t>
      </w:r>
      <w:r>
        <w:rPr>
          <w:rStyle w:val="45"/>
          <w:rFonts w:hint="eastAsia"/>
          <w:kern w:val="2"/>
          <w:sz w:val="21"/>
          <w:szCs w:val="18"/>
          <w:vertAlign w:val="baseline"/>
        </w:rPr>
        <w:t>工程量清单填写</w:t>
      </w:r>
      <w:r>
        <w:rPr>
          <w:rStyle w:val="45"/>
          <w:kern w:val="2"/>
          <w:sz w:val="21"/>
          <w:szCs w:val="18"/>
          <w:vertAlign w:val="baseline"/>
        </w:rPr>
        <w:t>本合同各工程子目的单价、合价和总额价</w:t>
      </w:r>
      <w:r>
        <w:rPr>
          <w:rStyle w:val="45"/>
          <w:rFonts w:hint="eastAsia"/>
          <w:kern w:val="2"/>
          <w:sz w:val="21"/>
          <w:szCs w:val="18"/>
          <w:vertAlign w:val="baseline"/>
        </w:rPr>
        <w:t>，则</w:t>
      </w:r>
      <w:r>
        <w:rPr>
          <w:rStyle w:val="45"/>
          <w:kern w:val="2"/>
          <w:sz w:val="21"/>
          <w:szCs w:val="18"/>
          <w:vertAlign w:val="baseline"/>
        </w:rPr>
        <w:t>评标委员会按照</w:t>
      </w:r>
      <w:r>
        <w:rPr>
          <w:rStyle w:val="45"/>
          <w:rFonts w:hint="eastAsia"/>
          <w:kern w:val="2"/>
          <w:sz w:val="21"/>
          <w:szCs w:val="18"/>
          <w:vertAlign w:val="baseline"/>
        </w:rPr>
        <w:t>本</w:t>
      </w:r>
      <w:r>
        <w:rPr>
          <w:rStyle w:val="45"/>
          <w:kern w:val="2"/>
          <w:sz w:val="21"/>
          <w:szCs w:val="18"/>
          <w:vertAlign w:val="baseline"/>
        </w:rPr>
        <w:t>章</w:t>
      </w:r>
      <w:r>
        <w:rPr>
          <w:rStyle w:val="45"/>
          <w:rFonts w:hint="eastAsia"/>
          <w:kern w:val="2"/>
          <w:sz w:val="21"/>
          <w:szCs w:val="18"/>
          <w:vertAlign w:val="baseline"/>
        </w:rPr>
        <w:t>第3.4.2项和第3</w:t>
      </w:r>
      <w:r>
        <w:rPr>
          <w:rFonts w:hint="eastAsia"/>
          <w:szCs w:val="18"/>
        </w:rPr>
        <w:t>.4.3项</w:t>
      </w:r>
      <w:r>
        <w:rPr>
          <w:rStyle w:val="45"/>
          <w:rFonts w:hint="eastAsia"/>
          <w:kern w:val="2"/>
          <w:sz w:val="21"/>
          <w:szCs w:val="18"/>
          <w:vertAlign w:val="baseline"/>
        </w:rPr>
        <w:t>的</w:t>
      </w:r>
      <w:r>
        <w:rPr>
          <w:rStyle w:val="45"/>
          <w:kern w:val="2"/>
          <w:sz w:val="21"/>
          <w:szCs w:val="18"/>
          <w:vertAlign w:val="baseline"/>
        </w:rPr>
        <w:t>规定</w:t>
      </w:r>
      <w:r>
        <w:rPr>
          <w:rStyle w:val="45"/>
          <w:rFonts w:hint="eastAsia"/>
          <w:kern w:val="2"/>
          <w:sz w:val="21"/>
          <w:szCs w:val="18"/>
          <w:vertAlign w:val="baseline"/>
        </w:rPr>
        <w:t>对投标人的投标报价进行修正。</w:t>
      </w:r>
      <w:r>
        <w:rPr>
          <w:rFonts w:hint="eastAsia"/>
          <w:szCs w:val="18"/>
        </w:rPr>
        <w:t>如</w:t>
      </w:r>
      <w:r>
        <w:rPr>
          <w:rStyle w:val="45"/>
          <w:kern w:val="2"/>
          <w:sz w:val="21"/>
          <w:szCs w:val="18"/>
          <w:vertAlign w:val="baseline"/>
        </w:rPr>
        <w:t>本项目招标</w:t>
      </w:r>
      <w:r>
        <w:rPr>
          <w:rFonts w:hint="eastAsia"/>
          <w:szCs w:val="18"/>
        </w:rPr>
        <w:t>由投标人按照招标人提供的</w:t>
      </w:r>
      <w:r>
        <w:rPr>
          <w:szCs w:val="18"/>
        </w:rPr>
        <w:t>工程量固化清单</w:t>
      </w:r>
      <w:r>
        <w:rPr>
          <w:rFonts w:hint="eastAsia"/>
          <w:szCs w:val="18"/>
        </w:rPr>
        <w:t>电子文件填写工程量清单，无须按照本章第3.4.2项和第3.4.3项的规定对投标报价进行修正，第3.4.2项</w:t>
      </w:r>
      <w:r>
        <w:rPr>
          <w:rFonts w:hint="eastAsia"/>
          <w:szCs w:val="18"/>
          <w:lang w:eastAsia="zh-CN"/>
        </w:rPr>
        <w:t>至</w:t>
      </w:r>
      <w:r>
        <w:rPr>
          <w:rFonts w:hint="eastAsia"/>
          <w:szCs w:val="18"/>
        </w:rPr>
        <w:t>第3.4.4项内容不适用。</w:t>
      </w:r>
    </w:p>
    <w:p>
      <w:pPr>
        <w:pStyle w:val="27"/>
        <w:spacing w:line="300" w:lineRule="atLeast"/>
        <w:ind w:left="210" w:hanging="210"/>
        <w:rPr>
          <w:rStyle w:val="45"/>
          <w:szCs w:val="18"/>
        </w:rPr>
      </w:pPr>
    </w:p>
  </w:footnote>
  <w:footnote w:id="66">
    <w:p>
      <w:pPr>
        <w:pStyle w:val="27"/>
        <w:ind w:firstLine="0"/>
        <w:jc w:val="both"/>
      </w:pPr>
      <w:r>
        <w:rPr>
          <w:rStyle w:val="45"/>
        </w:rPr>
        <w:footnoteRef/>
      </w:r>
      <w:r>
        <w:t xml:space="preserve"> </w:t>
      </w:r>
      <w:r>
        <w:rPr>
          <w:rFonts w:hint="eastAsia"/>
        </w:rPr>
        <w:t>本部分不加修改地引用了国家九部委《标准设计施工总承包招标文件》（20</w:t>
      </w:r>
      <w:r>
        <w:t>12</w:t>
      </w:r>
      <w:r>
        <w:rPr>
          <w:rFonts w:hint="eastAsia"/>
        </w:rPr>
        <w:t>年版）相关内容。</w:t>
      </w:r>
    </w:p>
  </w:footnote>
  <w:footnote w:id="67">
    <w:p>
      <w:pPr>
        <w:pStyle w:val="27"/>
        <w:spacing w:line="320" w:lineRule="atLeast"/>
        <w:ind w:left="180" w:hanging="180" w:hangingChars="100"/>
      </w:pPr>
      <w:r>
        <w:rPr>
          <w:rStyle w:val="45"/>
        </w:rPr>
        <w:footnoteRef/>
      </w:r>
      <w:r>
        <w:t xml:space="preserve"> 如果在招标</w:t>
      </w:r>
      <w:r>
        <w:rPr>
          <w:rFonts w:hint="eastAsia"/>
        </w:rPr>
        <w:t>阶段，招标人</w:t>
      </w:r>
      <w:r>
        <w:t>在图纸中直接指定了取土场和弃土场位置</w:t>
      </w:r>
      <w:r>
        <w:rPr>
          <w:rFonts w:hint="eastAsia"/>
        </w:rPr>
        <w:t>，</w:t>
      </w:r>
      <w:r>
        <w:t>且作为投标人投标</w:t>
      </w:r>
      <w:r>
        <w:rPr>
          <w:rFonts w:hint="eastAsia"/>
        </w:rPr>
        <w:t>报价</w:t>
      </w:r>
      <w:r>
        <w:t>的依据</w:t>
      </w:r>
      <w:r>
        <w:rPr>
          <w:rFonts w:hint="eastAsia"/>
        </w:rPr>
        <w:t>，则招标人应在项目专用合同条款中对本项规定进行调整。</w:t>
      </w:r>
    </w:p>
  </w:footnote>
  <w:footnote w:id="68">
    <w:p>
      <w:pPr>
        <w:pStyle w:val="27"/>
      </w:pPr>
      <w:r>
        <w:rPr>
          <w:rStyle w:val="45"/>
        </w:rPr>
        <w:footnoteRef/>
      </w:r>
      <w:r>
        <w:t xml:space="preserve"> 招标人可根据各项目</w:t>
      </w:r>
      <w:r>
        <w:rPr>
          <w:rFonts w:hint="eastAsia"/>
        </w:rPr>
        <w:t>初步</w:t>
      </w:r>
      <w:r>
        <w:t>设计批复相关要求设置</w:t>
      </w:r>
      <w:r>
        <w:rPr>
          <w:rFonts w:hint="eastAsia"/>
        </w:rPr>
        <w:t>勘察</w:t>
      </w:r>
      <w:r>
        <w:t>设计中不可修改内容及</w:t>
      </w:r>
      <w:r>
        <w:rPr>
          <w:rFonts w:hint="eastAsia"/>
        </w:rPr>
        <w:t>勘察</w:t>
      </w:r>
      <w:r>
        <w:t>设计相关要求。</w:t>
      </w:r>
    </w:p>
  </w:footnote>
  <w:footnote w:id="69">
    <w:p>
      <w:pPr>
        <w:pStyle w:val="27"/>
        <w:spacing w:line="300" w:lineRule="atLeast"/>
        <w:ind w:left="210" w:hanging="210"/>
        <w:rPr>
          <w:szCs w:val="18"/>
        </w:rPr>
      </w:pPr>
      <w:r>
        <w:rPr>
          <w:rStyle w:val="45"/>
          <w:szCs w:val="18"/>
        </w:rPr>
        <w:footnoteRef/>
      </w:r>
      <w:r>
        <w:rPr>
          <w:rFonts w:hint="eastAsia" w:hAnsi="Roman"/>
          <w:szCs w:val="18"/>
        </w:rPr>
        <w:t xml:space="preserve"> 缺陷责任期一般为自实际交工日期起计算1年，最长不超过2年。</w:t>
      </w:r>
    </w:p>
  </w:footnote>
  <w:footnote w:id="70">
    <w:p>
      <w:pPr>
        <w:pStyle w:val="27"/>
        <w:spacing w:line="300" w:lineRule="atLeast"/>
        <w:ind w:left="210" w:hanging="210"/>
        <w:rPr>
          <w:szCs w:val="18"/>
        </w:rPr>
      </w:pPr>
      <w:r>
        <w:rPr>
          <w:rStyle w:val="45"/>
          <w:szCs w:val="18"/>
        </w:rPr>
        <w:footnoteRef/>
      </w:r>
      <w:r>
        <w:rPr>
          <w:rFonts w:hint="eastAsia" w:hAnsi="Roman"/>
          <w:szCs w:val="18"/>
        </w:rPr>
        <w:t xml:space="preserve"> </w:t>
      </w:r>
      <w:r>
        <w:rPr>
          <w:rFonts w:hAnsi="Roman"/>
          <w:szCs w:val="18"/>
        </w:rPr>
        <w:t>逾期交工违约金限额</w:t>
      </w:r>
      <w:r>
        <w:rPr>
          <w:rFonts w:hint="eastAsia" w:hAnsi="Roman"/>
          <w:szCs w:val="18"/>
        </w:rPr>
        <w:t>一般应为10</w:t>
      </w:r>
      <w:r>
        <w:rPr>
          <w:rFonts w:hAnsi="Roman"/>
          <w:szCs w:val="18"/>
        </w:rPr>
        <w:t>%签约合同价</w:t>
      </w:r>
      <w:r>
        <w:rPr>
          <w:rFonts w:hint="eastAsia" w:hAnsi="Roman"/>
          <w:szCs w:val="18"/>
        </w:rPr>
        <w:t>。</w:t>
      </w:r>
    </w:p>
  </w:footnote>
  <w:footnote w:id="71">
    <w:p>
      <w:pPr>
        <w:pStyle w:val="27"/>
        <w:spacing w:line="280" w:lineRule="atLeast"/>
        <w:ind w:left="210" w:hanging="210"/>
        <w:rPr>
          <w:szCs w:val="18"/>
        </w:rPr>
      </w:pPr>
      <w:r>
        <w:rPr>
          <w:rStyle w:val="45"/>
          <w:szCs w:val="18"/>
        </w:rPr>
        <w:footnoteRef/>
      </w:r>
      <w:r>
        <w:rPr>
          <w:rFonts w:hint="eastAsia" w:hAnsi="Roman"/>
          <w:szCs w:val="18"/>
        </w:rPr>
        <w:t xml:space="preserve">  对于工程规模不大、工期较短的工程（例如工期不超过12个月的），可以不进行调价。</w:t>
      </w:r>
    </w:p>
  </w:footnote>
  <w:footnote w:id="72">
    <w:p>
      <w:pPr>
        <w:pStyle w:val="27"/>
        <w:spacing w:line="280" w:lineRule="atLeast"/>
        <w:ind w:left="210" w:hanging="210"/>
        <w:rPr>
          <w:szCs w:val="18"/>
        </w:rPr>
      </w:pPr>
      <w:r>
        <w:rPr>
          <w:rStyle w:val="45"/>
          <w:szCs w:val="18"/>
        </w:rPr>
        <w:footnoteRef/>
      </w:r>
      <w:r>
        <w:rPr>
          <w:szCs w:val="18"/>
        </w:rPr>
        <w:t xml:space="preserve"> </w:t>
      </w:r>
      <w:r>
        <w:rPr>
          <w:rFonts w:hint="eastAsia"/>
          <w:szCs w:val="18"/>
        </w:rPr>
        <w:t xml:space="preserve"> </w:t>
      </w:r>
      <w:r>
        <w:rPr>
          <w:rFonts w:hint="eastAsia"/>
          <w:szCs w:val="21"/>
        </w:rPr>
        <w:t>勘察设计费</w:t>
      </w:r>
      <w:r>
        <w:rPr>
          <w:szCs w:val="21"/>
        </w:rPr>
        <w:t>预付款</w:t>
      </w:r>
      <w:r>
        <w:rPr>
          <w:rFonts w:hint="eastAsia" w:hAnsi="Roman"/>
          <w:szCs w:val="18"/>
        </w:rPr>
        <w:t>金额一般应为10％勘察设计费。</w:t>
      </w:r>
    </w:p>
  </w:footnote>
  <w:footnote w:id="73">
    <w:p>
      <w:pPr>
        <w:pStyle w:val="27"/>
        <w:spacing w:line="280" w:lineRule="atLeast"/>
        <w:ind w:left="210" w:hanging="210"/>
        <w:rPr>
          <w:szCs w:val="18"/>
        </w:rPr>
      </w:pPr>
      <w:r>
        <w:rPr>
          <w:rStyle w:val="45"/>
          <w:szCs w:val="18"/>
        </w:rPr>
        <w:footnoteRef/>
      </w:r>
      <w:r>
        <w:rPr>
          <w:szCs w:val="18"/>
        </w:rPr>
        <w:t xml:space="preserve"> </w:t>
      </w:r>
      <w:r>
        <w:rPr>
          <w:rFonts w:hint="eastAsia"/>
          <w:szCs w:val="18"/>
        </w:rPr>
        <w:t xml:space="preserve"> </w:t>
      </w:r>
      <w:r>
        <w:rPr>
          <w:rFonts w:hint="eastAsia" w:hAnsi="Roman"/>
          <w:szCs w:val="18"/>
        </w:rPr>
        <w:t>开工预付款金额一般应为10％签约合同价。</w:t>
      </w:r>
    </w:p>
  </w:footnote>
  <w:footnote w:id="74">
    <w:p>
      <w:pPr>
        <w:pStyle w:val="27"/>
        <w:spacing w:line="280" w:lineRule="atLeast"/>
        <w:ind w:left="210" w:hanging="210"/>
        <w:rPr>
          <w:szCs w:val="18"/>
        </w:rPr>
      </w:pPr>
      <w:r>
        <w:rPr>
          <w:rStyle w:val="45"/>
          <w:szCs w:val="18"/>
        </w:rPr>
        <w:footnoteRef/>
      </w:r>
      <w:r>
        <w:rPr>
          <w:rFonts w:hint="eastAsia" w:hAnsi="Roman"/>
          <w:szCs w:val="18"/>
        </w:rPr>
        <w:t xml:space="preserve">  指主要材料，一般应为70%～75%，最低不少于60%。</w:t>
      </w:r>
    </w:p>
  </w:footnote>
  <w:footnote w:id="75">
    <w:p>
      <w:pPr>
        <w:pStyle w:val="27"/>
        <w:spacing w:line="280" w:lineRule="atLeast"/>
        <w:ind w:left="210" w:hanging="210"/>
        <w:rPr>
          <w:szCs w:val="18"/>
        </w:rPr>
      </w:pPr>
      <w:r>
        <w:rPr>
          <w:rStyle w:val="45"/>
          <w:szCs w:val="18"/>
        </w:rPr>
        <w:footnoteRef/>
      </w:r>
      <w:r>
        <w:rPr>
          <w:rFonts w:hint="eastAsia" w:hAnsi="Roman"/>
          <w:szCs w:val="18"/>
        </w:rPr>
        <w:t xml:space="preserve">  国际上一般按月平均支付额的0.3</w:t>
      </w:r>
      <w:r>
        <w:rPr>
          <w:rFonts w:hint="eastAsia" w:hAnsi="Roman"/>
          <w:szCs w:val="18"/>
        </w:rPr>
        <w:sym w:font="Symbol" w:char="F07E"/>
      </w:r>
      <w:r>
        <w:rPr>
          <w:rFonts w:hint="eastAsia" w:hAnsi="Roman"/>
          <w:szCs w:val="18"/>
        </w:rPr>
        <w:t>0.5倍计算，我国可按0.2</w:t>
      </w:r>
      <w:r>
        <w:rPr>
          <w:rFonts w:hint="eastAsia" w:hAnsi="Roman"/>
          <w:szCs w:val="18"/>
        </w:rPr>
        <w:sym w:font="Symbol" w:char="F07E"/>
      </w:r>
      <w:r>
        <w:rPr>
          <w:rFonts w:hAnsi="Roman"/>
          <w:szCs w:val="18"/>
        </w:rPr>
        <w:t>0.3倍</w:t>
      </w:r>
      <w:r>
        <w:rPr>
          <w:rFonts w:hint="eastAsia" w:hAnsi="Roman"/>
          <w:szCs w:val="18"/>
        </w:rPr>
        <w:t>计，以利承包人资金周转。</w:t>
      </w:r>
    </w:p>
  </w:footnote>
  <w:footnote w:id="76">
    <w:p>
      <w:pPr>
        <w:pStyle w:val="27"/>
        <w:spacing w:line="280" w:lineRule="atLeast"/>
        <w:ind w:left="210" w:hanging="210"/>
        <w:rPr>
          <w:szCs w:val="18"/>
        </w:rPr>
      </w:pPr>
      <w:r>
        <w:rPr>
          <w:rStyle w:val="45"/>
          <w:szCs w:val="18"/>
        </w:rPr>
        <w:footnoteRef/>
      </w:r>
      <w:r>
        <w:rPr>
          <w:rFonts w:hint="eastAsia" w:hAnsi="Roman"/>
          <w:szCs w:val="18"/>
        </w:rPr>
        <w:t xml:space="preserve">  相当于中国人民银行短期贷款利率加手续费。招标人不能自行取消本项内容或降低利率。</w:t>
      </w:r>
    </w:p>
  </w:footnote>
  <w:footnote w:id="77">
    <w:p>
      <w:pPr>
        <w:pStyle w:val="27"/>
        <w:spacing w:line="280" w:lineRule="atLeast"/>
        <w:ind w:left="180" w:hanging="180" w:hangingChars="100"/>
        <w:rPr>
          <w:rFonts w:hint="eastAsia" w:eastAsia="宋体"/>
          <w:szCs w:val="18"/>
          <w:lang w:eastAsia="zh-CN"/>
        </w:rPr>
      </w:pPr>
      <w:r>
        <w:rPr>
          <w:rStyle w:val="45"/>
          <w:szCs w:val="18"/>
        </w:rPr>
        <w:footnoteRef/>
      </w:r>
      <w:r>
        <w:rPr>
          <w:rFonts w:hint="eastAsia" w:hAnsi="Roman"/>
          <w:szCs w:val="18"/>
        </w:rPr>
        <w:t xml:space="preserve">  交工验收时</w:t>
      </w:r>
      <w:r>
        <w:rPr>
          <w:rFonts w:hint="eastAsia" w:hAnsi="Roman"/>
          <w:szCs w:val="18"/>
          <w:lang w:eastAsia="zh-CN"/>
        </w:rPr>
        <w:t>，</w:t>
      </w:r>
      <w:r>
        <w:rPr>
          <w:rFonts w:hint="eastAsia" w:hAnsi="Roman"/>
          <w:szCs w:val="18"/>
        </w:rPr>
        <w:t>发包人可根据辽宁省交通运输厅的有关规定，对信用等级较高的承包人，在质量保证金方面给予一定额度的优惠</w:t>
      </w:r>
      <w:r>
        <w:rPr>
          <w:rFonts w:hint="eastAsia" w:hAnsi="Roman"/>
          <w:szCs w:val="18"/>
          <w:lang w:eastAsia="zh-CN"/>
        </w:rPr>
        <w:t>。</w:t>
      </w:r>
    </w:p>
  </w:footnote>
  <w:footnote w:id="78">
    <w:p>
      <w:pPr>
        <w:pStyle w:val="27"/>
        <w:spacing w:line="280" w:lineRule="atLeast"/>
        <w:ind w:left="210" w:hanging="210"/>
        <w:rPr>
          <w:szCs w:val="18"/>
        </w:rPr>
      </w:pPr>
      <w:r>
        <w:rPr>
          <w:rStyle w:val="45"/>
          <w:szCs w:val="18"/>
        </w:rPr>
        <w:footnoteRef/>
      </w:r>
      <w:r>
        <w:rPr>
          <w:rFonts w:hint="eastAsia"/>
          <w:szCs w:val="18"/>
        </w:rPr>
        <w:t xml:space="preserve">  </w:t>
      </w:r>
      <w:r>
        <w:rPr>
          <w:rFonts w:hAnsi="Roman"/>
          <w:szCs w:val="18"/>
        </w:rPr>
        <w:t>保修期一般应为自实际交工日期起计算5年</w:t>
      </w:r>
      <w:r>
        <w:rPr>
          <w:rFonts w:hint="eastAsia" w:hAnsi="Roman"/>
          <w:szCs w:val="18"/>
        </w:rPr>
        <w:t>。</w:t>
      </w:r>
    </w:p>
  </w:footnote>
  <w:footnote w:id="79">
    <w:p>
      <w:pPr>
        <w:widowControl w:val="0"/>
        <w:adjustRightInd w:val="0"/>
        <w:snapToGrid w:val="0"/>
        <w:spacing w:line="420" w:lineRule="atLeast"/>
        <w:ind w:firstLine="0"/>
        <w:jc w:val="left"/>
        <w:textAlignment w:val="baseline"/>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ascii="Times New Roman" w:hAnsi="Times New Roman" w:eastAsia="宋体" w:cs="Times New Roman"/>
          <w:kern w:val="0"/>
          <w:sz w:val="18"/>
          <w:szCs w:val="20"/>
          <w:lang w:val="en-US" w:eastAsia="zh-CN" w:bidi="ar-SA"/>
        </w:rPr>
        <w:t xml:space="preserve"> </w:t>
      </w:r>
      <w:r>
        <w:rPr>
          <w:rFonts w:hint="eastAsia" w:ascii="Times New Roman" w:hAnsi="Times New Roman" w:eastAsia="宋体" w:cs="Times New Roman"/>
          <w:kern w:val="0"/>
          <w:sz w:val="18"/>
          <w:szCs w:val="20"/>
          <w:lang w:val="en-US" w:eastAsia="zh-CN" w:bidi="ar-SA"/>
        </w:rPr>
        <w:t>招标人可结合辽宁省公路建设领域管理政策文件、招标项目具体特点和实际需要对项目专用合同条款进行补充、细化，不得设置各类有失公允或违法违规合同条款。</w:t>
      </w:r>
    </w:p>
  </w:footnote>
  <w:footnote w:id="80">
    <w:p>
      <w:pPr>
        <w:pStyle w:val="27"/>
        <w:spacing w:line="300" w:lineRule="atLeast"/>
        <w:ind w:left="360" w:hanging="360" w:hangingChars="200"/>
        <w:jc w:val="both"/>
        <w:rPr>
          <w:szCs w:val="18"/>
        </w:rPr>
      </w:pPr>
      <w:r>
        <w:rPr>
          <w:rStyle w:val="45"/>
          <w:rFonts w:ascii="宋体" w:hAnsi="宋体"/>
          <w:szCs w:val="18"/>
        </w:rPr>
        <w:footnoteRef/>
      </w:r>
      <w:r>
        <w:rPr>
          <w:rFonts w:hint="eastAsia"/>
          <w:szCs w:val="18"/>
        </w:rPr>
        <w:t xml:space="preserve"> </w:t>
      </w:r>
      <w:r>
        <w:rPr>
          <w:rFonts w:hAnsi="宋体"/>
          <w:szCs w:val="18"/>
        </w:rPr>
        <w:t>招标人应在招标文件中规定若投标人在所投标段中标需派驻的其他管理和技术人员</w:t>
      </w:r>
      <w:r>
        <w:rPr>
          <w:rFonts w:hint="eastAsia"/>
        </w:rPr>
        <w:t>（例如</w:t>
      </w:r>
      <w:r>
        <w:t>项目副经理、专业工程师等</w:t>
      </w:r>
      <w:r>
        <w:rPr>
          <w:rFonts w:hint="eastAsia"/>
        </w:rPr>
        <w:t>）</w:t>
      </w:r>
      <w:r>
        <w:rPr>
          <w:rFonts w:hAnsi="宋体"/>
          <w:szCs w:val="18"/>
        </w:rPr>
        <w:t>。</w:t>
      </w:r>
      <w:r>
        <w:rPr>
          <w:rFonts w:hint="eastAsia" w:hAnsi="宋体"/>
          <w:szCs w:val="18"/>
        </w:rPr>
        <w:t>上述人员</w:t>
      </w:r>
      <w:r>
        <w:rPr>
          <w:rFonts w:hAnsi="宋体"/>
          <w:szCs w:val="18"/>
        </w:rPr>
        <w:t>的具体人选由招标人和中标人在合同谈判阶段确定</w:t>
      </w:r>
      <w:r>
        <w:rPr>
          <w:rFonts w:hint="eastAsia" w:hAnsi="宋体"/>
          <w:szCs w:val="18"/>
        </w:rPr>
        <w:t>，且经</w:t>
      </w:r>
      <w:r>
        <w:rPr>
          <w:rFonts w:hAnsi="宋体"/>
          <w:szCs w:val="18"/>
        </w:rPr>
        <w:t>招标人审批后作为派驻本标段的项目管理机构主要人员</w:t>
      </w:r>
      <w:r>
        <w:rPr>
          <w:rFonts w:hint="eastAsia" w:hAnsi="宋体"/>
          <w:szCs w:val="18"/>
        </w:rPr>
        <w:t>，</w:t>
      </w:r>
      <w:r>
        <w:rPr>
          <w:rFonts w:hAnsi="宋体"/>
          <w:szCs w:val="18"/>
        </w:rPr>
        <w:t>不允许更换。</w:t>
      </w:r>
      <w:r>
        <w:rPr>
          <w:rFonts w:hint="eastAsia" w:hAnsi="宋体"/>
          <w:szCs w:val="18"/>
        </w:rPr>
        <w:t>如中标人拟派驻的人员数量和资格条件不满足本表要求，招标人应取消其中标资格。</w:t>
      </w:r>
    </w:p>
  </w:footnote>
  <w:footnote w:id="81">
    <w:p>
      <w:pPr>
        <w:pStyle w:val="27"/>
        <w:spacing w:line="300" w:lineRule="atLeast"/>
        <w:ind w:left="360" w:hanging="360" w:hangingChars="200"/>
        <w:rPr>
          <w:szCs w:val="18"/>
        </w:rPr>
      </w:pPr>
      <w:r>
        <w:rPr>
          <w:rStyle w:val="45"/>
          <w:szCs w:val="18"/>
        </w:rPr>
        <w:footnoteRef/>
      </w:r>
      <w:r>
        <w:rPr>
          <w:rFonts w:hint="eastAsia"/>
          <w:szCs w:val="18"/>
        </w:rPr>
        <w:t xml:space="preserve"> </w:t>
      </w:r>
      <w:r>
        <w:rPr>
          <w:rFonts w:hAnsi="宋体"/>
          <w:szCs w:val="18"/>
        </w:rPr>
        <w:t>招标人应在招标文件中规定若投标人在所投标段中标需提供的主要机械设备和试验检测设备。招标人将在</w:t>
      </w:r>
      <w:r>
        <w:rPr>
          <w:rFonts w:hint="eastAsia" w:hAnsi="宋体"/>
          <w:szCs w:val="18"/>
        </w:rPr>
        <w:t>合同谈判阶段</w:t>
      </w:r>
      <w:r>
        <w:rPr>
          <w:rFonts w:hAnsi="宋体"/>
          <w:szCs w:val="18"/>
        </w:rPr>
        <w:t>要求中标人按照本表的最低要求填报为本标段配备的主要设备，在经招标人审批后作为投入本标段的主要设备且不允许更换。</w:t>
      </w:r>
      <w:r>
        <w:rPr>
          <w:rFonts w:hint="eastAsia" w:hAnsi="宋体"/>
          <w:szCs w:val="18"/>
        </w:rPr>
        <w:t>如招标人拟提供的设备数量和规格指标等不满足本表要求，招标人应取消其中标资格。</w:t>
      </w:r>
    </w:p>
    <w:p>
      <w:pPr>
        <w:pStyle w:val="27"/>
        <w:ind w:left="210" w:hanging="210"/>
        <w:rPr>
          <w:sz w:val="21"/>
          <w:szCs w:val="21"/>
        </w:rPr>
      </w:pPr>
    </w:p>
  </w:footnote>
  <w:footnote w:id="82">
    <w:p>
      <w:pPr>
        <w:pStyle w:val="27"/>
        <w:tabs>
          <w:tab w:val="left" w:pos="3780"/>
        </w:tabs>
        <w:spacing w:line="340" w:lineRule="atLeast"/>
        <w:ind w:left="210" w:hanging="210"/>
      </w:pPr>
      <w:r>
        <w:rPr>
          <w:rStyle w:val="45"/>
        </w:rPr>
        <w:footnoteRef/>
      </w:r>
      <w:r>
        <w:rPr>
          <w:rFonts w:hint="eastAsia"/>
        </w:rPr>
        <w:t>本条内容可修改为：“</w:t>
      </w:r>
      <w:r>
        <w:t>本</w:t>
      </w:r>
      <w:r>
        <w:rPr>
          <w:rFonts w:hint="eastAsia"/>
        </w:rPr>
        <w:t>担保</w:t>
      </w:r>
      <w:r>
        <w:t>自</w:t>
      </w:r>
      <w:r>
        <w:rPr>
          <w:rFonts w:hint="eastAsia"/>
          <w:u w:val="single"/>
        </w:rPr>
        <w:t xml:space="preserve">         </w:t>
      </w:r>
      <w:r>
        <w:t>（生效日期）之日起生效，至</w:t>
      </w:r>
      <w:r>
        <w:rPr>
          <w:rFonts w:hint="eastAsia"/>
          <w:u w:val="single"/>
        </w:rPr>
        <w:t xml:space="preserve">         </w:t>
      </w:r>
      <w:r>
        <w:t>（失效日期）之日失效</w:t>
      </w:r>
      <w:r>
        <w:rPr>
          <w:rFonts w:hint="eastAsia"/>
        </w:rPr>
        <w:t>。”</w:t>
      </w:r>
      <w:r>
        <w:rPr>
          <w:rFonts w:hint="eastAsia"/>
          <w:sz w:val="21"/>
          <w:szCs w:val="21"/>
        </w:rPr>
        <w:t xml:space="preserve"> </w:t>
      </w:r>
      <w:r>
        <w:rPr>
          <w:rFonts w:hint="eastAsia"/>
        </w:rPr>
        <w:t>如发包人接受履约</w:t>
      </w:r>
      <w:r>
        <w:t>保函</w:t>
      </w:r>
      <w:r>
        <w:rPr>
          <w:rFonts w:hint="eastAsia"/>
        </w:rPr>
        <w:t>采用固定有效</w:t>
      </w:r>
      <w:r>
        <w:t>期，</w:t>
      </w:r>
      <w:r>
        <w:rPr>
          <w:rFonts w:hint="eastAsia"/>
        </w:rPr>
        <w:t>在项目</w:t>
      </w:r>
      <w:r>
        <w:t>专用合同条款中</w:t>
      </w:r>
      <w:r>
        <w:rPr>
          <w:rFonts w:hint="eastAsia"/>
        </w:rPr>
        <w:t>应</w:t>
      </w:r>
      <w:r>
        <w:t>增加</w:t>
      </w:r>
      <w:r>
        <w:rPr>
          <w:rFonts w:hint="eastAsia"/>
        </w:rPr>
        <w:t>保证承包人在履约</w:t>
      </w:r>
      <w:r>
        <w:t>保函失效</w:t>
      </w:r>
      <w:r>
        <w:rPr>
          <w:rFonts w:hint="eastAsia"/>
        </w:rPr>
        <w:t>日</w:t>
      </w:r>
      <w:r>
        <w:t>前向发包人出具后续阶段履约保函</w:t>
      </w:r>
      <w:r>
        <w:rPr>
          <w:rFonts w:hint="eastAsia"/>
        </w:rPr>
        <w:t>的约束性</w:t>
      </w:r>
      <w:r>
        <w:t>条款，直至发包人签发交工验收证书</w:t>
      </w:r>
      <w:r>
        <w:rPr>
          <w:rFonts w:hint="eastAsia"/>
        </w:rPr>
        <w:t>且承包人按照合同约定缴纳质量保证金</w:t>
      </w:r>
      <w:r>
        <w:t>之日</w:t>
      </w:r>
      <w:r>
        <w:rPr>
          <w:rFonts w:hint="eastAsia"/>
        </w:rPr>
        <w:t>为止</w:t>
      </w:r>
      <w:r>
        <w:t>。</w:t>
      </w:r>
    </w:p>
  </w:footnote>
  <w:footnote w:id="83">
    <w:p>
      <w:pPr>
        <w:pStyle w:val="27"/>
        <w:ind w:left="210" w:hanging="210"/>
        <w:rPr>
          <w:szCs w:val="18"/>
        </w:rPr>
      </w:pPr>
      <w:r>
        <w:rPr>
          <w:rStyle w:val="45"/>
          <w:szCs w:val="18"/>
        </w:rPr>
        <w:footnoteRef/>
      </w:r>
      <w:r>
        <w:rPr>
          <w:rFonts w:hint="eastAsia"/>
          <w:szCs w:val="18"/>
        </w:rPr>
        <w:t xml:space="preserve"> 招标人可结合招标项目具体特点和实际需要，对本章内容进行补充、细化。</w:t>
      </w:r>
    </w:p>
  </w:footnote>
  <w:footnote w:id="84">
    <w:p>
      <w:pPr>
        <w:pStyle w:val="27"/>
        <w:spacing w:line="300" w:lineRule="atLeast"/>
        <w:ind w:left="180" w:hanging="180" w:hangingChars="100"/>
        <w:jc w:val="both"/>
        <w:rPr>
          <w:rFonts w:hAnsi="宋体"/>
          <w:szCs w:val="18"/>
        </w:rPr>
      </w:pPr>
      <w:r>
        <w:rPr>
          <w:rStyle w:val="45"/>
          <w:rFonts w:ascii="宋体" w:hAnsi="宋体"/>
          <w:szCs w:val="18"/>
        </w:rPr>
        <w:footnoteRef/>
      </w:r>
      <w:r>
        <w:rPr>
          <w:rFonts w:hint="eastAsia" w:hAnsi="宋体"/>
          <w:szCs w:val="18"/>
        </w:rPr>
        <w:t xml:space="preserve"> </w:t>
      </w:r>
      <w:r>
        <w:rPr>
          <w:rFonts w:hAnsi="宋体"/>
          <w:szCs w:val="18"/>
        </w:rPr>
        <w:t>本</w:t>
      </w:r>
      <w:r>
        <w:rPr>
          <w:rFonts w:hint="eastAsia" w:hAnsi="宋体"/>
          <w:szCs w:val="18"/>
        </w:rPr>
        <w:t>条款</w:t>
      </w:r>
      <w:r>
        <w:rPr>
          <w:rFonts w:hAnsi="宋体"/>
          <w:szCs w:val="18"/>
        </w:rPr>
        <w:t>不适用于已按招标文件要求提供了其他管理和技术人员</w:t>
      </w:r>
      <w:r>
        <w:rPr>
          <w:rFonts w:hint="eastAsia" w:hAnsi="宋体"/>
          <w:szCs w:val="18"/>
        </w:rPr>
        <w:t>、</w:t>
      </w:r>
      <w:r>
        <w:rPr>
          <w:rFonts w:hAnsi="宋体"/>
          <w:szCs w:val="18"/>
        </w:rPr>
        <w:t>主要机械设备和试验检测设备的</w:t>
      </w:r>
      <w:r>
        <w:rPr>
          <w:rFonts w:hint="eastAsia" w:hAnsi="宋体"/>
          <w:szCs w:val="18"/>
        </w:rPr>
        <w:t>项目。</w:t>
      </w:r>
    </w:p>
  </w:footnote>
  <w:footnote w:id="85">
    <w:p>
      <w:pPr>
        <w:pStyle w:val="27"/>
        <w:spacing w:line="300" w:lineRule="atLeast"/>
        <w:ind w:left="180" w:hanging="180" w:hangingChars="100"/>
        <w:rPr>
          <w:szCs w:val="18"/>
        </w:rPr>
      </w:pPr>
      <w:r>
        <w:rPr>
          <w:rStyle w:val="45"/>
          <w:szCs w:val="18"/>
        </w:rPr>
        <w:footnoteRef/>
      </w:r>
      <w:r>
        <w:rPr>
          <w:szCs w:val="18"/>
        </w:rPr>
        <w:t xml:space="preserve"> </w:t>
      </w:r>
      <w:r>
        <w:rPr>
          <w:rFonts w:hint="eastAsia"/>
          <w:szCs w:val="18"/>
          <w:lang w:val="en-US" w:eastAsia="zh-CN"/>
        </w:rPr>
        <w:t>若联合体协议书采用线下签署方式，投标人应</w:t>
      </w:r>
      <w:r>
        <w:rPr>
          <w:rFonts w:hint="eastAsia"/>
          <w:szCs w:val="18"/>
        </w:rPr>
        <w:t>附</w:t>
      </w:r>
      <w:r>
        <w:rPr>
          <w:rFonts w:hint="eastAsia"/>
          <w:szCs w:val="18"/>
          <w:lang w:val="en-US" w:eastAsia="zh-CN"/>
        </w:rPr>
        <w:t>所有成员签字盖章后的</w:t>
      </w:r>
      <w:r>
        <w:rPr>
          <w:rFonts w:hint="eastAsia"/>
          <w:szCs w:val="18"/>
        </w:rPr>
        <w:t>联合体协议书</w:t>
      </w:r>
      <w:r>
        <w:rPr>
          <w:rFonts w:hint="eastAsia"/>
          <w:szCs w:val="18"/>
          <w:lang w:val="en-US" w:eastAsia="zh-CN"/>
        </w:rPr>
        <w:t>原件扫描件</w:t>
      </w:r>
      <w:r>
        <w:rPr>
          <w:rFonts w:hint="eastAsia"/>
          <w:szCs w:val="18"/>
        </w:rPr>
        <w:t>。</w:t>
      </w:r>
    </w:p>
  </w:footnote>
  <w:footnote w:id="86">
    <w:p>
      <w:pPr>
        <w:pStyle w:val="27"/>
        <w:snapToGrid w:val="0"/>
        <w:ind w:firstLine="0"/>
      </w:pPr>
      <w:r>
        <w:rPr>
          <w:rStyle w:val="45"/>
        </w:rPr>
        <w:footnoteRef/>
      </w:r>
      <w:r>
        <w:t xml:space="preserve"> </w:t>
      </w:r>
      <w:r>
        <w:rPr>
          <w:rFonts w:hint="eastAsia"/>
        </w:rPr>
        <w:t>施工企业作为联合体牵头人承揽总承包项目的，牵头人承担的施工份额不得低于联合体其他成员。</w:t>
      </w:r>
    </w:p>
  </w:footnote>
  <w:footnote w:id="87">
    <w:p>
      <w:pPr>
        <w:pStyle w:val="27"/>
        <w:spacing w:line="320" w:lineRule="atLeast"/>
        <w:ind w:firstLine="0"/>
        <w:rPr>
          <w:sz w:val="21"/>
          <w:szCs w:val="21"/>
        </w:rPr>
      </w:pPr>
      <w:r>
        <w:rPr>
          <w:rStyle w:val="45"/>
        </w:rPr>
        <w:footnoteRef/>
      </w:r>
      <w:r>
        <w:rPr>
          <w:rStyle w:val="45"/>
        </w:rPr>
        <w:t xml:space="preserve"> </w:t>
      </w:r>
      <w:r>
        <w:rPr>
          <w:rFonts w:hint="eastAsia"/>
          <w:sz w:val="21"/>
          <w:szCs w:val="21"/>
        </w:rPr>
        <w:t>施工图设计技术方案</w:t>
      </w:r>
      <w:r>
        <w:rPr>
          <w:sz w:val="21"/>
          <w:szCs w:val="21"/>
        </w:rPr>
        <w:t>采用标准图框A3幅面,单独装订成册。</w:t>
      </w:r>
    </w:p>
  </w:footnote>
  <w:footnote w:id="88">
    <w:p>
      <w:pPr>
        <w:pStyle w:val="27"/>
        <w:spacing w:line="300" w:lineRule="atLeast"/>
        <w:ind w:left="180" w:hanging="180" w:hangingChars="100"/>
        <w:rPr>
          <w:rFonts w:ascii="宋体-18030" w:hAnsi="宋体-18030" w:eastAsia="宋体-18030" w:cs="宋体-18030"/>
          <w:szCs w:val="18"/>
        </w:rPr>
      </w:pPr>
      <w:r>
        <w:rPr>
          <w:rStyle w:val="45"/>
          <w:rFonts w:ascii="宋体-18030" w:hAnsi="宋体-18030" w:eastAsia="宋体-18030" w:cs="宋体-18030"/>
          <w:szCs w:val="18"/>
        </w:rPr>
        <w:footnoteRef/>
      </w:r>
      <w:r>
        <w:rPr>
          <w:rFonts w:hint="eastAsia"/>
          <w:szCs w:val="18"/>
        </w:rPr>
        <w:t xml:space="preserve"> 招标人要求投标人提供银行信贷证明是为了避免投标人中标后因流动资金不足而影响工程施工，招标人可根据招标项目具体特点和实际情况选择是否要求投标人提供银行信贷证明。如采用银行信贷证明，</w:t>
      </w:r>
      <w:r>
        <w:rPr>
          <w:rFonts w:hint="eastAsia" w:ascii="宋体" w:hAnsi="宋体" w:cs="宋体-18030"/>
          <w:szCs w:val="18"/>
        </w:rPr>
        <w:t>招标人应在此规定开具信贷证明的银行级别。</w:t>
      </w:r>
    </w:p>
  </w:footnote>
  <w:footnote w:id="89">
    <w:p>
      <w:pPr>
        <w:pStyle w:val="27"/>
        <w:ind w:firstLine="0"/>
        <w:jc w:val="both"/>
        <w:rPr>
          <w:rFonts w:ascii="宋体" w:hAnsi="宋体"/>
          <w:szCs w:val="18"/>
        </w:rPr>
      </w:pPr>
      <w:r>
        <w:rPr>
          <w:rStyle w:val="45"/>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90">
    <w:p>
      <w:pPr>
        <w:pStyle w:val="27"/>
        <w:ind w:firstLine="0"/>
        <w:jc w:val="both"/>
        <w:rPr>
          <w:rFonts w:ascii="宋体" w:hAnsi="宋体"/>
          <w:szCs w:val="18"/>
        </w:rPr>
      </w:pPr>
      <w:r>
        <w:rPr>
          <w:rStyle w:val="45"/>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91">
    <w:p>
      <w:pPr>
        <w:pStyle w:val="27"/>
        <w:ind w:firstLine="0"/>
        <w:jc w:val="both"/>
        <w:rPr>
          <w:rFonts w:ascii="宋体" w:hAnsi="宋体"/>
          <w:sz w:val="21"/>
          <w:szCs w:val="21"/>
        </w:rPr>
      </w:pPr>
      <w:r>
        <w:rPr>
          <w:rStyle w:val="45"/>
          <w:rFonts w:ascii="宋体" w:hAnsi="宋体"/>
        </w:rPr>
        <w:footnoteRef/>
      </w:r>
      <w:r>
        <w:rPr>
          <w:rFonts w:hint="eastAsia" w:ascii="宋体" w:hAnsi="宋体"/>
          <w:szCs w:val="18"/>
        </w:rPr>
        <w:t xml:space="preserve"> 本表仅适用于特别复杂的特大桥梁和特长隧道项目主体工程以及其他有特殊要求的工程。</w:t>
      </w:r>
    </w:p>
  </w:footnote>
  <w:footnote w:id="92">
    <w:p>
      <w:pPr>
        <w:pStyle w:val="27"/>
        <w:ind w:firstLine="0"/>
        <w:jc w:val="both"/>
        <w:rPr>
          <w:rFonts w:ascii="宋体" w:hAnsi="宋体"/>
          <w:szCs w:val="18"/>
        </w:rPr>
      </w:pPr>
      <w:r>
        <w:rPr>
          <w:rStyle w:val="45"/>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93">
    <w:p>
      <w:pPr>
        <w:widowControl w:val="0"/>
        <w:adjustRightInd w:val="0"/>
        <w:snapToGrid w:val="0"/>
        <w:spacing w:line="420" w:lineRule="atLeast"/>
        <w:ind w:firstLine="454"/>
        <w:jc w:val="left"/>
        <w:textAlignment w:val="baseline"/>
        <w:rPr>
          <w:rFonts w:hint="default"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ascii="Times New Roman" w:hAnsi="Times New Roman" w:eastAsia="宋体" w:cs="Times New Roman"/>
          <w:kern w:val="0"/>
          <w:sz w:val="18"/>
          <w:szCs w:val="20"/>
          <w:lang w:val="zh-CN" w:eastAsia="zh-CN" w:bidi="ar-SA"/>
        </w:rPr>
        <w:t xml:space="preserve"> </w:t>
      </w:r>
      <w:r>
        <w:rPr>
          <w:rFonts w:hint="eastAsia" w:ascii="Times New Roman" w:hAnsi="Times New Roman" w:eastAsia="宋体" w:cs="Times New Roman"/>
          <w:kern w:val="0"/>
          <w:sz w:val="18"/>
          <w:szCs w:val="20"/>
          <w:lang w:val="en-US" w:eastAsia="zh-CN" w:bidi="ar-SA"/>
        </w:rPr>
        <w:t>若本次招标接受联合体投标，以联合体形式参与投标的投标人，联合体各成员应分别填写信息。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spacing w:beforeLines="0" w:afterLines="0"/>
      <w:rPr>
        <w:rFonts w:hint="eastAsia"/>
        <w:sz w:val="18"/>
        <w:szCs w:val="18"/>
      </w:rPr>
    </w:pPr>
  </w:p>
  <w:p>
    <w:pPr>
      <w:pStyle w:val="25"/>
      <w:spacing w:beforeLines="0" w:afterLines="0"/>
      <w:rPr>
        <w:rFonts w:hint="eastAsia"/>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opLinePunct/>
      <w:spacing w:line="240" w:lineRule="atLeast"/>
      <w:ind w:right="190"/>
      <w:rPr>
        <w:rFonts w:hint="eastAsia" w:eastAsia="宋体"/>
        <w:sz w:val="17"/>
        <w:szCs w:val="17"/>
        <w:lang w:eastAsia="zh-CN"/>
      </w:rPr>
    </w:pPr>
    <w:r>
      <w:rPr>
        <w:rStyle w:val="64"/>
        <w:rFonts w:hint="eastAsia" w:eastAsia="黑体"/>
        <w:b w:val="0"/>
        <w:bCs w:val="0"/>
        <w:kern w:val="10"/>
        <w:sz w:val="22"/>
        <w:szCs w:val="22"/>
        <w:lang w:eastAsia="zh-CN"/>
      </w:rPr>
      <w:t>辽宁省公路工程标准设计施工总承包电子招标文件（2023年版）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wordWrap w:val="0"/>
      <w:ind w:right="315"/>
      <w:jc w:val="right"/>
      <w:rPr>
        <w:sz w:val="17"/>
        <w:szCs w:val="17"/>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0"/>
      </w:pBdr>
      <w:spacing w:beforeLines="0" w:afterLines="0"/>
      <w:jc w:val="left"/>
      <w:rPr>
        <w:rFonts w:hint="eastAsia"/>
        <w:sz w:val="20"/>
        <w:szCs w:val="21"/>
      </w:rPr>
    </w:pPr>
    <w:r>
      <w:rPr>
        <w:rFonts w:hint="eastAsia" w:eastAsia="黑体"/>
        <w:sz w:val="20"/>
        <w:szCs w:val="21"/>
        <w:lang w:eastAsia="zh-CN"/>
      </w:rPr>
      <w:t>辽宁省公路工程标准设计施工总承包电子招标文件</w:t>
    </w:r>
    <w:r>
      <w:rPr>
        <w:rFonts w:hint="eastAsia" w:eastAsia="黑体"/>
        <w:sz w:val="20"/>
        <w:szCs w:val="21"/>
      </w:rPr>
      <w:t>（</w:t>
    </w:r>
    <w:r>
      <w:rPr>
        <w:rFonts w:hint="eastAsia" w:eastAsia="黑体"/>
        <w:sz w:val="20"/>
        <w:szCs w:val="21"/>
        <w:lang w:eastAsia="zh-CN"/>
      </w:rPr>
      <w:t>2025年版</w:t>
    </w:r>
    <w:r>
      <w:rPr>
        <w:rFonts w:hint="eastAsia" w:eastAsia="黑体"/>
        <w:sz w:val="20"/>
        <w:szCs w:val="21"/>
      </w:rPr>
      <w:t>）</w:t>
    </w:r>
  </w:p>
  <w:p>
    <w:pPr>
      <w:pStyle w:val="25"/>
      <w:wordWrap w:val="0"/>
      <w:ind w:right="315"/>
      <w:jc w:val="right"/>
      <w:rPr>
        <w:sz w:val="17"/>
        <w:szCs w:val="17"/>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single" w:color="auto" w:sz="4" w:space="0"/>
      </w:pBdr>
      <w:spacing w:beforeLines="0" w:afterLines="0"/>
      <w:jc w:val="left"/>
      <w:rPr>
        <w:rFonts w:hint="eastAsia"/>
        <w:sz w:val="20"/>
        <w:szCs w:val="21"/>
      </w:rPr>
    </w:pPr>
    <w:r>
      <w:rPr>
        <w:rFonts w:hint="eastAsia" w:eastAsia="黑体"/>
        <w:sz w:val="20"/>
        <w:szCs w:val="21"/>
        <w:lang w:eastAsia="zh-CN"/>
      </w:rPr>
      <w:t>辽宁省公路工程标准设计施工总承包电子招标文件</w:t>
    </w:r>
    <w:r>
      <w:rPr>
        <w:rFonts w:hint="eastAsia" w:eastAsia="黑体"/>
        <w:sz w:val="20"/>
        <w:szCs w:val="21"/>
      </w:rPr>
      <w:t>（</w:t>
    </w:r>
    <w:r>
      <w:rPr>
        <w:rFonts w:hint="eastAsia" w:eastAsia="黑体"/>
        <w:sz w:val="20"/>
        <w:szCs w:val="21"/>
        <w:lang w:eastAsia="zh-CN"/>
      </w:rPr>
      <w:t>2025年版</w:t>
    </w:r>
    <w:r>
      <w:rPr>
        <w:rFonts w:hint="eastAsia" w:eastAsia="黑体"/>
        <w:sz w:val="20"/>
        <w:szCs w:val="21"/>
      </w:rPr>
      <w:t>）</w:t>
    </w:r>
  </w:p>
  <w:p>
    <w:pPr>
      <w:pStyle w:val="2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rPr>
        <w:szCs w:val="17"/>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opLinePunct/>
      <w:spacing w:line="240" w:lineRule="atLeast"/>
      <w:ind w:right="190"/>
      <w:rPr>
        <w:rFonts w:hint="eastAsia" w:eastAsia="宋体"/>
        <w:sz w:val="17"/>
        <w:szCs w:val="17"/>
        <w:lang w:eastAsia="zh-CN"/>
      </w:rPr>
    </w:pPr>
    <w:r>
      <w:rPr>
        <w:rStyle w:val="64"/>
        <w:rFonts w:hint="eastAsia" w:eastAsia="黑体"/>
        <w:b w:val="0"/>
        <w:bCs w:val="0"/>
        <w:kern w:val="10"/>
        <w:sz w:val="22"/>
        <w:szCs w:val="22"/>
        <w:lang w:eastAsia="zh-CN"/>
      </w:rPr>
      <w:t>辽宁省公路工程标准设计施工总承包电子招标文件（2023年版）</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rPr>
        <w:szCs w:val="17"/>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rPr>
        <w:szCs w:val="17"/>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opLinePunct/>
      <w:spacing w:line="240" w:lineRule="atLeast"/>
      <w:ind w:right="190"/>
      <w:rPr>
        <w:rFonts w:hint="eastAsia" w:eastAsia="宋体"/>
        <w:sz w:val="17"/>
        <w:szCs w:val="17"/>
        <w:lang w:eastAsia="zh-CN"/>
      </w:rPr>
    </w:pPr>
    <w:r>
      <w:rPr>
        <w:rStyle w:val="64"/>
        <w:rFonts w:hint="eastAsia" w:eastAsia="黑体"/>
        <w:b w:val="0"/>
        <w:bCs w:val="0"/>
        <w:kern w:val="10"/>
        <w:sz w:val="22"/>
        <w:szCs w:val="22"/>
        <w:lang w:eastAsia="zh-CN"/>
      </w:rPr>
      <w:t>辽宁省公路工程标准设计施工总承包电子招标文件（2023年版）</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rPr>
        <w:szCs w:val="17"/>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opLinePunct/>
      <w:spacing w:line="240" w:lineRule="atLeast"/>
      <w:ind w:right="190"/>
      <w:rPr>
        <w:rFonts w:hint="eastAsia" w:eastAsia="宋体"/>
        <w:sz w:val="17"/>
        <w:szCs w:val="17"/>
        <w:lang w:eastAsia="zh-CN"/>
      </w:rPr>
    </w:pPr>
    <w:r>
      <w:rPr>
        <w:rStyle w:val="64"/>
        <w:rFonts w:hint="eastAsia" w:eastAsia="黑体"/>
        <w:b w:val="0"/>
        <w:bCs w:val="0"/>
        <w:kern w:val="10"/>
        <w:sz w:val="22"/>
        <w:szCs w:val="22"/>
        <w:lang w:eastAsia="zh-CN"/>
      </w:rPr>
      <w:t>辽宁省公路工程标准设计施工总承包电子招标文件（2023年版）</w:t>
    </w:r>
  </w:p>
  <w:p>
    <w:pPr>
      <w:pStyle w:val="25"/>
      <w:rPr>
        <w:szCs w:val="17"/>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rPr>
        <w:szCs w:val="17"/>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wordWrap w:val="0"/>
      <w:jc w:val="right"/>
      <w:rPr>
        <w:sz w:val="17"/>
        <w:szCs w:val="17"/>
      </w:rPr>
    </w:pPr>
    <w:r>
      <w:rPr>
        <w:sz w:val="19"/>
        <w:szCs w:val="19"/>
      </w:rPr>
      <mc:AlternateContent>
        <mc:Choice Requires="wps">
          <w:drawing>
            <wp:anchor distT="0" distB="0" distL="114300" distR="114300" simplePos="0" relativeHeight="251662336" behindDoc="0" locked="0" layoutInCell="1" allowOverlap="1">
              <wp:simplePos x="0" y="0"/>
              <wp:positionH relativeFrom="column">
                <wp:posOffset>-45720</wp:posOffset>
              </wp:positionH>
              <wp:positionV relativeFrom="paragraph">
                <wp:posOffset>175895</wp:posOffset>
              </wp:positionV>
              <wp:extent cx="5343525" cy="0"/>
              <wp:effectExtent l="0" t="22225" r="3175" b="28575"/>
              <wp:wrapNone/>
              <wp:docPr id="43" name="直接连接符 43"/>
              <wp:cNvGraphicFramePr/>
              <a:graphic xmlns:a="http://schemas.openxmlformats.org/drawingml/2006/main">
                <a:graphicData uri="http://schemas.microsoft.com/office/word/2010/wordprocessingShape">
                  <wps:wsp>
                    <wps:cNvCnPr/>
                    <wps:spPr>
                      <a:xfrm>
                        <a:off x="0" y="0"/>
                        <a:ext cx="5343525" cy="0"/>
                      </a:xfrm>
                      <a:prstGeom prst="line">
                        <a:avLst/>
                      </a:prstGeom>
                      <a:ln w="44450" cap="flat" cmpd="thickThin">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6pt;margin-top:13.85pt;height:0pt;width:420.75pt;z-index:251662336;mso-width-relative:page;mso-height-relative:page;" filled="f" stroked="t" coordsize="21600,21600" o:gfxdata="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CKVl97WAAAACAEAAA8AAAAAAAAAAQAgAAAAOAAAAGRycy9kb3ducmV2LnhtbFBLAQIUABQA&#10;AAAIAIdO4kBWM/nn3AEAAKEDAAAOAAAAAAAAAAEAIAAAADsBAABkcnMvZTJvRG9jLnhtbFBLBQYA&#10;AAAABgAGAFkBAACJBQAAAAA=&#10;">
              <v:fill on="f" focussize="0,0"/>
              <v:stroke weight="3.5pt" color="#000000" linestyle="thickThin" joinstyle="round"/>
              <v:imagedata o:title=""/>
              <o:lock v:ext="edit" aspectratio="f"/>
            </v:line>
          </w:pict>
        </mc:Fallback>
      </mc:AlternateContent>
    </w:r>
    <w:r>
      <w:rPr>
        <w:rFonts w:hint="eastAsia"/>
        <w:sz w:val="17"/>
        <w:szCs w:val="17"/>
      </w:rPr>
      <w:t xml:space="preserve">     </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opLinePunct/>
      <w:spacing w:line="240" w:lineRule="atLeast"/>
      <w:ind w:right="190"/>
      <w:rPr>
        <w:rFonts w:hint="eastAsia" w:eastAsia="宋体"/>
        <w:sz w:val="17"/>
        <w:szCs w:val="17"/>
        <w:lang w:eastAsia="zh-CN"/>
      </w:rPr>
    </w:pPr>
    <w:r>
      <w:rPr>
        <w:rStyle w:val="64"/>
        <w:rFonts w:hint="eastAsia" w:eastAsia="黑体"/>
        <w:b w:val="0"/>
        <w:bCs w:val="0"/>
        <w:kern w:val="10"/>
        <w:sz w:val="22"/>
        <w:szCs w:val="22"/>
        <w:lang w:eastAsia="zh-CN"/>
      </w:rPr>
      <w:t>辽宁省公路工程标准设计施工总承包电子招标文件（2023年版）</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wordWrap w:val="0"/>
      <w:topLinePunct/>
      <w:spacing w:line="240" w:lineRule="atLeast"/>
      <w:ind w:right="190"/>
      <w:jc w:val="right"/>
      <w:rPr>
        <w:sz w:val="17"/>
        <w:szCs w:val="17"/>
      </w:rPr>
    </w:pPr>
    <w:r>
      <w:rPr>
        <w:rStyle w:val="64"/>
        <w:rFonts w:hint="eastAsia" w:eastAsia="黑体"/>
        <w:b w:val="0"/>
        <w:bCs w:val="0"/>
        <w:kern w:val="10"/>
        <w:sz w:val="22"/>
        <w:szCs w:val="22"/>
      </w:rPr>
      <w:t>附录  采用电子招标投标条款示例</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94D4F"/>
    <w:multiLevelType w:val="multilevel"/>
    <w:tmpl w:val="00794D4F"/>
    <w:lvl w:ilvl="0" w:tentative="0">
      <w:start w:val="1"/>
      <w:numFmt w:val="decimal"/>
      <w:lvlText w:val="%1"/>
      <w:lvlJc w:val="left"/>
      <w:pPr>
        <w:ind w:left="844" w:hanging="420"/>
      </w:pPr>
      <w:rPr>
        <w:rFonts w:hint="default"/>
        <w:lang w:val="zh-CN" w:eastAsia="zh-CN" w:bidi="zh-CN"/>
      </w:rPr>
    </w:lvl>
    <w:lvl w:ilvl="1" w:tentative="0">
      <w:start w:val="4"/>
      <w:numFmt w:val="decimal"/>
      <w:lvlText w:val="%1.%2"/>
      <w:lvlJc w:val="left"/>
      <w:pPr>
        <w:ind w:left="844" w:hanging="420"/>
      </w:pPr>
      <w:rPr>
        <w:rFonts w:hint="default" w:ascii="Times New Roman" w:hAnsi="Times New Roman" w:eastAsia="Times New Roman" w:cs="Times New Roman"/>
        <w:spacing w:val="-1"/>
        <w:w w:val="100"/>
        <w:sz w:val="24"/>
        <w:szCs w:val="24"/>
        <w:lang w:val="zh-CN" w:eastAsia="zh-CN" w:bidi="zh-CN"/>
      </w:rPr>
    </w:lvl>
    <w:lvl w:ilvl="2" w:tentative="0">
      <w:start w:val="1"/>
      <w:numFmt w:val="decimal"/>
      <w:lvlText w:val="%1.%2.%3"/>
      <w:lvlJc w:val="left"/>
      <w:pPr>
        <w:ind w:left="1504" w:hanging="600"/>
      </w:pPr>
      <w:rPr>
        <w:rFonts w:hint="default" w:ascii="Times New Roman" w:hAnsi="Times New Roman" w:eastAsia="Times New Roman" w:cs="Times New Roman"/>
        <w:w w:val="100"/>
        <w:sz w:val="24"/>
        <w:szCs w:val="24"/>
        <w:lang w:val="zh-CN" w:eastAsia="zh-CN" w:bidi="zh-CN"/>
      </w:rPr>
    </w:lvl>
    <w:lvl w:ilvl="3" w:tentative="0">
      <w:start w:val="0"/>
      <w:numFmt w:val="bullet"/>
      <w:lvlText w:val="•"/>
      <w:lvlJc w:val="left"/>
      <w:pPr>
        <w:ind w:left="3274" w:hanging="600"/>
      </w:pPr>
      <w:rPr>
        <w:rFonts w:hint="default"/>
        <w:lang w:val="zh-CN" w:eastAsia="zh-CN" w:bidi="zh-CN"/>
      </w:rPr>
    </w:lvl>
    <w:lvl w:ilvl="4" w:tentative="0">
      <w:start w:val="0"/>
      <w:numFmt w:val="bullet"/>
      <w:lvlText w:val="•"/>
      <w:lvlJc w:val="left"/>
      <w:pPr>
        <w:ind w:left="4162" w:hanging="600"/>
      </w:pPr>
      <w:rPr>
        <w:rFonts w:hint="default"/>
        <w:lang w:val="zh-CN" w:eastAsia="zh-CN" w:bidi="zh-CN"/>
      </w:rPr>
    </w:lvl>
    <w:lvl w:ilvl="5" w:tentative="0">
      <w:start w:val="0"/>
      <w:numFmt w:val="bullet"/>
      <w:lvlText w:val="•"/>
      <w:lvlJc w:val="left"/>
      <w:pPr>
        <w:ind w:left="5049" w:hanging="600"/>
      </w:pPr>
      <w:rPr>
        <w:rFonts w:hint="default"/>
        <w:lang w:val="zh-CN" w:eastAsia="zh-CN" w:bidi="zh-CN"/>
      </w:rPr>
    </w:lvl>
    <w:lvl w:ilvl="6" w:tentative="0">
      <w:start w:val="0"/>
      <w:numFmt w:val="bullet"/>
      <w:lvlText w:val="•"/>
      <w:lvlJc w:val="left"/>
      <w:pPr>
        <w:ind w:left="5936" w:hanging="600"/>
      </w:pPr>
      <w:rPr>
        <w:rFonts w:hint="default"/>
        <w:lang w:val="zh-CN" w:eastAsia="zh-CN" w:bidi="zh-CN"/>
      </w:rPr>
    </w:lvl>
    <w:lvl w:ilvl="7" w:tentative="0">
      <w:start w:val="0"/>
      <w:numFmt w:val="bullet"/>
      <w:lvlText w:val="•"/>
      <w:lvlJc w:val="left"/>
      <w:pPr>
        <w:ind w:left="6824" w:hanging="600"/>
      </w:pPr>
      <w:rPr>
        <w:rFonts w:hint="default"/>
        <w:lang w:val="zh-CN" w:eastAsia="zh-CN" w:bidi="zh-CN"/>
      </w:rPr>
    </w:lvl>
    <w:lvl w:ilvl="8" w:tentative="0">
      <w:start w:val="0"/>
      <w:numFmt w:val="bullet"/>
      <w:lvlText w:val="•"/>
      <w:lvlJc w:val="left"/>
      <w:pPr>
        <w:ind w:left="7711" w:hanging="600"/>
      </w:pPr>
      <w:rPr>
        <w:rFonts w:hint="default"/>
        <w:lang w:val="zh-CN" w:eastAsia="zh-CN" w:bidi="zh-CN"/>
      </w:rPr>
    </w:lvl>
  </w:abstractNum>
  <w:abstractNum w:abstractNumId="1">
    <w:nsid w:val="02483CAC"/>
    <w:multiLevelType w:val="multilevel"/>
    <w:tmpl w:val="02483CAC"/>
    <w:lvl w:ilvl="0" w:tentative="0">
      <w:start w:val="4"/>
      <w:numFmt w:val="decimal"/>
      <w:lvlText w:val="%1"/>
      <w:lvlJc w:val="left"/>
      <w:pPr>
        <w:ind w:left="844" w:hanging="420"/>
      </w:pPr>
      <w:rPr>
        <w:rFonts w:hint="default"/>
        <w:lang w:val="zh-CN" w:eastAsia="zh-CN" w:bidi="zh-CN"/>
      </w:rPr>
    </w:lvl>
    <w:lvl w:ilvl="1" w:tentative="0">
      <w:start w:val="9"/>
      <w:numFmt w:val="decimal"/>
      <w:lvlText w:val="%1.%2"/>
      <w:lvlJc w:val="left"/>
      <w:pPr>
        <w:ind w:left="844" w:hanging="420"/>
      </w:pPr>
      <w:rPr>
        <w:rFonts w:hint="default" w:ascii="Times New Roman" w:hAnsi="Times New Roman" w:eastAsia="Times New Roman" w:cs="Times New Roman"/>
        <w:spacing w:val="-1"/>
        <w:w w:val="100"/>
        <w:sz w:val="24"/>
        <w:szCs w:val="24"/>
        <w:lang w:val="zh-CN" w:eastAsia="zh-CN" w:bidi="zh-CN"/>
      </w:rPr>
    </w:lvl>
    <w:lvl w:ilvl="2" w:tentative="0">
      <w:start w:val="2"/>
      <w:numFmt w:val="decimal"/>
      <w:lvlText w:val="%1.%2.%3"/>
      <w:lvlJc w:val="left"/>
      <w:pPr>
        <w:ind w:left="424" w:hanging="713"/>
      </w:pPr>
      <w:rPr>
        <w:rFonts w:hint="default" w:ascii="Times New Roman" w:hAnsi="Times New Roman" w:eastAsia="Times New Roman" w:cs="Times New Roman"/>
        <w:spacing w:val="-61"/>
        <w:w w:val="100"/>
        <w:sz w:val="24"/>
        <w:szCs w:val="24"/>
        <w:lang w:val="zh-CN" w:eastAsia="zh-CN" w:bidi="zh-CN"/>
      </w:rPr>
    </w:lvl>
    <w:lvl w:ilvl="3" w:tentative="0">
      <w:start w:val="0"/>
      <w:numFmt w:val="bullet"/>
      <w:lvlText w:val="•"/>
      <w:lvlJc w:val="left"/>
      <w:pPr>
        <w:ind w:left="2761" w:hanging="713"/>
      </w:pPr>
      <w:rPr>
        <w:rFonts w:hint="default"/>
        <w:lang w:val="zh-CN" w:eastAsia="zh-CN" w:bidi="zh-CN"/>
      </w:rPr>
    </w:lvl>
    <w:lvl w:ilvl="4" w:tentative="0">
      <w:start w:val="0"/>
      <w:numFmt w:val="bullet"/>
      <w:lvlText w:val="•"/>
      <w:lvlJc w:val="left"/>
      <w:pPr>
        <w:ind w:left="3722" w:hanging="713"/>
      </w:pPr>
      <w:rPr>
        <w:rFonts w:hint="default"/>
        <w:lang w:val="zh-CN" w:eastAsia="zh-CN" w:bidi="zh-CN"/>
      </w:rPr>
    </w:lvl>
    <w:lvl w:ilvl="5" w:tentative="0">
      <w:start w:val="0"/>
      <w:numFmt w:val="bullet"/>
      <w:lvlText w:val="•"/>
      <w:lvlJc w:val="left"/>
      <w:pPr>
        <w:ind w:left="4682" w:hanging="713"/>
      </w:pPr>
      <w:rPr>
        <w:rFonts w:hint="default"/>
        <w:lang w:val="zh-CN" w:eastAsia="zh-CN" w:bidi="zh-CN"/>
      </w:rPr>
    </w:lvl>
    <w:lvl w:ilvl="6" w:tentative="0">
      <w:start w:val="0"/>
      <w:numFmt w:val="bullet"/>
      <w:lvlText w:val="•"/>
      <w:lvlJc w:val="left"/>
      <w:pPr>
        <w:ind w:left="5643" w:hanging="713"/>
      </w:pPr>
      <w:rPr>
        <w:rFonts w:hint="default"/>
        <w:lang w:val="zh-CN" w:eastAsia="zh-CN" w:bidi="zh-CN"/>
      </w:rPr>
    </w:lvl>
    <w:lvl w:ilvl="7" w:tentative="0">
      <w:start w:val="0"/>
      <w:numFmt w:val="bullet"/>
      <w:lvlText w:val="•"/>
      <w:lvlJc w:val="left"/>
      <w:pPr>
        <w:ind w:left="6604" w:hanging="713"/>
      </w:pPr>
      <w:rPr>
        <w:rFonts w:hint="default"/>
        <w:lang w:val="zh-CN" w:eastAsia="zh-CN" w:bidi="zh-CN"/>
      </w:rPr>
    </w:lvl>
    <w:lvl w:ilvl="8" w:tentative="0">
      <w:start w:val="0"/>
      <w:numFmt w:val="bullet"/>
      <w:lvlText w:val="•"/>
      <w:lvlJc w:val="left"/>
      <w:pPr>
        <w:ind w:left="7564" w:hanging="713"/>
      </w:pPr>
      <w:rPr>
        <w:rFonts w:hint="default"/>
        <w:lang w:val="zh-CN" w:eastAsia="zh-CN" w:bidi="zh-CN"/>
      </w:rPr>
    </w:lvl>
  </w:abstractNum>
  <w:abstractNum w:abstractNumId="2">
    <w:nsid w:val="15977322"/>
    <w:multiLevelType w:val="multilevel"/>
    <w:tmpl w:val="15977322"/>
    <w:lvl w:ilvl="0" w:tentative="0">
      <w:start w:val="1"/>
      <w:numFmt w:val="decimal"/>
      <w:lvlText w:val="%1"/>
      <w:lvlJc w:val="left"/>
      <w:pPr>
        <w:ind w:left="844" w:hanging="420"/>
      </w:pPr>
      <w:rPr>
        <w:rFonts w:hint="default"/>
      </w:rPr>
    </w:lvl>
    <w:lvl w:ilvl="1" w:tentative="0">
      <w:start w:val="6"/>
      <w:numFmt w:val="decimal"/>
      <w:lvlText w:val="%1.%2"/>
      <w:lvlJc w:val="left"/>
      <w:pPr>
        <w:ind w:left="844" w:hanging="420"/>
      </w:pPr>
      <w:rPr>
        <w:rFonts w:hint="default" w:ascii="Times New Roman" w:hAnsi="Times New Roman" w:eastAsia="宋体" w:cs="Times New Roman"/>
        <w:spacing w:val="-1"/>
        <w:w w:val="100"/>
        <w:sz w:val="24"/>
        <w:szCs w:val="24"/>
      </w:rPr>
    </w:lvl>
    <w:lvl w:ilvl="2" w:tentative="0">
      <w:start w:val="1"/>
      <w:numFmt w:val="decimal"/>
      <w:lvlText w:val="%1.%2.%3"/>
      <w:lvlJc w:val="left"/>
      <w:pPr>
        <w:ind w:left="1504" w:hanging="600"/>
      </w:pPr>
      <w:rPr>
        <w:rFonts w:hint="default" w:ascii="Times New Roman" w:hAnsi="Times New Roman" w:eastAsia="宋体" w:cs="Times New Roman"/>
        <w:w w:val="100"/>
        <w:sz w:val="24"/>
        <w:szCs w:val="24"/>
      </w:rPr>
    </w:lvl>
    <w:lvl w:ilvl="3" w:tentative="0">
      <w:start w:val="0"/>
      <w:numFmt w:val="bullet"/>
      <w:lvlText w:val="•"/>
      <w:lvlJc w:val="left"/>
      <w:pPr>
        <w:ind w:left="3274" w:hanging="600"/>
      </w:pPr>
      <w:rPr>
        <w:rFonts w:hint="default"/>
      </w:rPr>
    </w:lvl>
    <w:lvl w:ilvl="4" w:tentative="0">
      <w:start w:val="0"/>
      <w:numFmt w:val="bullet"/>
      <w:lvlText w:val="•"/>
      <w:lvlJc w:val="left"/>
      <w:pPr>
        <w:ind w:left="4162" w:hanging="600"/>
      </w:pPr>
      <w:rPr>
        <w:rFonts w:hint="default"/>
      </w:rPr>
    </w:lvl>
    <w:lvl w:ilvl="5" w:tentative="0">
      <w:start w:val="0"/>
      <w:numFmt w:val="bullet"/>
      <w:lvlText w:val="•"/>
      <w:lvlJc w:val="left"/>
      <w:pPr>
        <w:ind w:left="5049" w:hanging="600"/>
      </w:pPr>
      <w:rPr>
        <w:rFonts w:hint="default"/>
      </w:rPr>
    </w:lvl>
    <w:lvl w:ilvl="6" w:tentative="0">
      <w:start w:val="0"/>
      <w:numFmt w:val="bullet"/>
      <w:lvlText w:val="•"/>
      <w:lvlJc w:val="left"/>
      <w:pPr>
        <w:ind w:left="5936" w:hanging="600"/>
      </w:pPr>
      <w:rPr>
        <w:rFonts w:hint="default"/>
      </w:rPr>
    </w:lvl>
    <w:lvl w:ilvl="7" w:tentative="0">
      <w:start w:val="0"/>
      <w:numFmt w:val="bullet"/>
      <w:lvlText w:val="•"/>
      <w:lvlJc w:val="left"/>
      <w:pPr>
        <w:ind w:left="6824" w:hanging="600"/>
      </w:pPr>
      <w:rPr>
        <w:rFonts w:hint="default"/>
      </w:rPr>
    </w:lvl>
    <w:lvl w:ilvl="8" w:tentative="0">
      <w:start w:val="0"/>
      <w:numFmt w:val="bullet"/>
      <w:lvlText w:val="•"/>
      <w:lvlJc w:val="left"/>
      <w:pPr>
        <w:ind w:left="7711" w:hanging="600"/>
      </w:pPr>
      <w:rPr>
        <w:rFonts w:hint="default"/>
      </w:rPr>
    </w:lvl>
  </w:abstractNum>
  <w:abstractNum w:abstractNumId="3">
    <w:nsid w:val="288367C9"/>
    <w:multiLevelType w:val="multilevel"/>
    <w:tmpl w:val="288367C9"/>
    <w:lvl w:ilvl="0" w:tentative="0">
      <w:start w:val="1"/>
      <w:numFmt w:val="decimal"/>
      <w:lvlText w:val="%1"/>
      <w:lvlJc w:val="left"/>
      <w:pPr>
        <w:ind w:left="1494" w:hanging="600"/>
      </w:pPr>
      <w:rPr>
        <w:rFonts w:hint="default"/>
        <w:lang w:val="zh-CN" w:eastAsia="zh-CN" w:bidi="zh-CN"/>
      </w:rPr>
    </w:lvl>
    <w:lvl w:ilvl="1" w:tentative="0">
      <w:start w:val="1"/>
      <w:numFmt w:val="decimal"/>
      <w:lvlText w:val="%1.%2"/>
      <w:lvlJc w:val="left"/>
      <w:pPr>
        <w:ind w:left="1494" w:hanging="600"/>
      </w:pPr>
      <w:rPr>
        <w:rFonts w:hint="default"/>
        <w:lang w:val="zh-CN" w:eastAsia="zh-CN" w:bidi="zh-CN"/>
      </w:rPr>
    </w:lvl>
    <w:lvl w:ilvl="2" w:tentative="0">
      <w:start w:val="6"/>
      <w:numFmt w:val="decimal"/>
      <w:lvlText w:val="%1.%2.%3"/>
      <w:lvlJc w:val="left"/>
      <w:pPr>
        <w:ind w:left="1494" w:hanging="600"/>
      </w:pPr>
      <w:rPr>
        <w:rFonts w:hint="default" w:ascii="Times New Roman" w:hAnsi="Times New Roman" w:eastAsia="Times New Roman" w:cs="Times New Roman"/>
        <w:w w:val="100"/>
        <w:sz w:val="24"/>
        <w:szCs w:val="24"/>
        <w:lang w:val="zh-CN" w:eastAsia="zh-CN" w:bidi="zh-CN"/>
      </w:rPr>
    </w:lvl>
    <w:lvl w:ilvl="3" w:tentative="0">
      <w:start w:val="2"/>
      <w:numFmt w:val="decimal"/>
      <w:lvlText w:val="%1.%2.%3.%4"/>
      <w:lvlJc w:val="left"/>
      <w:pPr>
        <w:ind w:left="424" w:hanging="780"/>
      </w:pPr>
      <w:rPr>
        <w:rFonts w:hint="default" w:ascii="Times New Roman" w:hAnsi="Times New Roman" w:eastAsia="Times New Roman" w:cs="Times New Roman"/>
        <w:spacing w:val="-5"/>
        <w:w w:val="100"/>
        <w:sz w:val="24"/>
        <w:szCs w:val="24"/>
        <w:lang w:eastAsia="zh-CN" w:bidi="zh-CN"/>
      </w:rPr>
    </w:lvl>
    <w:lvl w:ilvl="4" w:tentative="0">
      <w:start w:val="0"/>
      <w:numFmt w:val="bullet"/>
      <w:lvlText w:val="•"/>
      <w:lvlJc w:val="left"/>
      <w:pPr>
        <w:ind w:left="4162" w:hanging="780"/>
      </w:pPr>
      <w:rPr>
        <w:rFonts w:hint="default"/>
        <w:lang w:val="zh-CN" w:eastAsia="zh-CN" w:bidi="zh-CN"/>
      </w:rPr>
    </w:lvl>
    <w:lvl w:ilvl="5" w:tentative="0">
      <w:start w:val="0"/>
      <w:numFmt w:val="bullet"/>
      <w:lvlText w:val="•"/>
      <w:lvlJc w:val="left"/>
      <w:pPr>
        <w:ind w:left="5049" w:hanging="780"/>
      </w:pPr>
      <w:rPr>
        <w:rFonts w:hint="default"/>
        <w:lang w:val="zh-CN" w:eastAsia="zh-CN" w:bidi="zh-CN"/>
      </w:rPr>
    </w:lvl>
    <w:lvl w:ilvl="6" w:tentative="0">
      <w:start w:val="0"/>
      <w:numFmt w:val="bullet"/>
      <w:lvlText w:val="•"/>
      <w:lvlJc w:val="left"/>
      <w:pPr>
        <w:ind w:left="5936" w:hanging="780"/>
      </w:pPr>
      <w:rPr>
        <w:rFonts w:hint="default"/>
        <w:lang w:val="zh-CN" w:eastAsia="zh-CN" w:bidi="zh-CN"/>
      </w:rPr>
    </w:lvl>
    <w:lvl w:ilvl="7" w:tentative="0">
      <w:start w:val="0"/>
      <w:numFmt w:val="bullet"/>
      <w:lvlText w:val="•"/>
      <w:lvlJc w:val="left"/>
      <w:pPr>
        <w:ind w:left="6824" w:hanging="780"/>
      </w:pPr>
      <w:rPr>
        <w:rFonts w:hint="default"/>
        <w:lang w:val="zh-CN" w:eastAsia="zh-CN" w:bidi="zh-CN"/>
      </w:rPr>
    </w:lvl>
    <w:lvl w:ilvl="8" w:tentative="0">
      <w:start w:val="0"/>
      <w:numFmt w:val="bullet"/>
      <w:lvlText w:val="•"/>
      <w:lvlJc w:val="left"/>
      <w:pPr>
        <w:ind w:left="7711" w:hanging="780"/>
      </w:pPr>
      <w:rPr>
        <w:rFonts w:hint="default"/>
        <w:lang w:val="zh-CN" w:eastAsia="zh-CN" w:bidi="zh-CN"/>
      </w:rPr>
    </w:lvl>
  </w:abstractNum>
  <w:abstractNum w:abstractNumId="4">
    <w:nsid w:val="293C1733"/>
    <w:multiLevelType w:val="multilevel"/>
    <w:tmpl w:val="293C1733"/>
    <w:lvl w:ilvl="0" w:tentative="0">
      <w:start w:val="4"/>
      <w:numFmt w:val="decimal"/>
      <w:lvlText w:val="%1"/>
      <w:lvlJc w:val="left"/>
      <w:pPr>
        <w:ind w:left="844" w:hanging="420"/>
      </w:pPr>
      <w:rPr>
        <w:rFonts w:hint="default"/>
      </w:rPr>
    </w:lvl>
    <w:lvl w:ilvl="1" w:tentative="0">
      <w:start w:val="14"/>
      <w:numFmt w:val="decimal"/>
      <w:lvlText w:val="%1.%2"/>
      <w:lvlJc w:val="left"/>
      <w:pPr>
        <w:ind w:left="703" w:hanging="420"/>
      </w:pPr>
      <w:rPr>
        <w:rFonts w:hint="default" w:ascii="Times New Roman" w:hAnsi="Times New Roman" w:eastAsia="宋体" w:cs="Times New Roman"/>
        <w:spacing w:val="-1"/>
        <w:w w:val="100"/>
        <w:sz w:val="24"/>
        <w:szCs w:val="24"/>
      </w:rPr>
    </w:lvl>
    <w:lvl w:ilvl="2" w:tentative="0">
      <w:start w:val="2"/>
      <w:numFmt w:val="decimal"/>
      <w:lvlText w:val="%1.%2.%3"/>
      <w:lvlJc w:val="left"/>
      <w:pPr>
        <w:ind w:left="424" w:hanging="713"/>
      </w:pPr>
      <w:rPr>
        <w:rFonts w:hint="default" w:ascii="Times New Roman" w:hAnsi="Times New Roman" w:eastAsia="宋体" w:cs="Times New Roman"/>
        <w:spacing w:val="-61"/>
        <w:w w:val="100"/>
        <w:sz w:val="24"/>
        <w:szCs w:val="24"/>
      </w:rPr>
    </w:lvl>
    <w:lvl w:ilvl="3" w:tentative="0">
      <w:start w:val="0"/>
      <w:numFmt w:val="bullet"/>
      <w:lvlText w:val="•"/>
      <w:lvlJc w:val="left"/>
      <w:pPr>
        <w:ind w:left="2761" w:hanging="713"/>
      </w:pPr>
      <w:rPr>
        <w:rFonts w:hint="default"/>
      </w:rPr>
    </w:lvl>
    <w:lvl w:ilvl="4" w:tentative="0">
      <w:start w:val="0"/>
      <w:numFmt w:val="bullet"/>
      <w:lvlText w:val="•"/>
      <w:lvlJc w:val="left"/>
      <w:pPr>
        <w:ind w:left="3722" w:hanging="713"/>
      </w:pPr>
      <w:rPr>
        <w:rFonts w:hint="default"/>
      </w:rPr>
    </w:lvl>
    <w:lvl w:ilvl="5" w:tentative="0">
      <w:start w:val="0"/>
      <w:numFmt w:val="bullet"/>
      <w:lvlText w:val="•"/>
      <w:lvlJc w:val="left"/>
      <w:pPr>
        <w:ind w:left="4682" w:hanging="713"/>
      </w:pPr>
      <w:rPr>
        <w:rFonts w:hint="default"/>
      </w:rPr>
    </w:lvl>
    <w:lvl w:ilvl="6" w:tentative="0">
      <w:start w:val="0"/>
      <w:numFmt w:val="bullet"/>
      <w:lvlText w:val="•"/>
      <w:lvlJc w:val="left"/>
      <w:pPr>
        <w:ind w:left="5643" w:hanging="713"/>
      </w:pPr>
      <w:rPr>
        <w:rFonts w:hint="default"/>
      </w:rPr>
    </w:lvl>
    <w:lvl w:ilvl="7" w:tentative="0">
      <w:start w:val="0"/>
      <w:numFmt w:val="bullet"/>
      <w:lvlText w:val="•"/>
      <w:lvlJc w:val="left"/>
      <w:pPr>
        <w:ind w:left="6604" w:hanging="713"/>
      </w:pPr>
      <w:rPr>
        <w:rFonts w:hint="default"/>
      </w:rPr>
    </w:lvl>
    <w:lvl w:ilvl="8" w:tentative="0">
      <w:start w:val="0"/>
      <w:numFmt w:val="bullet"/>
      <w:lvlText w:val="•"/>
      <w:lvlJc w:val="left"/>
      <w:pPr>
        <w:ind w:left="7564" w:hanging="713"/>
      </w:pPr>
      <w:rPr>
        <w:rFonts w:hint="default"/>
      </w:rPr>
    </w:lvl>
  </w:abstractNum>
  <w:abstractNum w:abstractNumId="5">
    <w:nsid w:val="342642ED"/>
    <w:multiLevelType w:val="multilevel"/>
    <w:tmpl w:val="342642ED"/>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FDB733C"/>
    <w:multiLevelType w:val="multilevel"/>
    <w:tmpl w:val="3FDB733C"/>
    <w:lvl w:ilvl="0" w:tentative="0">
      <w:start w:val="4"/>
      <w:numFmt w:val="decimal"/>
      <w:lvlText w:val="%1"/>
      <w:lvlJc w:val="left"/>
      <w:pPr>
        <w:ind w:left="844" w:hanging="420"/>
      </w:pPr>
      <w:rPr>
        <w:rFonts w:hint="default"/>
        <w:lang w:val="zh-CN" w:eastAsia="zh-CN" w:bidi="zh-CN"/>
      </w:rPr>
    </w:lvl>
    <w:lvl w:ilvl="1" w:tentative="0">
      <w:start w:val="6"/>
      <w:numFmt w:val="decimal"/>
      <w:lvlText w:val="%1.%2"/>
      <w:lvlJc w:val="left"/>
      <w:pPr>
        <w:ind w:left="844" w:hanging="420"/>
      </w:pPr>
      <w:rPr>
        <w:rFonts w:hint="default" w:ascii="Times New Roman" w:hAnsi="Times New Roman" w:eastAsia="Times New Roman" w:cs="Times New Roman"/>
        <w:spacing w:val="-1"/>
        <w:w w:val="100"/>
        <w:sz w:val="24"/>
        <w:szCs w:val="24"/>
        <w:lang w:val="zh-CN" w:eastAsia="zh-CN" w:bidi="zh-CN"/>
      </w:rPr>
    </w:lvl>
    <w:lvl w:ilvl="2" w:tentative="0">
      <w:start w:val="0"/>
      <w:numFmt w:val="bullet"/>
      <w:lvlText w:val="•"/>
      <w:lvlJc w:val="left"/>
      <w:pPr>
        <w:ind w:left="1800" w:hanging="420"/>
      </w:pPr>
      <w:rPr>
        <w:rFonts w:hint="default"/>
        <w:lang w:val="zh-CN" w:eastAsia="zh-CN" w:bidi="zh-CN"/>
      </w:rPr>
    </w:lvl>
    <w:lvl w:ilvl="3" w:tentative="0">
      <w:start w:val="0"/>
      <w:numFmt w:val="bullet"/>
      <w:lvlText w:val="•"/>
      <w:lvlJc w:val="left"/>
      <w:pPr>
        <w:ind w:left="2761" w:hanging="420"/>
      </w:pPr>
      <w:rPr>
        <w:rFonts w:hint="default"/>
        <w:lang w:val="zh-CN" w:eastAsia="zh-CN" w:bidi="zh-CN"/>
      </w:rPr>
    </w:lvl>
    <w:lvl w:ilvl="4" w:tentative="0">
      <w:start w:val="0"/>
      <w:numFmt w:val="bullet"/>
      <w:lvlText w:val="•"/>
      <w:lvlJc w:val="left"/>
      <w:pPr>
        <w:ind w:left="3722" w:hanging="420"/>
      </w:pPr>
      <w:rPr>
        <w:rFonts w:hint="default"/>
        <w:lang w:val="zh-CN" w:eastAsia="zh-CN" w:bidi="zh-CN"/>
      </w:rPr>
    </w:lvl>
    <w:lvl w:ilvl="5" w:tentative="0">
      <w:start w:val="0"/>
      <w:numFmt w:val="bullet"/>
      <w:lvlText w:val="•"/>
      <w:lvlJc w:val="left"/>
      <w:pPr>
        <w:ind w:left="4682" w:hanging="420"/>
      </w:pPr>
      <w:rPr>
        <w:rFonts w:hint="default"/>
        <w:lang w:val="zh-CN" w:eastAsia="zh-CN" w:bidi="zh-CN"/>
      </w:rPr>
    </w:lvl>
    <w:lvl w:ilvl="6" w:tentative="0">
      <w:start w:val="0"/>
      <w:numFmt w:val="bullet"/>
      <w:lvlText w:val="•"/>
      <w:lvlJc w:val="left"/>
      <w:pPr>
        <w:ind w:left="5643" w:hanging="420"/>
      </w:pPr>
      <w:rPr>
        <w:rFonts w:hint="default"/>
        <w:lang w:val="zh-CN" w:eastAsia="zh-CN" w:bidi="zh-CN"/>
      </w:rPr>
    </w:lvl>
    <w:lvl w:ilvl="7" w:tentative="0">
      <w:start w:val="0"/>
      <w:numFmt w:val="bullet"/>
      <w:lvlText w:val="•"/>
      <w:lvlJc w:val="left"/>
      <w:pPr>
        <w:ind w:left="6604" w:hanging="420"/>
      </w:pPr>
      <w:rPr>
        <w:rFonts w:hint="default"/>
        <w:lang w:val="zh-CN" w:eastAsia="zh-CN" w:bidi="zh-CN"/>
      </w:rPr>
    </w:lvl>
    <w:lvl w:ilvl="8" w:tentative="0">
      <w:start w:val="0"/>
      <w:numFmt w:val="bullet"/>
      <w:lvlText w:val="•"/>
      <w:lvlJc w:val="left"/>
      <w:pPr>
        <w:ind w:left="7564" w:hanging="420"/>
      </w:pPr>
      <w:rPr>
        <w:rFonts w:hint="default"/>
        <w:lang w:val="zh-CN" w:eastAsia="zh-CN" w:bidi="zh-CN"/>
      </w:rPr>
    </w:lvl>
  </w:abstractNum>
  <w:abstractNum w:abstractNumId="7">
    <w:nsid w:val="486D31D2"/>
    <w:multiLevelType w:val="multilevel"/>
    <w:tmpl w:val="486D31D2"/>
    <w:lvl w:ilvl="0" w:tentative="0">
      <w:start w:val="1"/>
      <w:numFmt w:val="decimal"/>
      <w:lvlText w:val="%1."/>
      <w:lvlJc w:val="left"/>
      <w:pPr>
        <w:ind w:left="777" w:hanging="351"/>
      </w:pPr>
      <w:rPr>
        <w:rFonts w:hint="default" w:ascii="Times New Roman" w:hAnsi="Times New Roman" w:eastAsia="Times New Roman" w:cs="Times New Roman"/>
        <w:w w:val="100"/>
        <w:sz w:val="28"/>
        <w:szCs w:val="28"/>
        <w:lang w:val="zh-CN" w:eastAsia="zh-CN" w:bidi="zh-CN"/>
      </w:rPr>
    </w:lvl>
    <w:lvl w:ilvl="1" w:tentative="0">
      <w:start w:val="1"/>
      <w:numFmt w:val="decimal"/>
      <w:lvlText w:val="%1.%2"/>
      <w:lvlJc w:val="left"/>
      <w:pPr>
        <w:ind w:left="844" w:hanging="420"/>
      </w:pPr>
      <w:rPr>
        <w:rFonts w:hint="default" w:ascii="Times New Roman" w:hAnsi="Times New Roman" w:eastAsia="Times New Roman" w:cs="Times New Roman"/>
        <w:spacing w:val="-1"/>
        <w:w w:val="100"/>
        <w:sz w:val="24"/>
        <w:szCs w:val="24"/>
        <w:lang w:val="zh-CN" w:eastAsia="zh-CN" w:bidi="zh-CN"/>
      </w:rPr>
    </w:lvl>
    <w:lvl w:ilvl="2" w:tentative="0">
      <w:start w:val="2"/>
      <w:numFmt w:val="decimal"/>
      <w:lvlText w:val="%1.%2.%3"/>
      <w:lvlJc w:val="left"/>
      <w:pPr>
        <w:ind w:left="1504" w:hanging="600"/>
      </w:pPr>
      <w:rPr>
        <w:rFonts w:hint="default" w:ascii="Times New Roman" w:hAnsi="Times New Roman" w:eastAsia="Times New Roman" w:cs="Times New Roman"/>
        <w:w w:val="100"/>
        <w:sz w:val="24"/>
        <w:szCs w:val="24"/>
        <w:lang w:val="zh-CN" w:eastAsia="zh-CN" w:bidi="zh-CN"/>
      </w:rPr>
    </w:lvl>
    <w:lvl w:ilvl="3" w:tentative="0">
      <w:start w:val="12"/>
      <w:numFmt w:val="decimal"/>
      <w:lvlText w:val="%1.%2.%3.%4"/>
      <w:lvlJc w:val="left"/>
      <w:pPr>
        <w:ind w:left="424" w:hanging="903"/>
      </w:pPr>
      <w:rPr>
        <w:rFonts w:hint="default" w:ascii="Times New Roman" w:hAnsi="Times New Roman" w:eastAsia="Times New Roman" w:cs="Times New Roman"/>
        <w:w w:val="100"/>
        <w:sz w:val="24"/>
        <w:szCs w:val="24"/>
        <w:lang w:val="zh-CN" w:eastAsia="zh-CN" w:bidi="zh-CN"/>
      </w:rPr>
    </w:lvl>
    <w:lvl w:ilvl="4" w:tentative="0">
      <w:start w:val="0"/>
      <w:numFmt w:val="bullet"/>
      <w:lvlText w:val="•"/>
      <w:lvlJc w:val="left"/>
      <w:pPr>
        <w:ind w:left="960" w:hanging="903"/>
      </w:pPr>
      <w:rPr>
        <w:rFonts w:hint="default"/>
        <w:lang w:val="zh-CN" w:eastAsia="zh-CN" w:bidi="zh-CN"/>
      </w:rPr>
    </w:lvl>
    <w:lvl w:ilvl="5" w:tentative="0">
      <w:start w:val="0"/>
      <w:numFmt w:val="bullet"/>
      <w:lvlText w:val="•"/>
      <w:lvlJc w:val="left"/>
      <w:pPr>
        <w:ind w:left="1500" w:hanging="903"/>
      </w:pPr>
      <w:rPr>
        <w:rFonts w:hint="default"/>
        <w:lang w:val="zh-CN" w:eastAsia="zh-CN" w:bidi="zh-CN"/>
      </w:rPr>
    </w:lvl>
    <w:lvl w:ilvl="6" w:tentative="0">
      <w:start w:val="0"/>
      <w:numFmt w:val="bullet"/>
      <w:lvlText w:val="•"/>
      <w:lvlJc w:val="left"/>
      <w:pPr>
        <w:ind w:left="1620" w:hanging="903"/>
      </w:pPr>
      <w:rPr>
        <w:rFonts w:hint="default"/>
        <w:lang w:val="zh-CN" w:eastAsia="zh-CN" w:bidi="zh-CN"/>
      </w:rPr>
    </w:lvl>
    <w:lvl w:ilvl="7" w:tentative="0">
      <w:start w:val="0"/>
      <w:numFmt w:val="bullet"/>
      <w:lvlText w:val="•"/>
      <w:lvlJc w:val="left"/>
      <w:pPr>
        <w:ind w:left="3586" w:hanging="903"/>
      </w:pPr>
      <w:rPr>
        <w:rFonts w:hint="default"/>
        <w:lang w:val="zh-CN" w:eastAsia="zh-CN" w:bidi="zh-CN"/>
      </w:rPr>
    </w:lvl>
    <w:lvl w:ilvl="8" w:tentative="0">
      <w:start w:val="0"/>
      <w:numFmt w:val="bullet"/>
      <w:lvlText w:val="•"/>
      <w:lvlJc w:val="left"/>
      <w:pPr>
        <w:ind w:left="5553" w:hanging="903"/>
      </w:pPr>
      <w:rPr>
        <w:rFonts w:hint="default"/>
        <w:lang w:val="zh-CN" w:eastAsia="zh-CN" w:bidi="zh-CN"/>
      </w:rPr>
    </w:lvl>
  </w:abstractNum>
  <w:abstractNum w:abstractNumId="8">
    <w:nsid w:val="51C07C09"/>
    <w:multiLevelType w:val="multilevel"/>
    <w:tmpl w:val="51C07C09"/>
    <w:lvl w:ilvl="0" w:tentative="0">
      <w:start w:val="4"/>
      <w:numFmt w:val="decimal"/>
      <w:lvlText w:val="%1"/>
      <w:lvlJc w:val="left"/>
      <w:pPr>
        <w:ind w:left="1494" w:hanging="600"/>
      </w:pPr>
      <w:rPr>
        <w:rFonts w:hint="default"/>
        <w:lang w:val="zh-CN" w:eastAsia="zh-CN" w:bidi="zh-CN"/>
      </w:rPr>
    </w:lvl>
    <w:lvl w:ilvl="1" w:tentative="0">
      <w:start w:val="1"/>
      <w:numFmt w:val="decimal"/>
      <w:lvlText w:val="%1.%2"/>
      <w:lvlJc w:val="left"/>
      <w:pPr>
        <w:ind w:left="1494" w:hanging="600"/>
        <w:jc w:val="right"/>
      </w:pPr>
      <w:rPr>
        <w:rFonts w:hint="default"/>
        <w:lang w:val="zh-CN" w:eastAsia="zh-CN" w:bidi="zh-CN"/>
      </w:rPr>
    </w:lvl>
    <w:lvl w:ilvl="2" w:tentative="0">
      <w:start w:val="9"/>
      <w:numFmt w:val="decimal"/>
      <w:lvlText w:val="%1.%2.%3"/>
      <w:lvlJc w:val="left"/>
      <w:pPr>
        <w:ind w:left="1494" w:hanging="600"/>
      </w:pPr>
      <w:rPr>
        <w:rFonts w:hint="default" w:ascii="Times New Roman" w:hAnsi="Times New Roman" w:eastAsia="Times New Roman" w:cs="Times New Roman"/>
        <w:w w:val="100"/>
        <w:sz w:val="24"/>
        <w:szCs w:val="24"/>
        <w:lang w:val="zh-CN" w:eastAsia="zh-CN" w:bidi="zh-CN"/>
      </w:rPr>
    </w:lvl>
    <w:lvl w:ilvl="3" w:tentative="0">
      <w:start w:val="0"/>
      <w:numFmt w:val="bullet"/>
      <w:lvlText w:val="•"/>
      <w:lvlJc w:val="left"/>
      <w:pPr>
        <w:ind w:left="3895" w:hanging="600"/>
      </w:pPr>
      <w:rPr>
        <w:rFonts w:hint="default"/>
        <w:lang w:val="zh-CN" w:eastAsia="zh-CN" w:bidi="zh-CN"/>
      </w:rPr>
    </w:lvl>
    <w:lvl w:ilvl="4" w:tentative="0">
      <w:start w:val="0"/>
      <w:numFmt w:val="bullet"/>
      <w:lvlText w:val="•"/>
      <w:lvlJc w:val="left"/>
      <w:pPr>
        <w:ind w:left="4694" w:hanging="600"/>
      </w:pPr>
      <w:rPr>
        <w:rFonts w:hint="default"/>
        <w:lang w:val="zh-CN" w:eastAsia="zh-CN" w:bidi="zh-CN"/>
      </w:rPr>
    </w:lvl>
    <w:lvl w:ilvl="5" w:tentative="0">
      <w:start w:val="0"/>
      <w:numFmt w:val="bullet"/>
      <w:lvlText w:val="•"/>
      <w:lvlJc w:val="left"/>
      <w:pPr>
        <w:ind w:left="5493" w:hanging="600"/>
      </w:pPr>
      <w:rPr>
        <w:rFonts w:hint="default"/>
        <w:lang w:val="zh-CN" w:eastAsia="zh-CN" w:bidi="zh-CN"/>
      </w:rPr>
    </w:lvl>
    <w:lvl w:ilvl="6" w:tentative="0">
      <w:start w:val="0"/>
      <w:numFmt w:val="bullet"/>
      <w:lvlText w:val="•"/>
      <w:lvlJc w:val="left"/>
      <w:pPr>
        <w:ind w:left="6291" w:hanging="600"/>
      </w:pPr>
      <w:rPr>
        <w:rFonts w:hint="default"/>
        <w:lang w:val="zh-CN" w:eastAsia="zh-CN" w:bidi="zh-CN"/>
      </w:rPr>
    </w:lvl>
    <w:lvl w:ilvl="7" w:tentative="0">
      <w:start w:val="0"/>
      <w:numFmt w:val="bullet"/>
      <w:lvlText w:val="•"/>
      <w:lvlJc w:val="left"/>
      <w:pPr>
        <w:ind w:left="7090" w:hanging="600"/>
      </w:pPr>
      <w:rPr>
        <w:rFonts w:hint="default"/>
        <w:lang w:val="zh-CN" w:eastAsia="zh-CN" w:bidi="zh-CN"/>
      </w:rPr>
    </w:lvl>
    <w:lvl w:ilvl="8" w:tentative="0">
      <w:start w:val="0"/>
      <w:numFmt w:val="bullet"/>
      <w:lvlText w:val="•"/>
      <w:lvlJc w:val="left"/>
      <w:pPr>
        <w:ind w:left="7889" w:hanging="600"/>
      </w:pPr>
      <w:rPr>
        <w:rFonts w:hint="default"/>
        <w:lang w:val="zh-CN" w:eastAsia="zh-CN" w:bidi="zh-CN"/>
      </w:rPr>
    </w:lvl>
  </w:abstractNum>
  <w:num w:numId="1">
    <w:abstractNumId w:val="7"/>
  </w:num>
  <w:num w:numId="2">
    <w:abstractNumId w:val="3"/>
  </w:num>
  <w:num w:numId="3">
    <w:abstractNumId w:val="0"/>
  </w:num>
  <w:num w:numId="4">
    <w:abstractNumId w:val="2"/>
  </w:num>
  <w:num w:numId="5">
    <w:abstractNumId w:val="8"/>
  </w:num>
  <w:num w:numId="6">
    <w:abstractNumId w:val="6"/>
  </w:num>
  <w:num w:numId="7">
    <w:abstractNumId w:val="1"/>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true"/>
  <w:bordersDoNotSurroundFooter w:val="tru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true"/>
  <w:characterSpacingControl w:val="compressPunctuation"/>
  <w:hdrShapeDefaults>
    <o:shapelayout v:ext="edit">
      <o:idmap v:ext="edit" data="1"/>
    </o:shapelayout>
  </w:hdrShapeDefaults>
  <w:footnotePr>
    <w:numFmt w:val="decimalEnclosedCircleChinese"/>
    <w:numRestart w:val="eachPage"/>
    <w:footnote w:id="188"/>
    <w:footnote w:id="189"/>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JmZTQ4Y2Y2NGEzY2MxZDQyNGU0OThlOWNkMmVjZTMifQ=="/>
  </w:docVars>
  <w:rsids>
    <w:rsidRoot w:val="00172A27"/>
    <w:rsid w:val="0000001F"/>
    <w:rsid w:val="0000015E"/>
    <w:rsid w:val="00000524"/>
    <w:rsid w:val="0000071E"/>
    <w:rsid w:val="00000EEC"/>
    <w:rsid w:val="000027F1"/>
    <w:rsid w:val="0000303A"/>
    <w:rsid w:val="00003C39"/>
    <w:rsid w:val="00003C73"/>
    <w:rsid w:val="00003F34"/>
    <w:rsid w:val="00004004"/>
    <w:rsid w:val="0000436D"/>
    <w:rsid w:val="00005158"/>
    <w:rsid w:val="00005781"/>
    <w:rsid w:val="00005AF8"/>
    <w:rsid w:val="0000601A"/>
    <w:rsid w:val="000060FE"/>
    <w:rsid w:val="000062A9"/>
    <w:rsid w:val="00006980"/>
    <w:rsid w:val="00006E02"/>
    <w:rsid w:val="0000700D"/>
    <w:rsid w:val="00007455"/>
    <w:rsid w:val="00007E1B"/>
    <w:rsid w:val="00007F6A"/>
    <w:rsid w:val="00010F5B"/>
    <w:rsid w:val="0001202A"/>
    <w:rsid w:val="0001267B"/>
    <w:rsid w:val="00012A9E"/>
    <w:rsid w:val="00012D09"/>
    <w:rsid w:val="000135D2"/>
    <w:rsid w:val="0001364D"/>
    <w:rsid w:val="00014EA1"/>
    <w:rsid w:val="000152F7"/>
    <w:rsid w:val="00015501"/>
    <w:rsid w:val="0001594C"/>
    <w:rsid w:val="00015B67"/>
    <w:rsid w:val="00015FF0"/>
    <w:rsid w:val="000162B1"/>
    <w:rsid w:val="00016921"/>
    <w:rsid w:val="0001738A"/>
    <w:rsid w:val="000173A0"/>
    <w:rsid w:val="0001746B"/>
    <w:rsid w:val="000175A9"/>
    <w:rsid w:val="00017876"/>
    <w:rsid w:val="00017E9C"/>
    <w:rsid w:val="00020375"/>
    <w:rsid w:val="000207C2"/>
    <w:rsid w:val="00020934"/>
    <w:rsid w:val="00021472"/>
    <w:rsid w:val="0002185D"/>
    <w:rsid w:val="00021A8C"/>
    <w:rsid w:val="0002204B"/>
    <w:rsid w:val="00022E41"/>
    <w:rsid w:val="00023047"/>
    <w:rsid w:val="000234C8"/>
    <w:rsid w:val="00023529"/>
    <w:rsid w:val="00023703"/>
    <w:rsid w:val="000237C3"/>
    <w:rsid w:val="0002394B"/>
    <w:rsid w:val="00023E8C"/>
    <w:rsid w:val="00024283"/>
    <w:rsid w:val="00024371"/>
    <w:rsid w:val="00024D41"/>
    <w:rsid w:val="00025A82"/>
    <w:rsid w:val="00026423"/>
    <w:rsid w:val="000265D3"/>
    <w:rsid w:val="00026D2B"/>
    <w:rsid w:val="000272D1"/>
    <w:rsid w:val="0002770C"/>
    <w:rsid w:val="0003009E"/>
    <w:rsid w:val="0003015B"/>
    <w:rsid w:val="000302DB"/>
    <w:rsid w:val="00030850"/>
    <w:rsid w:val="00030F00"/>
    <w:rsid w:val="00031249"/>
    <w:rsid w:val="000316B1"/>
    <w:rsid w:val="000318AC"/>
    <w:rsid w:val="00031A9B"/>
    <w:rsid w:val="0003252B"/>
    <w:rsid w:val="0003369F"/>
    <w:rsid w:val="000336A8"/>
    <w:rsid w:val="000339C0"/>
    <w:rsid w:val="00033BA1"/>
    <w:rsid w:val="00033CB7"/>
    <w:rsid w:val="00034A2F"/>
    <w:rsid w:val="00034BBE"/>
    <w:rsid w:val="0003557E"/>
    <w:rsid w:val="000357A5"/>
    <w:rsid w:val="00035836"/>
    <w:rsid w:val="00035C00"/>
    <w:rsid w:val="0003643A"/>
    <w:rsid w:val="0003653D"/>
    <w:rsid w:val="00036575"/>
    <w:rsid w:val="00036605"/>
    <w:rsid w:val="00036E8E"/>
    <w:rsid w:val="00037A32"/>
    <w:rsid w:val="000406C1"/>
    <w:rsid w:val="0004141C"/>
    <w:rsid w:val="00041598"/>
    <w:rsid w:val="0004179D"/>
    <w:rsid w:val="0004186E"/>
    <w:rsid w:val="0004197A"/>
    <w:rsid w:val="00041DCF"/>
    <w:rsid w:val="000426F6"/>
    <w:rsid w:val="0004298A"/>
    <w:rsid w:val="00042A06"/>
    <w:rsid w:val="00042F0B"/>
    <w:rsid w:val="00043269"/>
    <w:rsid w:val="00043437"/>
    <w:rsid w:val="00043481"/>
    <w:rsid w:val="00043722"/>
    <w:rsid w:val="00043BA4"/>
    <w:rsid w:val="00043BB1"/>
    <w:rsid w:val="00043D44"/>
    <w:rsid w:val="00044548"/>
    <w:rsid w:val="00045307"/>
    <w:rsid w:val="00045318"/>
    <w:rsid w:val="00045474"/>
    <w:rsid w:val="00045954"/>
    <w:rsid w:val="00045BF8"/>
    <w:rsid w:val="00046385"/>
    <w:rsid w:val="000467A5"/>
    <w:rsid w:val="0004688A"/>
    <w:rsid w:val="000468D7"/>
    <w:rsid w:val="00046C0C"/>
    <w:rsid w:val="00046C6C"/>
    <w:rsid w:val="000470FD"/>
    <w:rsid w:val="000476E6"/>
    <w:rsid w:val="00047E18"/>
    <w:rsid w:val="00047F50"/>
    <w:rsid w:val="0005001E"/>
    <w:rsid w:val="0005085F"/>
    <w:rsid w:val="00050A3B"/>
    <w:rsid w:val="00050A57"/>
    <w:rsid w:val="00050ACF"/>
    <w:rsid w:val="00050C5E"/>
    <w:rsid w:val="00050D01"/>
    <w:rsid w:val="000519C9"/>
    <w:rsid w:val="00051D76"/>
    <w:rsid w:val="0005209A"/>
    <w:rsid w:val="000528C6"/>
    <w:rsid w:val="00052AEB"/>
    <w:rsid w:val="0005336F"/>
    <w:rsid w:val="0005350A"/>
    <w:rsid w:val="0005365E"/>
    <w:rsid w:val="000537A0"/>
    <w:rsid w:val="00054111"/>
    <w:rsid w:val="000555D9"/>
    <w:rsid w:val="000557D9"/>
    <w:rsid w:val="00055AB6"/>
    <w:rsid w:val="00056868"/>
    <w:rsid w:val="000572A7"/>
    <w:rsid w:val="000603C4"/>
    <w:rsid w:val="000608B3"/>
    <w:rsid w:val="000615E4"/>
    <w:rsid w:val="000616D0"/>
    <w:rsid w:val="00061BC0"/>
    <w:rsid w:val="00061E21"/>
    <w:rsid w:val="00061FA0"/>
    <w:rsid w:val="00063161"/>
    <w:rsid w:val="00063B44"/>
    <w:rsid w:val="00063B57"/>
    <w:rsid w:val="00063E83"/>
    <w:rsid w:val="00063EAB"/>
    <w:rsid w:val="000643F2"/>
    <w:rsid w:val="0006462C"/>
    <w:rsid w:val="00064857"/>
    <w:rsid w:val="0006494A"/>
    <w:rsid w:val="00065384"/>
    <w:rsid w:val="0006548E"/>
    <w:rsid w:val="00065B0A"/>
    <w:rsid w:val="00065F8D"/>
    <w:rsid w:val="0006638C"/>
    <w:rsid w:val="000667E8"/>
    <w:rsid w:val="0007022C"/>
    <w:rsid w:val="0007037D"/>
    <w:rsid w:val="00070522"/>
    <w:rsid w:val="00070656"/>
    <w:rsid w:val="000706F5"/>
    <w:rsid w:val="00070FE7"/>
    <w:rsid w:val="000715D7"/>
    <w:rsid w:val="000716AB"/>
    <w:rsid w:val="00071B4F"/>
    <w:rsid w:val="00071B8A"/>
    <w:rsid w:val="00072643"/>
    <w:rsid w:val="0007269F"/>
    <w:rsid w:val="00072E36"/>
    <w:rsid w:val="00073431"/>
    <w:rsid w:val="00073C97"/>
    <w:rsid w:val="00074090"/>
    <w:rsid w:val="000740B0"/>
    <w:rsid w:val="0007425D"/>
    <w:rsid w:val="00074972"/>
    <w:rsid w:val="00074C68"/>
    <w:rsid w:val="00074D82"/>
    <w:rsid w:val="00074FF8"/>
    <w:rsid w:val="00075B9F"/>
    <w:rsid w:val="00076473"/>
    <w:rsid w:val="00076D26"/>
    <w:rsid w:val="00076F72"/>
    <w:rsid w:val="00076FD6"/>
    <w:rsid w:val="00077029"/>
    <w:rsid w:val="00077120"/>
    <w:rsid w:val="000773EB"/>
    <w:rsid w:val="00077713"/>
    <w:rsid w:val="00077756"/>
    <w:rsid w:val="0007778E"/>
    <w:rsid w:val="00077EAC"/>
    <w:rsid w:val="000805BB"/>
    <w:rsid w:val="000808D7"/>
    <w:rsid w:val="00080DF4"/>
    <w:rsid w:val="00080E55"/>
    <w:rsid w:val="00080E94"/>
    <w:rsid w:val="0008123A"/>
    <w:rsid w:val="000814B2"/>
    <w:rsid w:val="000815BF"/>
    <w:rsid w:val="00081A55"/>
    <w:rsid w:val="00083415"/>
    <w:rsid w:val="00083489"/>
    <w:rsid w:val="00083CED"/>
    <w:rsid w:val="000845C3"/>
    <w:rsid w:val="00084744"/>
    <w:rsid w:val="0008478E"/>
    <w:rsid w:val="000849ED"/>
    <w:rsid w:val="00084C06"/>
    <w:rsid w:val="00085174"/>
    <w:rsid w:val="000858F1"/>
    <w:rsid w:val="00085B7E"/>
    <w:rsid w:val="00085E0C"/>
    <w:rsid w:val="00085E67"/>
    <w:rsid w:val="00085F8E"/>
    <w:rsid w:val="00086300"/>
    <w:rsid w:val="00086480"/>
    <w:rsid w:val="00086CB8"/>
    <w:rsid w:val="0008716E"/>
    <w:rsid w:val="00087B78"/>
    <w:rsid w:val="00087C4A"/>
    <w:rsid w:val="00090056"/>
    <w:rsid w:val="00090245"/>
    <w:rsid w:val="00090903"/>
    <w:rsid w:val="0009131C"/>
    <w:rsid w:val="000915D5"/>
    <w:rsid w:val="00091922"/>
    <w:rsid w:val="00091EF6"/>
    <w:rsid w:val="0009214B"/>
    <w:rsid w:val="0009308A"/>
    <w:rsid w:val="000931C5"/>
    <w:rsid w:val="0009379A"/>
    <w:rsid w:val="00093BEA"/>
    <w:rsid w:val="000947D7"/>
    <w:rsid w:val="00094875"/>
    <w:rsid w:val="00094C83"/>
    <w:rsid w:val="00094FED"/>
    <w:rsid w:val="0009547B"/>
    <w:rsid w:val="00095BA8"/>
    <w:rsid w:val="00095BD6"/>
    <w:rsid w:val="00095F22"/>
    <w:rsid w:val="000972BB"/>
    <w:rsid w:val="00097DDB"/>
    <w:rsid w:val="000A01B9"/>
    <w:rsid w:val="000A0AFA"/>
    <w:rsid w:val="000A10C5"/>
    <w:rsid w:val="000A18E2"/>
    <w:rsid w:val="000A1D8C"/>
    <w:rsid w:val="000A2246"/>
    <w:rsid w:val="000A26A9"/>
    <w:rsid w:val="000A29C7"/>
    <w:rsid w:val="000A2A4A"/>
    <w:rsid w:val="000A2ACB"/>
    <w:rsid w:val="000A2AEF"/>
    <w:rsid w:val="000A2D88"/>
    <w:rsid w:val="000A31F5"/>
    <w:rsid w:val="000A3C9C"/>
    <w:rsid w:val="000A48DA"/>
    <w:rsid w:val="000A4951"/>
    <w:rsid w:val="000A4A47"/>
    <w:rsid w:val="000A5528"/>
    <w:rsid w:val="000A567A"/>
    <w:rsid w:val="000A5935"/>
    <w:rsid w:val="000A5CF1"/>
    <w:rsid w:val="000A5EFF"/>
    <w:rsid w:val="000A610F"/>
    <w:rsid w:val="000A627F"/>
    <w:rsid w:val="000A659F"/>
    <w:rsid w:val="000A6613"/>
    <w:rsid w:val="000A66AA"/>
    <w:rsid w:val="000A6891"/>
    <w:rsid w:val="000A6913"/>
    <w:rsid w:val="000A6A4C"/>
    <w:rsid w:val="000A6C53"/>
    <w:rsid w:val="000A7442"/>
    <w:rsid w:val="000A7B25"/>
    <w:rsid w:val="000A7E78"/>
    <w:rsid w:val="000B006E"/>
    <w:rsid w:val="000B070D"/>
    <w:rsid w:val="000B09DA"/>
    <w:rsid w:val="000B0F3E"/>
    <w:rsid w:val="000B24A3"/>
    <w:rsid w:val="000B24F4"/>
    <w:rsid w:val="000B286D"/>
    <w:rsid w:val="000B34E6"/>
    <w:rsid w:val="000B35A6"/>
    <w:rsid w:val="000B388D"/>
    <w:rsid w:val="000B389E"/>
    <w:rsid w:val="000B3922"/>
    <w:rsid w:val="000B3D2C"/>
    <w:rsid w:val="000B48BB"/>
    <w:rsid w:val="000B4953"/>
    <w:rsid w:val="000B4E6F"/>
    <w:rsid w:val="000B501B"/>
    <w:rsid w:val="000B513E"/>
    <w:rsid w:val="000B55F0"/>
    <w:rsid w:val="000B5FAF"/>
    <w:rsid w:val="000B6A50"/>
    <w:rsid w:val="000B6B21"/>
    <w:rsid w:val="000B6E09"/>
    <w:rsid w:val="000B75C5"/>
    <w:rsid w:val="000C0031"/>
    <w:rsid w:val="000C04FC"/>
    <w:rsid w:val="000C18B8"/>
    <w:rsid w:val="000C2010"/>
    <w:rsid w:val="000C2160"/>
    <w:rsid w:val="000C22FD"/>
    <w:rsid w:val="000C29B6"/>
    <w:rsid w:val="000C2BAB"/>
    <w:rsid w:val="000C32FE"/>
    <w:rsid w:val="000C3341"/>
    <w:rsid w:val="000C3414"/>
    <w:rsid w:val="000C36DC"/>
    <w:rsid w:val="000C3ADC"/>
    <w:rsid w:val="000C3DF6"/>
    <w:rsid w:val="000C3EEC"/>
    <w:rsid w:val="000C40AF"/>
    <w:rsid w:val="000C4363"/>
    <w:rsid w:val="000C473F"/>
    <w:rsid w:val="000C4C93"/>
    <w:rsid w:val="000C4E3A"/>
    <w:rsid w:val="000C532C"/>
    <w:rsid w:val="000C566F"/>
    <w:rsid w:val="000C5B5D"/>
    <w:rsid w:val="000C5DFE"/>
    <w:rsid w:val="000C65BE"/>
    <w:rsid w:val="000C670D"/>
    <w:rsid w:val="000C678C"/>
    <w:rsid w:val="000C697F"/>
    <w:rsid w:val="000C6B91"/>
    <w:rsid w:val="000C6DED"/>
    <w:rsid w:val="000C74BA"/>
    <w:rsid w:val="000C760D"/>
    <w:rsid w:val="000C7AEE"/>
    <w:rsid w:val="000C7B6F"/>
    <w:rsid w:val="000D0394"/>
    <w:rsid w:val="000D0506"/>
    <w:rsid w:val="000D0946"/>
    <w:rsid w:val="000D0ABC"/>
    <w:rsid w:val="000D0F21"/>
    <w:rsid w:val="000D12D1"/>
    <w:rsid w:val="000D19D3"/>
    <w:rsid w:val="000D1A37"/>
    <w:rsid w:val="000D1B0E"/>
    <w:rsid w:val="000D1BBD"/>
    <w:rsid w:val="000D2418"/>
    <w:rsid w:val="000D25F4"/>
    <w:rsid w:val="000D2739"/>
    <w:rsid w:val="000D2880"/>
    <w:rsid w:val="000D28FA"/>
    <w:rsid w:val="000D35F3"/>
    <w:rsid w:val="000D3D5D"/>
    <w:rsid w:val="000D3D94"/>
    <w:rsid w:val="000D40D1"/>
    <w:rsid w:val="000D4177"/>
    <w:rsid w:val="000D4BFB"/>
    <w:rsid w:val="000D4CCF"/>
    <w:rsid w:val="000D4D62"/>
    <w:rsid w:val="000D4E80"/>
    <w:rsid w:val="000D5115"/>
    <w:rsid w:val="000D5765"/>
    <w:rsid w:val="000D57FA"/>
    <w:rsid w:val="000D5844"/>
    <w:rsid w:val="000D5CCF"/>
    <w:rsid w:val="000D60F8"/>
    <w:rsid w:val="000D6ABE"/>
    <w:rsid w:val="000D6B3E"/>
    <w:rsid w:val="000D6CF7"/>
    <w:rsid w:val="000D7C93"/>
    <w:rsid w:val="000E05E0"/>
    <w:rsid w:val="000E0742"/>
    <w:rsid w:val="000E087A"/>
    <w:rsid w:val="000E0F59"/>
    <w:rsid w:val="000E0F8F"/>
    <w:rsid w:val="000E14FD"/>
    <w:rsid w:val="000E15CC"/>
    <w:rsid w:val="000E1BAC"/>
    <w:rsid w:val="000E1C9D"/>
    <w:rsid w:val="000E1D39"/>
    <w:rsid w:val="000E1E2A"/>
    <w:rsid w:val="000E1F2B"/>
    <w:rsid w:val="000E2216"/>
    <w:rsid w:val="000E2955"/>
    <w:rsid w:val="000E2BBA"/>
    <w:rsid w:val="000E3659"/>
    <w:rsid w:val="000E3A5C"/>
    <w:rsid w:val="000E4159"/>
    <w:rsid w:val="000E4316"/>
    <w:rsid w:val="000E4358"/>
    <w:rsid w:val="000E58C7"/>
    <w:rsid w:val="000E5ABE"/>
    <w:rsid w:val="000E5B50"/>
    <w:rsid w:val="000E66F7"/>
    <w:rsid w:val="000E6F28"/>
    <w:rsid w:val="000E7263"/>
    <w:rsid w:val="000E7387"/>
    <w:rsid w:val="000E751B"/>
    <w:rsid w:val="000E7614"/>
    <w:rsid w:val="000E7A3F"/>
    <w:rsid w:val="000E7BC6"/>
    <w:rsid w:val="000F0614"/>
    <w:rsid w:val="000F0805"/>
    <w:rsid w:val="000F08A1"/>
    <w:rsid w:val="000F0A6A"/>
    <w:rsid w:val="000F125B"/>
    <w:rsid w:val="000F18AD"/>
    <w:rsid w:val="000F219D"/>
    <w:rsid w:val="000F23BC"/>
    <w:rsid w:val="000F2EB8"/>
    <w:rsid w:val="000F2F8A"/>
    <w:rsid w:val="000F2FBE"/>
    <w:rsid w:val="000F34B1"/>
    <w:rsid w:val="000F3BC4"/>
    <w:rsid w:val="000F3CF7"/>
    <w:rsid w:val="000F3E55"/>
    <w:rsid w:val="000F3EFB"/>
    <w:rsid w:val="000F48C0"/>
    <w:rsid w:val="000F5CC3"/>
    <w:rsid w:val="000F5ED0"/>
    <w:rsid w:val="000F6B5A"/>
    <w:rsid w:val="000F6DFE"/>
    <w:rsid w:val="000F7128"/>
    <w:rsid w:val="000F79B4"/>
    <w:rsid w:val="000F7FB7"/>
    <w:rsid w:val="0010009E"/>
    <w:rsid w:val="001000F9"/>
    <w:rsid w:val="001004F4"/>
    <w:rsid w:val="00101096"/>
    <w:rsid w:val="001012B9"/>
    <w:rsid w:val="00101462"/>
    <w:rsid w:val="0010183A"/>
    <w:rsid w:val="00101CB6"/>
    <w:rsid w:val="0010238C"/>
    <w:rsid w:val="00102510"/>
    <w:rsid w:val="00102585"/>
    <w:rsid w:val="0010271E"/>
    <w:rsid w:val="0010293D"/>
    <w:rsid w:val="001029A6"/>
    <w:rsid w:val="00102DC7"/>
    <w:rsid w:val="00103696"/>
    <w:rsid w:val="0010444F"/>
    <w:rsid w:val="001045E4"/>
    <w:rsid w:val="001046F1"/>
    <w:rsid w:val="001049F2"/>
    <w:rsid w:val="001053C2"/>
    <w:rsid w:val="00105799"/>
    <w:rsid w:val="00105F4B"/>
    <w:rsid w:val="001062B7"/>
    <w:rsid w:val="001064B4"/>
    <w:rsid w:val="0010678A"/>
    <w:rsid w:val="00106927"/>
    <w:rsid w:val="00106AB6"/>
    <w:rsid w:val="00106F6C"/>
    <w:rsid w:val="00111409"/>
    <w:rsid w:val="00111797"/>
    <w:rsid w:val="001117F2"/>
    <w:rsid w:val="00111946"/>
    <w:rsid w:val="00111966"/>
    <w:rsid w:val="00111CBB"/>
    <w:rsid w:val="0011236D"/>
    <w:rsid w:val="001123D8"/>
    <w:rsid w:val="00112B4A"/>
    <w:rsid w:val="00112E6E"/>
    <w:rsid w:val="00113540"/>
    <w:rsid w:val="00113D3F"/>
    <w:rsid w:val="001140AD"/>
    <w:rsid w:val="0011496D"/>
    <w:rsid w:val="00115546"/>
    <w:rsid w:val="001157AB"/>
    <w:rsid w:val="00115D86"/>
    <w:rsid w:val="00115EFE"/>
    <w:rsid w:val="0011640B"/>
    <w:rsid w:val="0011674E"/>
    <w:rsid w:val="00116C28"/>
    <w:rsid w:val="00116E0E"/>
    <w:rsid w:val="00116F83"/>
    <w:rsid w:val="00116FD2"/>
    <w:rsid w:val="001171B1"/>
    <w:rsid w:val="00117803"/>
    <w:rsid w:val="00117A3A"/>
    <w:rsid w:val="00120BCB"/>
    <w:rsid w:val="00121D54"/>
    <w:rsid w:val="00122B32"/>
    <w:rsid w:val="00122DD3"/>
    <w:rsid w:val="00122FC9"/>
    <w:rsid w:val="00123468"/>
    <w:rsid w:val="00123772"/>
    <w:rsid w:val="00123FBF"/>
    <w:rsid w:val="00124485"/>
    <w:rsid w:val="001247DB"/>
    <w:rsid w:val="00124ED0"/>
    <w:rsid w:val="0012509C"/>
    <w:rsid w:val="001251FF"/>
    <w:rsid w:val="00125420"/>
    <w:rsid w:val="0012551E"/>
    <w:rsid w:val="00127200"/>
    <w:rsid w:val="00127689"/>
    <w:rsid w:val="00127B5C"/>
    <w:rsid w:val="00130705"/>
    <w:rsid w:val="001309EA"/>
    <w:rsid w:val="00131930"/>
    <w:rsid w:val="00131AEF"/>
    <w:rsid w:val="001320D1"/>
    <w:rsid w:val="001321CB"/>
    <w:rsid w:val="0013292B"/>
    <w:rsid w:val="00132B16"/>
    <w:rsid w:val="00132D96"/>
    <w:rsid w:val="00133B3C"/>
    <w:rsid w:val="00133B60"/>
    <w:rsid w:val="001344FC"/>
    <w:rsid w:val="001348D0"/>
    <w:rsid w:val="00134B32"/>
    <w:rsid w:val="00134C18"/>
    <w:rsid w:val="00134C27"/>
    <w:rsid w:val="0013505A"/>
    <w:rsid w:val="001365B8"/>
    <w:rsid w:val="0014008F"/>
    <w:rsid w:val="0014069F"/>
    <w:rsid w:val="001406FD"/>
    <w:rsid w:val="00140804"/>
    <w:rsid w:val="00140A61"/>
    <w:rsid w:val="00140F0E"/>
    <w:rsid w:val="0014123A"/>
    <w:rsid w:val="0014131A"/>
    <w:rsid w:val="00141966"/>
    <w:rsid w:val="00141D5D"/>
    <w:rsid w:val="00141E3A"/>
    <w:rsid w:val="001421E7"/>
    <w:rsid w:val="00142219"/>
    <w:rsid w:val="00142B3F"/>
    <w:rsid w:val="00142E68"/>
    <w:rsid w:val="0014306A"/>
    <w:rsid w:val="001434AA"/>
    <w:rsid w:val="00143C47"/>
    <w:rsid w:val="00143C48"/>
    <w:rsid w:val="00143C68"/>
    <w:rsid w:val="00143CF7"/>
    <w:rsid w:val="00143EA5"/>
    <w:rsid w:val="00144441"/>
    <w:rsid w:val="00144B21"/>
    <w:rsid w:val="00144D5D"/>
    <w:rsid w:val="001459F8"/>
    <w:rsid w:val="00145E6D"/>
    <w:rsid w:val="0014600B"/>
    <w:rsid w:val="0014658C"/>
    <w:rsid w:val="00146710"/>
    <w:rsid w:val="0014690F"/>
    <w:rsid w:val="00146989"/>
    <w:rsid w:val="00147A6D"/>
    <w:rsid w:val="00150F4D"/>
    <w:rsid w:val="00151038"/>
    <w:rsid w:val="00151A7F"/>
    <w:rsid w:val="00151F2E"/>
    <w:rsid w:val="00151FC8"/>
    <w:rsid w:val="001527C1"/>
    <w:rsid w:val="00152861"/>
    <w:rsid w:val="001535C8"/>
    <w:rsid w:val="00153DAB"/>
    <w:rsid w:val="00153DBD"/>
    <w:rsid w:val="0015423F"/>
    <w:rsid w:val="00154E97"/>
    <w:rsid w:val="00155293"/>
    <w:rsid w:val="00155667"/>
    <w:rsid w:val="00155FC6"/>
    <w:rsid w:val="00156AD4"/>
    <w:rsid w:val="00157151"/>
    <w:rsid w:val="00157E52"/>
    <w:rsid w:val="001600C8"/>
    <w:rsid w:val="00160277"/>
    <w:rsid w:val="00160D73"/>
    <w:rsid w:val="0016205A"/>
    <w:rsid w:val="001623CE"/>
    <w:rsid w:val="00162541"/>
    <w:rsid w:val="001631FF"/>
    <w:rsid w:val="001639C4"/>
    <w:rsid w:val="0016425B"/>
    <w:rsid w:val="00164863"/>
    <w:rsid w:val="00164893"/>
    <w:rsid w:val="00164EDC"/>
    <w:rsid w:val="0016516B"/>
    <w:rsid w:val="001655A3"/>
    <w:rsid w:val="00165E5B"/>
    <w:rsid w:val="00166BD3"/>
    <w:rsid w:val="001675B1"/>
    <w:rsid w:val="00167A32"/>
    <w:rsid w:val="00167C0A"/>
    <w:rsid w:val="00167F63"/>
    <w:rsid w:val="00167F89"/>
    <w:rsid w:val="00170071"/>
    <w:rsid w:val="001701AF"/>
    <w:rsid w:val="001701DF"/>
    <w:rsid w:val="0017098D"/>
    <w:rsid w:val="00170CF8"/>
    <w:rsid w:val="00170DD7"/>
    <w:rsid w:val="00171326"/>
    <w:rsid w:val="00171A81"/>
    <w:rsid w:val="00171EEA"/>
    <w:rsid w:val="001722A2"/>
    <w:rsid w:val="00172ECE"/>
    <w:rsid w:val="00173F8F"/>
    <w:rsid w:val="00174C65"/>
    <w:rsid w:val="0017537A"/>
    <w:rsid w:val="001755A3"/>
    <w:rsid w:val="00175C51"/>
    <w:rsid w:val="00175F34"/>
    <w:rsid w:val="00175F61"/>
    <w:rsid w:val="0017601A"/>
    <w:rsid w:val="0017609D"/>
    <w:rsid w:val="0017610F"/>
    <w:rsid w:val="00176668"/>
    <w:rsid w:val="00176EED"/>
    <w:rsid w:val="00177050"/>
    <w:rsid w:val="00177857"/>
    <w:rsid w:val="00177F61"/>
    <w:rsid w:val="001801E3"/>
    <w:rsid w:val="00180461"/>
    <w:rsid w:val="00180BD9"/>
    <w:rsid w:val="001819F4"/>
    <w:rsid w:val="00181DE7"/>
    <w:rsid w:val="0018299C"/>
    <w:rsid w:val="00182E08"/>
    <w:rsid w:val="00182EE9"/>
    <w:rsid w:val="0018342A"/>
    <w:rsid w:val="00183553"/>
    <w:rsid w:val="001836B7"/>
    <w:rsid w:val="00183A6E"/>
    <w:rsid w:val="00183AA1"/>
    <w:rsid w:val="00183B15"/>
    <w:rsid w:val="001844D0"/>
    <w:rsid w:val="00184660"/>
    <w:rsid w:val="00184741"/>
    <w:rsid w:val="00185557"/>
    <w:rsid w:val="00185C87"/>
    <w:rsid w:val="00185CA1"/>
    <w:rsid w:val="00185F3E"/>
    <w:rsid w:val="001861A7"/>
    <w:rsid w:val="001861EF"/>
    <w:rsid w:val="001867B8"/>
    <w:rsid w:val="001868CE"/>
    <w:rsid w:val="00186DA8"/>
    <w:rsid w:val="0018784D"/>
    <w:rsid w:val="00187F1D"/>
    <w:rsid w:val="00190010"/>
    <w:rsid w:val="0019028F"/>
    <w:rsid w:val="001907E8"/>
    <w:rsid w:val="00191065"/>
    <w:rsid w:val="001914A6"/>
    <w:rsid w:val="00191DE6"/>
    <w:rsid w:val="00192400"/>
    <w:rsid w:val="0019254B"/>
    <w:rsid w:val="0019378D"/>
    <w:rsid w:val="00194424"/>
    <w:rsid w:val="00195B3D"/>
    <w:rsid w:val="00195EE2"/>
    <w:rsid w:val="00196648"/>
    <w:rsid w:val="0019679B"/>
    <w:rsid w:val="0019708F"/>
    <w:rsid w:val="001970B8"/>
    <w:rsid w:val="00197173"/>
    <w:rsid w:val="00197451"/>
    <w:rsid w:val="001974F4"/>
    <w:rsid w:val="001976DF"/>
    <w:rsid w:val="001979F5"/>
    <w:rsid w:val="00197C2B"/>
    <w:rsid w:val="001A01CC"/>
    <w:rsid w:val="001A022D"/>
    <w:rsid w:val="001A040D"/>
    <w:rsid w:val="001A07DC"/>
    <w:rsid w:val="001A0AD5"/>
    <w:rsid w:val="001A1653"/>
    <w:rsid w:val="001A1705"/>
    <w:rsid w:val="001A1B7D"/>
    <w:rsid w:val="001A2072"/>
    <w:rsid w:val="001A23E6"/>
    <w:rsid w:val="001A25A2"/>
    <w:rsid w:val="001A2E89"/>
    <w:rsid w:val="001A2F26"/>
    <w:rsid w:val="001A394A"/>
    <w:rsid w:val="001A4A1E"/>
    <w:rsid w:val="001A504B"/>
    <w:rsid w:val="001A5437"/>
    <w:rsid w:val="001A60BC"/>
    <w:rsid w:val="001A657E"/>
    <w:rsid w:val="001A7133"/>
    <w:rsid w:val="001A7519"/>
    <w:rsid w:val="001B0287"/>
    <w:rsid w:val="001B0400"/>
    <w:rsid w:val="001B08C8"/>
    <w:rsid w:val="001B095D"/>
    <w:rsid w:val="001B12B3"/>
    <w:rsid w:val="001B1532"/>
    <w:rsid w:val="001B156A"/>
    <w:rsid w:val="001B1621"/>
    <w:rsid w:val="001B1665"/>
    <w:rsid w:val="001B1C37"/>
    <w:rsid w:val="001B2591"/>
    <w:rsid w:val="001B2724"/>
    <w:rsid w:val="001B296B"/>
    <w:rsid w:val="001B3077"/>
    <w:rsid w:val="001B32C4"/>
    <w:rsid w:val="001B35B0"/>
    <w:rsid w:val="001B3A92"/>
    <w:rsid w:val="001B42CF"/>
    <w:rsid w:val="001B4551"/>
    <w:rsid w:val="001B4C52"/>
    <w:rsid w:val="001B5962"/>
    <w:rsid w:val="001B5C46"/>
    <w:rsid w:val="001B709E"/>
    <w:rsid w:val="001B7600"/>
    <w:rsid w:val="001B7645"/>
    <w:rsid w:val="001B7ADE"/>
    <w:rsid w:val="001B7BE0"/>
    <w:rsid w:val="001B7F6B"/>
    <w:rsid w:val="001B7FAA"/>
    <w:rsid w:val="001C03EC"/>
    <w:rsid w:val="001C0798"/>
    <w:rsid w:val="001C0E0C"/>
    <w:rsid w:val="001C118A"/>
    <w:rsid w:val="001C1F0F"/>
    <w:rsid w:val="001C2569"/>
    <w:rsid w:val="001C2706"/>
    <w:rsid w:val="001C2806"/>
    <w:rsid w:val="001C2F08"/>
    <w:rsid w:val="001C371D"/>
    <w:rsid w:val="001C392F"/>
    <w:rsid w:val="001C3B66"/>
    <w:rsid w:val="001C3FC6"/>
    <w:rsid w:val="001C468B"/>
    <w:rsid w:val="001C4D94"/>
    <w:rsid w:val="001C515C"/>
    <w:rsid w:val="001C63CB"/>
    <w:rsid w:val="001C65FC"/>
    <w:rsid w:val="001C6637"/>
    <w:rsid w:val="001D02B6"/>
    <w:rsid w:val="001D052F"/>
    <w:rsid w:val="001D0A38"/>
    <w:rsid w:val="001D0C48"/>
    <w:rsid w:val="001D10E6"/>
    <w:rsid w:val="001D1199"/>
    <w:rsid w:val="001D11C3"/>
    <w:rsid w:val="001D12E4"/>
    <w:rsid w:val="001D152C"/>
    <w:rsid w:val="001D15E8"/>
    <w:rsid w:val="001D167A"/>
    <w:rsid w:val="001D18FC"/>
    <w:rsid w:val="001D1E44"/>
    <w:rsid w:val="001D20FC"/>
    <w:rsid w:val="001D3C52"/>
    <w:rsid w:val="001D4235"/>
    <w:rsid w:val="001D4307"/>
    <w:rsid w:val="001D4407"/>
    <w:rsid w:val="001D4565"/>
    <w:rsid w:val="001D4A24"/>
    <w:rsid w:val="001D53FE"/>
    <w:rsid w:val="001D54A2"/>
    <w:rsid w:val="001D5866"/>
    <w:rsid w:val="001D6EE0"/>
    <w:rsid w:val="001D6FAE"/>
    <w:rsid w:val="001D70E5"/>
    <w:rsid w:val="001D741C"/>
    <w:rsid w:val="001D7D69"/>
    <w:rsid w:val="001D7EDD"/>
    <w:rsid w:val="001E0669"/>
    <w:rsid w:val="001E0B04"/>
    <w:rsid w:val="001E115B"/>
    <w:rsid w:val="001E12A8"/>
    <w:rsid w:val="001E1714"/>
    <w:rsid w:val="001E1824"/>
    <w:rsid w:val="001E1832"/>
    <w:rsid w:val="001E19EB"/>
    <w:rsid w:val="001E1B30"/>
    <w:rsid w:val="001E2042"/>
    <w:rsid w:val="001E373B"/>
    <w:rsid w:val="001E3A60"/>
    <w:rsid w:val="001E4157"/>
    <w:rsid w:val="001E495F"/>
    <w:rsid w:val="001E49AB"/>
    <w:rsid w:val="001E4B2C"/>
    <w:rsid w:val="001E58DE"/>
    <w:rsid w:val="001E5AF5"/>
    <w:rsid w:val="001E5CBA"/>
    <w:rsid w:val="001E5D85"/>
    <w:rsid w:val="001E6663"/>
    <w:rsid w:val="001E6754"/>
    <w:rsid w:val="001E679A"/>
    <w:rsid w:val="001E6FFE"/>
    <w:rsid w:val="001E7AC9"/>
    <w:rsid w:val="001F0C8E"/>
    <w:rsid w:val="001F10F7"/>
    <w:rsid w:val="001F239A"/>
    <w:rsid w:val="001F24D2"/>
    <w:rsid w:val="001F2CFE"/>
    <w:rsid w:val="001F3230"/>
    <w:rsid w:val="001F3253"/>
    <w:rsid w:val="001F358E"/>
    <w:rsid w:val="001F36DC"/>
    <w:rsid w:val="001F3F62"/>
    <w:rsid w:val="001F42BD"/>
    <w:rsid w:val="001F43A5"/>
    <w:rsid w:val="001F5509"/>
    <w:rsid w:val="001F583B"/>
    <w:rsid w:val="001F5A6D"/>
    <w:rsid w:val="001F5A72"/>
    <w:rsid w:val="001F617F"/>
    <w:rsid w:val="001F61A4"/>
    <w:rsid w:val="001F6978"/>
    <w:rsid w:val="001F6AF8"/>
    <w:rsid w:val="001F6C09"/>
    <w:rsid w:val="001F6CCF"/>
    <w:rsid w:val="001F7CBA"/>
    <w:rsid w:val="00200308"/>
    <w:rsid w:val="00200443"/>
    <w:rsid w:val="00200867"/>
    <w:rsid w:val="00200ECF"/>
    <w:rsid w:val="00201064"/>
    <w:rsid w:val="0020150A"/>
    <w:rsid w:val="0020179E"/>
    <w:rsid w:val="00201AC4"/>
    <w:rsid w:val="00201AE1"/>
    <w:rsid w:val="002021E7"/>
    <w:rsid w:val="00202688"/>
    <w:rsid w:val="002028BE"/>
    <w:rsid w:val="00202C8B"/>
    <w:rsid w:val="00202E5F"/>
    <w:rsid w:val="0020303F"/>
    <w:rsid w:val="00203537"/>
    <w:rsid w:val="002039EA"/>
    <w:rsid w:val="00203B2C"/>
    <w:rsid w:val="00204216"/>
    <w:rsid w:val="00204671"/>
    <w:rsid w:val="002046F4"/>
    <w:rsid w:val="00204811"/>
    <w:rsid w:val="002054A7"/>
    <w:rsid w:val="002057AD"/>
    <w:rsid w:val="00205D23"/>
    <w:rsid w:val="00205FD8"/>
    <w:rsid w:val="00206515"/>
    <w:rsid w:val="002065A4"/>
    <w:rsid w:val="002065E5"/>
    <w:rsid w:val="00206837"/>
    <w:rsid w:val="00206911"/>
    <w:rsid w:val="00207070"/>
    <w:rsid w:val="00210137"/>
    <w:rsid w:val="00210261"/>
    <w:rsid w:val="002108B3"/>
    <w:rsid w:val="00210A9D"/>
    <w:rsid w:val="00211F2E"/>
    <w:rsid w:val="00212112"/>
    <w:rsid w:val="0021229E"/>
    <w:rsid w:val="00212EEE"/>
    <w:rsid w:val="002130F9"/>
    <w:rsid w:val="002142C1"/>
    <w:rsid w:val="002144BD"/>
    <w:rsid w:val="00214840"/>
    <w:rsid w:val="00215256"/>
    <w:rsid w:val="002154B6"/>
    <w:rsid w:val="002154BD"/>
    <w:rsid w:val="00215715"/>
    <w:rsid w:val="00215AF8"/>
    <w:rsid w:val="002160BA"/>
    <w:rsid w:val="002165D8"/>
    <w:rsid w:val="0021666A"/>
    <w:rsid w:val="00216E27"/>
    <w:rsid w:val="00216E7F"/>
    <w:rsid w:val="00217257"/>
    <w:rsid w:val="00217A95"/>
    <w:rsid w:val="0022109F"/>
    <w:rsid w:val="00221594"/>
    <w:rsid w:val="0022195C"/>
    <w:rsid w:val="002219FC"/>
    <w:rsid w:val="0022318A"/>
    <w:rsid w:val="002232FA"/>
    <w:rsid w:val="002234BF"/>
    <w:rsid w:val="00223842"/>
    <w:rsid w:val="0022391D"/>
    <w:rsid w:val="00223B1E"/>
    <w:rsid w:val="00223B68"/>
    <w:rsid w:val="00223C5E"/>
    <w:rsid w:val="0022409B"/>
    <w:rsid w:val="002244A4"/>
    <w:rsid w:val="0022468C"/>
    <w:rsid w:val="0022479F"/>
    <w:rsid w:val="00224EA5"/>
    <w:rsid w:val="00225054"/>
    <w:rsid w:val="002250A2"/>
    <w:rsid w:val="00225152"/>
    <w:rsid w:val="002252C2"/>
    <w:rsid w:val="002261ED"/>
    <w:rsid w:val="002264C5"/>
    <w:rsid w:val="00226CFF"/>
    <w:rsid w:val="00227584"/>
    <w:rsid w:val="002275FD"/>
    <w:rsid w:val="00227A17"/>
    <w:rsid w:val="00227FD0"/>
    <w:rsid w:val="0023000B"/>
    <w:rsid w:val="00230711"/>
    <w:rsid w:val="00230CC1"/>
    <w:rsid w:val="00230E1A"/>
    <w:rsid w:val="00231924"/>
    <w:rsid w:val="00231BEF"/>
    <w:rsid w:val="00232E38"/>
    <w:rsid w:val="00233041"/>
    <w:rsid w:val="002331CB"/>
    <w:rsid w:val="00233430"/>
    <w:rsid w:val="0023365A"/>
    <w:rsid w:val="00233816"/>
    <w:rsid w:val="00233BA2"/>
    <w:rsid w:val="00233F0A"/>
    <w:rsid w:val="00234046"/>
    <w:rsid w:val="0023437D"/>
    <w:rsid w:val="00234492"/>
    <w:rsid w:val="002357F2"/>
    <w:rsid w:val="002359BB"/>
    <w:rsid w:val="00235B31"/>
    <w:rsid w:val="0023617C"/>
    <w:rsid w:val="002362CA"/>
    <w:rsid w:val="00236466"/>
    <w:rsid w:val="00237420"/>
    <w:rsid w:val="0023753D"/>
    <w:rsid w:val="0023753F"/>
    <w:rsid w:val="002375FD"/>
    <w:rsid w:val="00237600"/>
    <w:rsid w:val="002378C0"/>
    <w:rsid w:val="002378E0"/>
    <w:rsid w:val="0023798D"/>
    <w:rsid w:val="00237AC6"/>
    <w:rsid w:val="00240277"/>
    <w:rsid w:val="00240294"/>
    <w:rsid w:val="002402B6"/>
    <w:rsid w:val="0024039B"/>
    <w:rsid w:val="0024089F"/>
    <w:rsid w:val="00240FFC"/>
    <w:rsid w:val="00241377"/>
    <w:rsid w:val="0024141E"/>
    <w:rsid w:val="00241641"/>
    <w:rsid w:val="002418BA"/>
    <w:rsid w:val="00241A25"/>
    <w:rsid w:val="00241CF9"/>
    <w:rsid w:val="00241F5A"/>
    <w:rsid w:val="00242399"/>
    <w:rsid w:val="002425C2"/>
    <w:rsid w:val="00242C8C"/>
    <w:rsid w:val="00242E9C"/>
    <w:rsid w:val="00242F46"/>
    <w:rsid w:val="00243153"/>
    <w:rsid w:val="0024330C"/>
    <w:rsid w:val="00243CE1"/>
    <w:rsid w:val="0024401D"/>
    <w:rsid w:val="0024448F"/>
    <w:rsid w:val="0024462C"/>
    <w:rsid w:val="00245539"/>
    <w:rsid w:val="0024573D"/>
    <w:rsid w:val="00245B13"/>
    <w:rsid w:val="00245B4A"/>
    <w:rsid w:val="00246087"/>
    <w:rsid w:val="002462F5"/>
    <w:rsid w:val="00246467"/>
    <w:rsid w:val="00246A6B"/>
    <w:rsid w:val="00246F4C"/>
    <w:rsid w:val="0024754E"/>
    <w:rsid w:val="00247C28"/>
    <w:rsid w:val="00247E30"/>
    <w:rsid w:val="002504A3"/>
    <w:rsid w:val="002508CE"/>
    <w:rsid w:val="00250B12"/>
    <w:rsid w:val="00251054"/>
    <w:rsid w:val="0025110B"/>
    <w:rsid w:val="0025166D"/>
    <w:rsid w:val="00251817"/>
    <w:rsid w:val="00251CAE"/>
    <w:rsid w:val="00251F0B"/>
    <w:rsid w:val="00252CCC"/>
    <w:rsid w:val="00253008"/>
    <w:rsid w:val="00253015"/>
    <w:rsid w:val="0025381B"/>
    <w:rsid w:val="002538A3"/>
    <w:rsid w:val="00253C13"/>
    <w:rsid w:val="00254698"/>
    <w:rsid w:val="00254F66"/>
    <w:rsid w:val="002551C1"/>
    <w:rsid w:val="00255397"/>
    <w:rsid w:val="002557AD"/>
    <w:rsid w:val="00255950"/>
    <w:rsid w:val="00255EA5"/>
    <w:rsid w:val="00255F7D"/>
    <w:rsid w:val="002560D1"/>
    <w:rsid w:val="00256B38"/>
    <w:rsid w:val="00256E0A"/>
    <w:rsid w:val="002576FA"/>
    <w:rsid w:val="00260B83"/>
    <w:rsid w:val="00260C2E"/>
    <w:rsid w:val="00260CED"/>
    <w:rsid w:val="00260E20"/>
    <w:rsid w:val="00261140"/>
    <w:rsid w:val="00261214"/>
    <w:rsid w:val="00261345"/>
    <w:rsid w:val="00262680"/>
    <w:rsid w:val="00262BD1"/>
    <w:rsid w:val="00262BEA"/>
    <w:rsid w:val="00262FF8"/>
    <w:rsid w:val="00263183"/>
    <w:rsid w:val="00263A33"/>
    <w:rsid w:val="002645C4"/>
    <w:rsid w:val="00264A64"/>
    <w:rsid w:val="00264BDF"/>
    <w:rsid w:val="00264E78"/>
    <w:rsid w:val="002659F2"/>
    <w:rsid w:val="00265EA7"/>
    <w:rsid w:val="00266923"/>
    <w:rsid w:val="00266DC2"/>
    <w:rsid w:val="00267C08"/>
    <w:rsid w:val="00270595"/>
    <w:rsid w:val="00270AEF"/>
    <w:rsid w:val="00270D76"/>
    <w:rsid w:val="00270F3F"/>
    <w:rsid w:val="0027103D"/>
    <w:rsid w:val="002711B5"/>
    <w:rsid w:val="00271294"/>
    <w:rsid w:val="002716E5"/>
    <w:rsid w:val="0027179D"/>
    <w:rsid w:val="002717DC"/>
    <w:rsid w:val="00272D5B"/>
    <w:rsid w:val="00273222"/>
    <w:rsid w:val="00274630"/>
    <w:rsid w:val="00274C9D"/>
    <w:rsid w:val="0027590F"/>
    <w:rsid w:val="00275CB1"/>
    <w:rsid w:val="00276F9A"/>
    <w:rsid w:val="002776CE"/>
    <w:rsid w:val="0028018D"/>
    <w:rsid w:val="00280D65"/>
    <w:rsid w:val="0028154B"/>
    <w:rsid w:val="002818E7"/>
    <w:rsid w:val="00281C4D"/>
    <w:rsid w:val="0028205E"/>
    <w:rsid w:val="00282120"/>
    <w:rsid w:val="002827B0"/>
    <w:rsid w:val="00282B9A"/>
    <w:rsid w:val="00282CC6"/>
    <w:rsid w:val="00282CE9"/>
    <w:rsid w:val="00283A57"/>
    <w:rsid w:val="00283AD7"/>
    <w:rsid w:val="00283E11"/>
    <w:rsid w:val="0028427F"/>
    <w:rsid w:val="00284410"/>
    <w:rsid w:val="00284557"/>
    <w:rsid w:val="00284B3B"/>
    <w:rsid w:val="00285158"/>
    <w:rsid w:val="00285553"/>
    <w:rsid w:val="002857E8"/>
    <w:rsid w:val="002860C8"/>
    <w:rsid w:val="00286646"/>
    <w:rsid w:val="002867AF"/>
    <w:rsid w:val="00286EE8"/>
    <w:rsid w:val="00286F27"/>
    <w:rsid w:val="002870FA"/>
    <w:rsid w:val="00287DBC"/>
    <w:rsid w:val="00287FA5"/>
    <w:rsid w:val="002904C2"/>
    <w:rsid w:val="00290590"/>
    <w:rsid w:val="002907FE"/>
    <w:rsid w:val="0029091B"/>
    <w:rsid w:val="00290C6D"/>
    <w:rsid w:val="00291290"/>
    <w:rsid w:val="002912BB"/>
    <w:rsid w:val="00291E2F"/>
    <w:rsid w:val="00291E84"/>
    <w:rsid w:val="0029264B"/>
    <w:rsid w:val="00292868"/>
    <w:rsid w:val="00292C9F"/>
    <w:rsid w:val="00292CBA"/>
    <w:rsid w:val="00292CF2"/>
    <w:rsid w:val="0029313E"/>
    <w:rsid w:val="00294316"/>
    <w:rsid w:val="00294C70"/>
    <w:rsid w:val="00295361"/>
    <w:rsid w:val="00295B24"/>
    <w:rsid w:val="0029631E"/>
    <w:rsid w:val="00296D16"/>
    <w:rsid w:val="00296DFF"/>
    <w:rsid w:val="002973CE"/>
    <w:rsid w:val="002975F0"/>
    <w:rsid w:val="002A06B1"/>
    <w:rsid w:val="002A0882"/>
    <w:rsid w:val="002A092D"/>
    <w:rsid w:val="002A12FA"/>
    <w:rsid w:val="002A1845"/>
    <w:rsid w:val="002A19AC"/>
    <w:rsid w:val="002A1E56"/>
    <w:rsid w:val="002A2BAF"/>
    <w:rsid w:val="002A31B3"/>
    <w:rsid w:val="002A33CE"/>
    <w:rsid w:val="002A36E1"/>
    <w:rsid w:val="002A3A20"/>
    <w:rsid w:val="002A43B7"/>
    <w:rsid w:val="002A4544"/>
    <w:rsid w:val="002A481F"/>
    <w:rsid w:val="002A4928"/>
    <w:rsid w:val="002A4B4C"/>
    <w:rsid w:val="002A572F"/>
    <w:rsid w:val="002A6594"/>
    <w:rsid w:val="002A65EE"/>
    <w:rsid w:val="002A694F"/>
    <w:rsid w:val="002A698F"/>
    <w:rsid w:val="002A6E6F"/>
    <w:rsid w:val="002A6F1D"/>
    <w:rsid w:val="002A71DB"/>
    <w:rsid w:val="002A799E"/>
    <w:rsid w:val="002A7B59"/>
    <w:rsid w:val="002A7D63"/>
    <w:rsid w:val="002B00AF"/>
    <w:rsid w:val="002B077D"/>
    <w:rsid w:val="002B0F88"/>
    <w:rsid w:val="002B12D2"/>
    <w:rsid w:val="002B1C38"/>
    <w:rsid w:val="002B26A2"/>
    <w:rsid w:val="002B35BE"/>
    <w:rsid w:val="002B35CA"/>
    <w:rsid w:val="002B362B"/>
    <w:rsid w:val="002B3A08"/>
    <w:rsid w:val="002B3D00"/>
    <w:rsid w:val="002B46BC"/>
    <w:rsid w:val="002B51B7"/>
    <w:rsid w:val="002B52FB"/>
    <w:rsid w:val="002B5F2B"/>
    <w:rsid w:val="002B5F92"/>
    <w:rsid w:val="002B6389"/>
    <w:rsid w:val="002B6EB0"/>
    <w:rsid w:val="002B7884"/>
    <w:rsid w:val="002C04C4"/>
    <w:rsid w:val="002C074C"/>
    <w:rsid w:val="002C0774"/>
    <w:rsid w:val="002C07D6"/>
    <w:rsid w:val="002C0E9E"/>
    <w:rsid w:val="002C1978"/>
    <w:rsid w:val="002C1B69"/>
    <w:rsid w:val="002C255D"/>
    <w:rsid w:val="002C2F03"/>
    <w:rsid w:val="002C3225"/>
    <w:rsid w:val="002C382F"/>
    <w:rsid w:val="002C5279"/>
    <w:rsid w:val="002C57DB"/>
    <w:rsid w:val="002C5ECE"/>
    <w:rsid w:val="002C62DD"/>
    <w:rsid w:val="002C66A4"/>
    <w:rsid w:val="002C695C"/>
    <w:rsid w:val="002C6C43"/>
    <w:rsid w:val="002C6D70"/>
    <w:rsid w:val="002C6EF3"/>
    <w:rsid w:val="002C6FD8"/>
    <w:rsid w:val="002C745C"/>
    <w:rsid w:val="002C7DC5"/>
    <w:rsid w:val="002D06A7"/>
    <w:rsid w:val="002D0B49"/>
    <w:rsid w:val="002D107E"/>
    <w:rsid w:val="002D136C"/>
    <w:rsid w:val="002D1824"/>
    <w:rsid w:val="002D1882"/>
    <w:rsid w:val="002D1BBD"/>
    <w:rsid w:val="002D1CEF"/>
    <w:rsid w:val="002D2D6A"/>
    <w:rsid w:val="002D2FCF"/>
    <w:rsid w:val="002D3271"/>
    <w:rsid w:val="002D3343"/>
    <w:rsid w:val="002D3953"/>
    <w:rsid w:val="002D39DD"/>
    <w:rsid w:val="002D3E80"/>
    <w:rsid w:val="002D419F"/>
    <w:rsid w:val="002D45D8"/>
    <w:rsid w:val="002D461D"/>
    <w:rsid w:val="002D479D"/>
    <w:rsid w:val="002D48A5"/>
    <w:rsid w:val="002D502C"/>
    <w:rsid w:val="002D5771"/>
    <w:rsid w:val="002D5838"/>
    <w:rsid w:val="002D5B4D"/>
    <w:rsid w:val="002D680E"/>
    <w:rsid w:val="002D703D"/>
    <w:rsid w:val="002D7532"/>
    <w:rsid w:val="002D7F4A"/>
    <w:rsid w:val="002E0209"/>
    <w:rsid w:val="002E074A"/>
    <w:rsid w:val="002E0889"/>
    <w:rsid w:val="002E09B3"/>
    <w:rsid w:val="002E0ADE"/>
    <w:rsid w:val="002E0C80"/>
    <w:rsid w:val="002E0E6A"/>
    <w:rsid w:val="002E0FAE"/>
    <w:rsid w:val="002E1611"/>
    <w:rsid w:val="002E18BB"/>
    <w:rsid w:val="002E1922"/>
    <w:rsid w:val="002E1A96"/>
    <w:rsid w:val="002E20D6"/>
    <w:rsid w:val="002E3058"/>
    <w:rsid w:val="002E34CA"/>
    <w:rsid w:val="002E47F0"/>
    <w:rsid w:val="002E4888"/>
    <w:rsid w:val="002E4900"/>
    <w:rsid w:val="002E49D5"/>
    <w:rsid w:val="002E4BB3"/>
    <w:rsid w:val="002E4DDE"/>
    <w:rsid w:val="002E517A"/>
    <w:rsid w:val="002E57A7"/>
    <w:rsid w:val="002E58B9"/>
    <w:rsid w:val="002E58D0"/>
    <w:rsid w:val="002E5C0F"/>
    <w:rsid w:val="002E5CE5"/>
    <w:rsid w:val="002E634D"/>
    <w:rsid w:val="002E7071"/>
    <w:rsid w:val="002E7166"/>
    <w:rsid w:val="002F07D4"/>
    <w:rsid w:val="002F0D32"/>
    <w:rsid w:val="002F1006"/>
    <w:rsid w:val="002F14E5"/>
    <w:rsid w:val="002F14E7"/>
    <w:rsid w:val="002F15CE"/>
    <w:rsid w:val="002F172C"/>
    <w:rsid w:val="002F1F70"/>
    <w:rsid w:val="002F36FE"/>
    <w:rsid w:val="002F3979"/>
    <w:rsid w:val="002F3CB3"/>
    <w:rsid w:val="002F3CE3"/>
    <w:rsid w:val="002F3D41"/>
    <w:rsid w:val="002F45BC"/>
    <w:rsid w:val="002F49AF"/>
    <w:rsid w:val="002F4B12"/>
    <w:rsid w:val="002F53BA"/>
    <w:rsid w:val="002F58B0"/>
    <w:rsid w:val="002F5EB5"/>
    <w:rsid w:val="002F6395"/>
    <w:rsid w:val="002F6598"/>
    <w:rsid w:val="002F681C"/>
    <w:rsid w:val="002F6F71"/>
    <w:rsid w:val="002F7756"/>
    <w:rsid w:val="002F785A"/>
    <w:rsid w:val="002F788C"/>
    <w:rsid w:val="002F79F8"/>
    <w:rsid w:val="00300146"/>
    <w:rsid w:val="00300B2E"/>
    <w:rsid w:val="00300B50"/>
    <w:rsid w:val="00300BE1"/>
    <w:rsid w:val="00300D79"/>
    <w:rsid w:val="00300EE0"/>
    <w:rsid w:val="0030157A"/>
    <w:rsid w:val="003017C5"/>
    <w:rsid w:val="00301D28"/>
    <w:rsid w:val="00301F70"/>
    <w:rsid w:val="003028CB"/>
    <w:rsid w:val="00302A44"/>
    <w:rsid w:val="00302CED"/>
    <w:rsid w:val="00303B96"/>
    <w:rsid w:val="0030464A"/>
    <w:rsid w:val="00304FBF"/>
    <w:rsid w:val="003054A7"/>
    <w:rsid w:val="00305986"/>
    <w:rsid w:val="003067C8"/>
    <w:rsid w:val="00306EF6"/>
    <w:rsid w:val="00307F11"/>
    <w:rsid w:val="003103D6"/>
    <w:rsid w:val="00310B0A"/>
    <w:rsid w:val="0031105E"/>
    <w:rsid w:val="003111CE"/>
    <w:rsid w:val="0031154C"/>
    <w:rsid w:val="00311722"/>
    <w:rsid w:val="003119EE"/>
    <w:rsid w:val="00311B2A"/>
    <w:rsid w:val="00311C97"/>
    <w:rsid w:val="003120AC"/>
    <w:rsid w:val="00312230"/>
    <w:rsid w:val="0031284C"/>
    <w:rsid w:val="00312914"/>
    <w:rsid w:val="00312EEA"/>
    <w:rsid w:val="003134CD"/>
    <w:rsid w:val="00313BA2"/>
    <w:rsid w:val="00313FFC"/>
    <w:rsid w:val="0031441C"/>
    <w:rsid w:val="003145E2"/>
    <w:rsid w:val="00314E0D"/>
    <w:rsid w:val="00314F2A"/>
    <w:rsid w:val="003152FA"/>
    <w:rsid w:val="00316AB5"/>
    <w:rsid w:val="00316D2B"/>
    <w:rsid w:val="00316D72"/>
    <w:rsid w:val="00317875"/>
    <w:rsid w:val="0032034D"/>
    <w:rsid w:val="00320940"/>
    <w:rsid w:val="003209BE"/>
    <w:rsid w:val="00320A94"/>
    <w:rsid w:val="00320BD3"/>
    <w:rsid w:val="00321196"/>
    <w:rsid w:val="003211A3"/>
    <w:rsid w:val="00321684"/>
    <w:rsid w:val="00321988"/>
    <w:rsid w:val="00321A10"/>
    <w:rsid w:val="00322872"/>
    <w:rsid w:val="003228F1"/>
    <w:rsid w:val="00322A99"/>
    <w:rsid w:val="00322E8C"/>
    <w:rsid w:val="0032306E"/>
    <w:rsid w:val="00323A0A"/>
    <w:rsid w:val="00323B36"/>
    <w:rsid w:val="003242D3"/>
    <w:rsid w:val="00324910"/>
    <w:rsid w:val="0032505F"/>
    <w:rsid w:val="003261F6"/>
    <w:rsid w:val="00326B81"/>
    <w:rsid w:val="0032705E"/>
    <w:rsid w:val="00327062"/>
    <w:rsid w:val="003271C1"/>
    <w:rsid w:val="00327756"/>
    <w:rsid w:val="00330C1D"/>
    <w:rsid w:val="00331598"/>
    <w:rsid w:val="003318DE"/>
    <w:rsid w:val="00331C54"/>
    <w:rsid w:val="00331CF7"/>
    <w:rsid w:val="0033218E"/>
    <w:rsid w:val="0033235F"/>
    <w:rsid w:val="0033237D"/>
    <w:rsid w:val="003324D5"/>
    <w:rsid w:val="003325C4"/>
    <w:rsid w:val="0033260F"/>
    <w:rsid w:val="00332AC5"/>
    <w:rsid w:val="00332EA0"/>
    <w:rsid w:val="00332F54"/>
    <w:rsid w:val="0033354C"/>
    <w:rsid w:val="00333865"/>
    <w:rsid w:val="003349C8"/>
    <w:rsid w:val="00334BB9"/>
    <w:rsid w:val="003354E9"/>
    <w:rsid w:val="00335C08"/>
    <w:rsid w:val="00335D91"/>
    <w:rsid w:val="00335DB8"/>
    <w:rsid w:val="00335E1C"/>
    <w:rsid w:val="00335E38"/>
    <w:rsid w:val="00336371"/>
    <w:rsid w:val="00336526"/>
    <w:rsid w:val="003366F0"/>
    <w:rsid w:val="00336E0B"/>
    <w:rsid w:val="00337ABE"/>
    <w:rsid w:val="00337AE0"/>
    <w:rsid w:val="00337E74"/>
    <w:rsid w:val="003411DE"/>
    <w:rsid w:val="0034176D"/>
    <w:rsid w:val="00341D3B"/>
    <w:rsid w:val="003420D2"/>
    <w:rsid w:val="003422A7"/>
    <w:rsid w:val="003426CA"/>
    <w:rsid w:val="00342E44"/>
    <w:rsid w:val="00343320"/>
    <w:rsid w:val="003437DA"/>
    <w:rsid w:val="00343DD3"/>
    <w:rsid w:val="003442B0"/>
    <w:rsid w:val="00344435"/>
    <w:rsid w:val="003446AE"/>
    <w:rsid w:val="003449AB"/>
    <w:rsid w:val="00344CA8"/>
    <w:rsid w:val="00344F5F"/>
    <w:rsid w:val="003450A7"/>
    <w:rsid w:val="00345192"/>
    <w:rsid w:val="00345382"/>
    <w:rsid w:val="00345CAD"/>
    <w:rsid w:val="00346124"/>
    <w:rsid w:val="0034615D"/>
    <w:rsid w:val="00346770"/>
    <w:rsid w:val="003469BC"/>
    <w:rsid w:val="00346DE8"/>
    <w:rsid w:val="003474E5"/>
    <w:rsid w:val="00347C54"/>
    <w:rsid w:val="003501DE"/>
    <w:rsid w:val="003503C9"/>
    <w:rsid w:val="003505CC"/>
    <w:rsid w:val="00350B9A"/>
    <w:rsid w:val="003515F8"/>
    <w:rsid w:val="00352B43"/>
    <w:rsid w:val="00353498"/>
    <w:rsid w:val="0035354D"/>
    <w:rsid w:val="00353ED8"/>
    <w:rsid w:val="00354126"/>
    <w:rsid w:val="00354D5A"/>
    <w:rsid w:val="00354D89"/>
    <w:rsid w:val="00354EB9"/>
    <w:rsid w:val="003553E6"/>
    <w:rsid w:val="0035543F"/>
    <w:rsid w:val="00355BC2"/>
    <w:rsid w:val="00355CB4"/>
    <w:rsid w:val="00357162"/>
    <w:rsid w:val="0035763B"/>
    <w:rsid w:val="0035785A"/>
    <w:rsid w:val="003601DD"/>
    <w:rsid w:val="00360F69"/>
    <w:rsid w:val="00361452"/>
    <w:rsid w:val="00361F0C"/>
    <w:rsid w:val="00361FEE"/>
    <w:rsid w:val="00362CAE"/>
    <w:rsid w:val="00362CC1"/>
    <w:rsid w:val="00362DE3"/>
    <w:rsid w:val="00363015"/>
    <w:rsid w:val="00364210"/>
    <w:rsid w:val="0036437B"/>
    <w:rsid w:val="00364502"/>
    <w:rsid w:val="00364B09"/>
    <w:rsid w:val="00364B32"/>
    <w:rsid w:val="00365029"/>
    <w:rsid w:val="00365C66"/>
    <w:rsid w:val="00365CD8"/>
    <w:rsid w:val="00365D9F"/>
    <w:rsid w:val="00366397"/>
    <w:rsid w:val="00366A85"/>
    <w:rsid w:val="003675AB"/>
    <w:rsid w:val="003676FA"/>
    <w:rsid w:val="00367C29"/>
    <w:rsid w:val="00367EE6"/>
    <w:rsid w:val="00370083"/>
    <w:rsid w:val="003701AF"/>
    <w:rsid w:val="003702A1"/>
    <w:rsid w:val="00371088"/>
    <w:rsid w:val="003714E8"/>
    <w:rsid w:val="00371C3C"/>
    <w:rsid w:val="00371E9B"/>
    <w:rsid w:val="00372165"/>
    <w:rsid w:val="003728BF"/>
    <w:rsid w:val="00372B64"/>
    <w:rsid w:val="00372B66"/>
    <w:rsid w:val="00372D45"/>
    <w:rsid w:val="00372DF3"/>
    <w:rsid w:val="00372DF4"/>
    <w:rsid w:val="0037306A"/>
    <w:rsid w:val="0037315F"/>
    <w:rsid w:val="00373A02"/>
    <w:rsid w:val="003741EB"/>
    <w:rsid w:val="003742E2"/>
    <w:rsid w:val="00374AB2"/>
    <w:rsid w:val="00374B94"/>
    <w:rsid w:val="00374E9B"/>
    <w:rsid w:val="00375522"/>
    <w:rsid w:val="003756E1"/>
    <w:rsid w:val="003759A2"/>
    <w:rsid w:val="00375A72"/>
    <w:rsid w:val="00375B25"/>
    <w:rsid w:val="003762A4"/>
    <w:rsid w:val="003766E6"/>
    <w:rsid w:val="00376A2E"/>
    <w:rsid w:val="00376BC6"/>
    <w:rsid w:val="00376CA3"/>
    <w:rsid w:val="003772C0"/>
    <w:rsid w:val="00377E55"/>
    <w:rsid w:val="003802FF"/>
    <w:rsid w:val="00380674"/>
    <w:rsid w:val="00380B17"/>
    <w:rsid w:val="00380BC4"/>
    <w:rsid w:val="00380C35"/>
    <w:rsid w:val="00381B78"/>
    <w:rsid w:val="003822FB"/>
    <w:rsid w:val="003825EF"/>
    <w:rsid w:val="00382686"/>
    <w:rsid w:val="00383352"/>
    <w:rsid w:val="00383681"/>
    <w:rsid w:val="00383B6F"/>
    <w:rsid w:val="00383D62"/>
    <w:rsid w:val="00383F32"/>
    <w:rsid w:val="00384164"/>
    <w:rsid w:val="003842D6"/>
    <w:rsid w:val="003843D8"/>
    <w:rsid w:val="003848D5"/>
    <w:rsid w:val="00384E7E"/>
    <w:rsid w:val="00385CA1"/>
    <w:rsid w:val="00385E29"/>
    <w:rsid w:val="00385F95"/>
    <w:rsid w:val="003861C1"/>
    <w:rsid w:val="00386377"/>
    <w:rsid w:val="00386418"/>
    <w:rsid w:val="00386D0B"/>
    <w:rsid w:val="00390092"/>
    <w:rsid w:val="003911CA"/>
    <w:rsid w:val="003916E0"/>
    <w:rsid w:val="0039180F"/>
    <w:rsid w:val="00391DD7"/>
    <w:rsid w:val="00391E4C"/>
    <w:rsid w:val="00391EA1"/>
    <w:rsid w:val="003920A8"/>
    <w:rsid w:val="00392853"/>
    <w:rsid w:val="003931CC"/>
    <w:rsid w:val="003936B9"/>
    <w:rsid w:val="00393EAA"/>
    <w:rsid w:val="003945D9"/>
    <w:rsid w:val="00394826"/>
    <w:rsid w:val="0039512F"/>
    <w:rsid w:val="00395452"/>
    <w:rsid w:val="003955F3"/>
    <w:rsid w:val="00395BB7"/>
    <w:rsid w:val="003961E1"/>
    <w:rsid w:val="0039708B"/>
    <w:rsid w:val="003970AF"/>
    <w:rsid w:val="00397240"/>
    <w:rsid w:val="00397FC6"/>
    <w:rsid w:val="003A0B84"/>
    <w:rsid w:val="003A0CE7"/>
    <w:rsid w:val="003A0D2E"/>
    <w:rsid w:val="003A1020"/>
    <w:rsid w:val="003A1689"/>
    <w:rsid w:val="003A1CB4"/>
    <w:rsid w:val="003A1E22"/>
    <w:rsid w:val="003A2CBF"/>
    <w:rsid w:val="003A2E95"/>
    <w:rsid w:val="003A2F3E"/>
    <w:rsid w:val="003A31D9"/>
    <w:rsid w:val="003A368E"/>
    <w:rsid w:val="003A3B5A"/>
    <w:rsid w:val="003A3E83"/>
    <w:rsid w:val="003A3EC5"/>
    <w:rsid w:val="003A47C2"/>
    <w:rsid w:val="003A4AF9"/>
    <w:rsid w:val="003A4EDC"/>
    <w:rsid w:val="003A5761"/>
    <w:rsid w:val="003A5EF8"/>
    <w:rsid w:val="003A610B"/>
    <w:rsid w:val="003A6751"/>
    <w:rsid w:val="003A6D0E"/>
    <w:rsid w:val="003A6EC9"/>
    <w:rsid w:val="003A7119"/>
    <w:rsid w:val="003A7582"/>
    <w:rsid w:val="003A7642"/>
    <w:rsid w:val="003B0065"/>
    <w:rsid w:val="003B12D1"/>
    <w:rsid w:val="003B1DEA"/>
    <w:rsid w:val="003B249C"/>
    <w:rsid w:val="003B24A5"/>
    <w:rsid w:val="003B3126"/>
    <w:rsid w:val="003B38E9"/>
    <w:rsid w:val="003B3CDF"/>
    <w:rsid w:val="003B3FE6"/>
    <w:rsid w:val="003B440A"/>
    <w:rsid w:val="003B44D7"/>
    <w:rsid w:val="003B46AA"/>
    <w:rsid w:val="003B4820"/>
    <w:rsid w:val="003B4CAF"/>
    <w:rsid w:val="003B5262"/>
    <w:rsid w:val="003B5308"/>
    <w:rsid w:val="003B5503"/>
    <w:rsid w:val="003B5581"/>
    <w:rsid w:val="003B6514"/>
    <w:rsid w:val="003B665E"/>
    <w:rsid w:val="003B6FA8"/>
    <w:rsid w:val="003B741A"/>
    <w:rsid w:val="003B763E"/>
    <w:rsid w:val="003B7D81"/>
    <w:rsid w:val="003B7E96"/>
    <w:rsid w:val="003B7EE7"/>
    <w:rsid w:val="003C0284"/>
    <w:rsid w:val="003C0515"/>
    <w:rsid w:val="003C11A6"/>
    <w:rsid w:val="003C148E"/>
    <w:rsid w:val="003C199A"/>
    <w:rsid w:val="003C2730"/>
    <w:rsid w:val="003C273B"/>
    <w:rsid w:val="003C3052"/>
    <w:rsid w:val="003C30F9"/>
    <w:rsid w:val="003C365A"/>
    <w:rsid w:val="003C369E"/>
    <w:rsid w:val="003C41DE"/>
    <w:rsid w:val="003C4C15"/>
    <w:rsid w:val="003C4DA7"/>
    <w:rsid w:val="003C544B"/>
    <w:rsid w:val="003C5992"/>
    <w:rsid w:val="003C5B5D"/>
    <w:rsid w:val="003C5C57"/>
    <w:rsid w:val="003C6031"/>
    <w:rsid w:val="003C6202"/>
    <w:rsid w:val="003C6A36"/>
    <w:rsid w:val="003C6D13"/>
    <w:rsid w:val="003C70BF"/>
    <w:rsid w:val="003D0570"/>
    <w:rsid w:val="003D0A1C"/>
    <w:rsid w:val="003D0C03"/>
    <w:rsid w:val="003D0D30"/>
    <w:rsid w:val="003D103E"/>
    <w:rsid w:val="003D213A"/>
    <w:rsid w:val="003D2635"/>
    <w:rsid w:val="003D2985"/>
    <w:rsid w:val="003D2C1F"/>
    <w:rsid w:val="003D3331"/>
    <w:rsid w:val="003D33EA"/>
    <w:rsid w:val="003D35E1"/>
    <w:rsid w:val="003D3DEB"/>
    <w:rsid w:val="003D3E60"/>
    <w:rsid w:val="003D3EC0"/>
    <w:rsid w:val="003D4341"/>
    <w:rsid w:val="003D4474"/>
    <w:rsid w:val="003D46DF"/>
    <w:rsid w:val="003D489F"/>
    <w:rsid w:val="003D4E0E"/>
    <w:rsid w:val="003D5A84"/>
    <w:rsid w:val="003D6D8A"/>
    <w:rsid w:val="003D760C"/>
    <w:rsid w:val="003D76EE"/>
    <w:rsid w:val="003E0605"/>
    <w:rsid w:val="003E08CC"/>
    <w:rsid w:val="003E0907"/>
    <w:rsid w:val="003E0BA6"/>
    <w:rsid w:val="003E0E31"/>
    <w:rsid w:val="003E10C3"/>
    <w:rsid w:val="003E1145"/>
    <w:rsid w:val="003E118B"/>
    <w:rsid w:val="003E25AC"/>
    <w:rsid w:val="003E26C1"/>
    <w:rsid w:val="003E2DB1"/>
    <w:rsid w:val="003E3BA5"/>
    <w:rsid w:val="003E3C39"/>
    <w:rsid w:val="003E4BED"/>
    <w:rsid w:val="003E5177"/>
    <w:rsid w:val="003E64C5"/>
    <w:rsid w:val="003E73D3"/>
    <w:rsid w:val="003E776A"/>
    <w:rsid w:val="003E7FDB"/>
    <w:rsid w:val="003F014D"/>
    <w:rsid w:val="003F0488"/>
    <w:rsid w:val="003F0751"/>
    <w:rsid w:val="003F07EA"/>
    <w:rsid w:val="003F09A0"/>
    <w:rsid w:val="003F1366"/>
    <w:rsid w:val="003F15D3"/>
    <w:rsid w:val="003F2702"/>
    <w:rsid w:val="003F2CDC"/>
    <w:rsid w:val="003F32E3"/>
    <w:rsid w:val="003F3365"/>
    <w:rsid w:val="003F35F8"/>
    <w:rsid w:val="003F45BE"/>
    <w:rsid w:val="003F4987"/>
    <w:rsid w:val="003F4BA3"/>
    <w:rsid w:val="003F514A"/>
    <w:rsid w:val="003F5530"/>
    <w:rsid w:val="003F58B9"/>
    <w:rsid w:val="003F59C0"/>
    <w:rsid w:val="003F5E5C"/>
    <w:rsid w:val="003F63FF"/>
    <w:rsid w:val="003F64C7"/>
    <w:rsid w:val="003F6522"/>
    <w:rsid w:val="003F6917"/>
    <w:rsid w:val="003F71DC"/>
    <w:rsid w:val="003F798F"/>
    <w:rsid w:val="003F7AD3"/>
    <w:rsid w:val="003F7EF5"/>
    <w:rsid w:val="00400384"/>
    <w:rsid w:val="0040044D"/>
    <w:rsid w:val="00400769"/>
    <w:rsid w:val="00400874"/>
    <w:rsid w:val="00400AA1"/>
    <w:rsid w:val="00400B4E"/>
    <w:rsid w:val="00400F42"/>
    <w:rsid w:val="004014D5"/>
    <w:rsid w:val="004015E3"/>
    <w:rsid w:val="00401841"/>
    <w:rsid w:val="00401DF7"/>
    <w:rsid w:val="00402FBA"/>
    <w:rsid w:val="004035E3"/>
    <w:rsid w:val="00403C6A"/>
    <w:rsid w:val="0040412B"/>
    <w:rsid w:val="0040423B"/>
    <w:rsid w:val="0040437F"/>
    <w:rsid w:val="00404B61"/>
    <w:rsid w:val="00404BFD"/>
    <w:rsid w:val="00404D26"/>
    <w:rsid w:val="00404EF8"/>
    <w:rsid w:val="00404F0B"/>
    <w:rsid w:val="00405982"/>
    <w:rsid w:val="00405C49"/>
    <w:rsid w:val="004060DE"/>
    <w:rsid w:val="0040649F"/>
    <w:rsid w:val="00406AD5"/>
    <w:rsid w:val="00406C43"/>
    <w:rsid w:val="00406CE9"/>
    <w:rsid w:val="00406D0B"/>
    <w:rsid w:val="00406D99"/>
    <w:rsid w:val="00406EB1"/>
    <w:rsid w:val="00406FD8"/>
    <w:rsid w:val="004105E4"/>
    <w:rsid w:val="00410643"/>
    <w:rsid w:val="00411189"/>
    <w:rsid w:val="004128A9"/>
    <w:rsid w:val="004138F7"/>
    <w:rsid w:val="00413CBF"/>
    <w:rsid w:val="00413D6A"/>
    <w:rsid w:val="0041412C"/>
    <w:rsid w:val="004151DA"/>
    <w:rsid w:val="004151FA"/>
    <w:rsid w:val="00415BDB"/>
    <w:rsid w:val="004163D1"/>
    <w:rsid w:val="00416C6E"/>
    <w:rsid w:val="00416E0E"/>
    <w:rsid w:val="004174E8"/>
    <w:rsid w:val="00417703"/>
    <w:rsid w:val="00420398"/>
    <w:rsid w:val="00420828"/>
    <w:rsid w:val="00420B88"/>
    <w:rsid w:val="00420D50"/>
    <w:rsid w:val="004217F9"/>
    <w:rsid w:val="00421A17"/>
    <w:rsid w:val="00421C18"/>
    <w:rsid w:val="00421D40"/>
    <w:rsid w:val="00421E45"/>
    <w:rsid w:val="00421E5F"/>
    <w:rsid w:val="004222DC"/>
    <w:rsid w:val="004227E5"/>
    <w:rsid w:val="00425F8F"/>
    <w:rsid w:val="00426080"/>
    <w:rsid w:val="00426335"/>
    <w:rsid w:val="0042678E"/>
    <w:rsid w:val="004269CF"/>
    <w:rsid w:val="00426AA6"/>
    <w:rsid w:val="00426CEC"/>
    <w:rsid w:val="00426DAE"/>
    <w:rsid w:val="00426F13"/>
    <w:rsid w:val="0042701C"/>
    <w:rsid w:val="00427223"/>
    <w:rsid w:val="00427530"/>
    <w:rsid w:val="00430AA0"/>
    <w:rsid w:val="0043202D"/>
    <w:rsid w:val="00432C07"/>
    <w:rsid w:val="00432D33"/>
    <w:rsid w:val="00433008"/>
    <w:rsid w:val="0043356B"/>
    <w:rsid w:val="004339C8"/>
    <w:rsid w:val="00433D3E"/>
    <w:rsid w:val="00434726"/>
    <w:rsid w:val="0043492D"/>
    <w:rsid w:val="00435000"/>
    <w:rsid w:val="004352E7"/>
    <w:rsid w:val="004357B9"/>
    <w:rsid w:val="00435A81"/>
    <w:rsid w:val="004365EC"/>
    <w:rsid w:val="00436BFC"/>
    <w:rsid w:val="00437B32"/>
    <w:rsid w:val="00437FDD"/>
    <w:rsid w:val="004410AA"/>
    <w:rsid w:val="0044181C"/>
    <w:rsid w:val="00441931"/>
    <w:rsid w:val="00441A44"/>
    <w:rsid w:val="00441C30"/>
    <w:rsid w:val="00441F02"/>
    <w:rsid w:val="00441F3B"/>
    <w:rsid w:val="00442374"/>
    <w:rsid w:val="00442497"/>
    <w:rsid w:val="00442C76"/>
    <w:rsid w:val="00442FD7"/>
    <w:rsid w:val="00442FF3"/>
    <w:rsid w:val="0044342C"/>
    <w:rsid w:val="004436DB"/>
    <w:rsid w:val="0044461A"/>
    <w:rsid w:val="00444D6A"/>
    <w:rsid w:val="00445116"/>
    <w:rsid w:val="00445131"/>
    <w:rsid w:val="0044522F"/>
    <w:rsid w:val="00445384"/>
    <w:rsid w:val="004456E5"/>
    <w:rsid w:val="00445B35"/>
    <w:rsid w:val="004462F4"/>
    <w:rsid w:val="00446676"/>
    <w:rsid w:val="00446D47"/>
    <w:rsid w:val="00446E17"/>
    <w:rsid w:val="00446E9F"/>
    <w:rsid w:val="004470AC"/>
    <w:rsid w:val="004477EE"/>
    <w:rsid w:val="0045032D"/>
    <w:rsid w:val="004503D5"/>
    <w:rsid w:val="00450BE5"/>
    <w:rsid w:val="00450CC3"/>
    <w:rsid w:val="00450D34"/>
    <w:rsid w:val="00450FA9"/>
    <w:rsid w:val="0045116B"/>
    <w:rsid w:val="00451A2D"/>
    <w:rsid w:val="00452AB5"/>
    <w:rsid w:val="00452BC4"/>
    <w:rsid w:val="00452E6A"/>
    <w:rsid w:val="004531C9"/>
    <w:rsid w:val="004534FA"/>
    <w:rsid w:val="00453996"/>
    <w:rsid w:val="004544AA"/>
    <w:rsid w:val="0045458E"/>
    <w:rsid w:val="004545AD"/>
    <w:rsid w:val="00454618"/>
    <w:rsid w:val="00454634"/>
    <w:rsid w:val="00454804"/>
    <w:rsid w:val="0045486F"/>
    <w:rsid w:val="00454EFE"/>
    <w:rsid w:val="00454FCD"/>
    <w:rsid w:val="0045554D"/>
    <w:rsid w:val="004557EC"/>
    <w:rsid w:val="00456422"/>
    <w:rsid w:val="004566E6"/>
    <w:rsid w:val="00456982"/>
    <w:rsid w:val="00456E02"/>
    <w:rsid w:val="00456EBA"/>
    <w:rsid w:val="004570E7"/>
    <w:rsid w:val="00457E09"/>
    <w:rsid w:val="00460163"/>
    <w:rsid w:val="00460300"/>
    <w:rsid w:val="00460332"/>
    <w:rsid w:val="0046067C"/>
    <w:rsid w:val="004606E6"/>
    <w:rsid w:val="004609C4"/>
    <w:rsid w:val="00460E0D"/>
    <w:rsid w:val="00460F3F"/>
    <w:rsid w:val="00461031"/>
    <w:rsid w:val="00461B4B"/>
    <w:rsid w:val="00461D43"/>
    <w:rsid w:val="00461E14"/>
    <w:rsid w:val="00463979"/>
    <w:rsid w:val="00464302"/>
    <w:rsid w:val="00465029"/>
    <w:rsid w:val="0046548A"/>
    <w:rsid w:val="004656B8"/>
    <w:rsid w:val="00465754"/>
    <w:rsid w:val="00465C92"/>
    <w:rsid w:val="00465EF9"/>
    <w:rsid w:val="00465F5A"/>
    <w:rsid w:val="004663A9"/>
    <w:rsid w:val="00466685"/>
    <w:rsid w:val="00466F9D"/>
    <w:rsid w:val="00467427"/>
    <w:rsid w:val="00467A8D"/>
    <w:rsid w:val="004700B4"/>
    <w:rsid w:val="00470A7A"/>
    <w:rsid w:val="00470DD6"/>
    <w:rsid w:val="00470E1E"/>
    <w:rsid w:val="00471F8B"/>
    <w:rsid w:val="00472204"/>
    <w:rsid w:val="00472B57"/>
    <w:rsid w:val="00473207"/>
    <w:rsid w:val="00473301"/>
    <w:rsid w:val="0047333E"/>
    <w:rsid w:val="00473442"/>
    <w:rsid w:val="00473D74"/>
    <w:rsid w:val="004742D3"/>
    <w:rsid w:val="00474921"/>
    <w:rsid w:val="00474AC9"/>
    <w:rsid w:val="0047520D"/>
    <w:rsid w:val="004752A8"/>
    <w:rsid w:val="00475756"/>
    <w:rsid w:val="0047576E"/>
    <w:rsid w:val="00476228"/>
    <w:rsid w:val="00476343"/>
    <w:rsid w:val="004768FA"/>
    <w:rsid w:val="00477291"/>
    <w:rsid w:val="00480424"/>
    <w:rsid w:val="00480C2C"/>
    <w:rsid w:val="00480C99"/>
    <w:rsid w:val="0048190D"/>
    <w:rsid w:val="00481D5F"/>
    <w:rsid w:val="004823D6"/>
    <w:rsid w:val="00482801"/>
    <w:rsid w:val="00482DA1"/>
    <w:rsid w:val="00482F8A"/>
    <w:rsid w:val="00483258"/>
    <w:rsid w:val="004833EE"/>
    <w:rsid w:val="00483464"/>
    <w:rsid w:val="0048365D"/>
    <w:rsid w:val="004836E5"/>
    <w:rsid w:val="00483C13"/>
    <w:rsid w:val="00483EC8"/>
    <w:rsid w:val="00484149"/>
    <w:rsid w:val="0048468D"/>
    <w:rsid w:val="0048497F"/>
    <w:rsid w:val="00484EB3"/>
    <w:rsid w:val="0048505C"/>
    <w:rsid w:val="00485300"/>
    <w:rsid w:val="004855D4"/>
    <w:rsid w:val="00485B35"/>
    <w:rsid w:val="00485DB1"/>
    <w:rsid w:val="00485F6B"/>
    <w:rsid w:val="00486019"/>
    <w:rsid w:val="00486D08"/>
    <w:rsid w:val="00487578"/>
    <w:rsid w:val="004877B3"/>
    <w:rsid w:val="00490DDF"/>
    <w:rsid w:val="00491E4A"/>
    <w:rsid w:val="00492156"/>
    <w:rsid w:val="004922EB"/>
    <w:rsid w:val="0049273C"/>
    <w:rsid w:val="00492BDA"/>
    <w:rsid w:val="00492D16"/>
    <w:rsid w:val="00492DED"/>
    <w:rsid w:val="004933DC"/>
    <w:rsid w:val="00493C24"/>
    <w:rsid w:val="00493CA6"/>
    <w:rsid w:val="00493D49"/>
    <w:rsid w:val="00493E57"/>
    <w:rsid w:val="00494DD5"/>
    <w:rsid w:val="004951DC"/>
    <w:rsid w:val="00495734"/>
    <w:rsid w:val="00495786"/>
    <w:rsid w:val="00495AC1"/>
    <w:rsid w:val="00495C83"/>
    <w:rsid w:val="00495F8D"/>
    <w:rsid w:val="004962AD"/>
    <w:rsid w:val="004966FB"/>
    <w:rsid w:val="00496B87"/>
    <w:rsid w:val="00496D71"/>
    <w:rsid w:val="00497165"/>
    <w:rsid w:val="00497F76"/>
    <w:rsid w:val="004A01F9"/>
    <w:rsid w:val="004A03AB"/>
    <w:rsid w:val="004A0AF5"/>
    <w:rsid w:val="004A0E13"/>
    <w:rsid w:val="004A147F"/>
    <w:rsid w:val="004A1661"/>
    <w:rsid w:val="004A1ED8"/>
    <w:rsid w:val="004A227D"/>
    <w:rsid w:val="004A2F65"/>
    <w:rsid w:val="004A30AF"/>
    <w:rsid w:val="004A31CC"/>
    <w:rsid w:val="004A3577"/>
    <w:rsid w:val="004A3FD6"/>
    <w:rsid w:val="004A4222"/>
    <w:rsid w:val="004A42C6"/>
    <w:rsid w:val="004A482A"/>
    <w:rsid w:val="004A485C"/>
    <w:rsid w:val="004A4D09"/>
    <w:rsid w:val="004A4E33"/>
    <w:rsid w:val="004A5065"/>
    <w:rsid w:val="004A5FB1"/>
    <w:rsid w:val="004A609E"/>
    <w:rsid w:val="004A631A"/>
    <w:rsid w:val="004A6972"/>
    <w:rsid w:val="004A6CE6"/>
    <w:rsid w:val="004A7371"/>
    <w:rsid w:val="004A74E2"/>
    <w:rsid w:val="004B01DD"/>
    <w:rsid w:val="004B0A53"/>
    <w:rsid w:val="004B0CEC"/>
    <w:rsid w:val="004B1927"/>
    <w:rsid w:val="004B1B5C"/>
    <w:rsid w:val="004B1CE6"/>
    <w:rsid w:val="004B1E02"/>
    <w:rsid w:val="004B2285"/>
    <w:rsid w:val="004B276D"/>
    <w:rsid w:val="004B2EFD"/>
    <w:rsid w:val="004B36ED"/>
    <w:rsid w:val="004B3BE4"/>
    <w:rsid w:val="004B3CB0"/>
    <w:rsid w:val="004B455A"/>
    <w:rsid w:val="004B4A5F"/>
    <w:rsid w:val="004B4DCC"/>
    <w:rsid w:val="004B4F53"/>
    <w:rsid w:val="004B4FEF"/>
    <w:rsid w:val="004B5550"/>
    <w:rsid w:val="004B567C"/>
    <w:rsid w:val="004B57F7"/>
    <w:rsid w:val="004B583B"/>
    <w:rsid w:val="004B5CA1"/>
    <w:rsid w:val="004B649F"/>
    <w:rsid w:val="004B66D4"/>
    <w:rsid w:val="004B69DF"/>
    <w:rsid w:val="004B6A69"/>
    <w:rsid w:val="004B7196"/>
    <w:rsid w:val="004B73A9"/>
    <w:rsid w:val="004B78DA"/>
    <w:rsid w:val="004B78EB"/>
    <w:rsid w:val="004B7BEC"/>
    <w:rsid w:val="004C049B"/>
    <w:rsid w:val="004C0626"/>
    <w:rsid w:val="004C0795"/>
    <w:rsid w:val="004C0EDF"/>
    <w:rsid w:val="004C1919"/>
    <w:rsid w:val="004C19F7"/>
    <w:rsid w:val="004C1D8B"/>
    <w:rsid w:val="004C1DA8"/>
    <w:rsid w:val="004C210B"/>
    <w:rsid w:val="004C21B8"/>
    <w:rsid w:val="004C238E"/>
    <w:rsid w:val="004C2551"/>
    <w:rsid w:val="004C2EEA"/>
    <w:rsid w:val="004C326B"/>
    <w:rsid w:val="004C3E6F"/>
    <w:rsid w:val="004C4195"/>
    <w:rsid w:val="004C438E"/>
    <w:rsid w:val="004C43AC"/>
    <w:rsid w:val="004C5E9F"/>
    <w:rsid w:val="004C6EEE"/>
    <w:rsid w:val="004C76A2"/>
    <w:rsid w:val="004C7B09"/>
    <w:rsid w:val="004C7C90"/>
    <w:rsid w:val="004C7CD8"/>
    <w:rsid w:val="004D039B"/>
    <w:rsid w:val="004D0DA1"/>
    <w:rsid w:val="004D0F80"/>
    <w:rsid w:val="004D1560"/>
    <w:rsid w:val="004D195B"/>
    <w:rsid w:val="004D1A4B"/>
    <w:rsid w:val="004D1B94"/>
    <w:rsid w:val="004D1E2C"/>
    <w:rsid w:val="004D221E"/>
    <w:rsid w:val="004D256D"/>
    <w:rsid w:val="004D2793"/>
    <w:rsid w:val="004D2CBC"/>
    <w:rsid w:val="004D2F12"/>
    <w:rsid w:val="004D4135"/>
    <w:rsid w:val="004D565F"/>
    <w:rsid w:val="004D5793"/>
    <w:rsid w:val="004D5A2F"/>
    <w:rsid w:val="004D5B19"/>
    <w:rsid w:val="004D5BC1"/>
    <w:rsid w:val="004D5F90"/>
    <w:rsid w:val="004D688C"/>
    <w:rsid w:val="004D6CF4"/>
    <w:rsid w:val="004D6D0C"/>
    <w:rsid w:val="004D7A55"/>
    <w:rsid w:val="004E0095"/>
    <w:rsid w:val="004E095F"/>
    <w:rsid w:val="004E0B7F"/>
    <w:rsid w:val="004E0DD0"/>
    <w:rsid w:val="004E0F30"/>
    <w:rsid w:val="004E110B"/>
    <w:rsid w:val="004E15C5"/>
    <w:rsid w:val="004E1991"/>
    <w:rsid w:val="004E245C"/>
    <w:rsid w:val="004E252A"/>
    <w:rsid w:val="004E2786"/>
    <w:rsid w:val="004E28E1"/>
    <w:rsid w:val="004E2D6E"/>
    <w:rsid w:val="004E3423"/>
    <w:rsid w:val="004E3823"/>
    <w:rsid w:val="004E387F"/>
    <w:rsid w:val="004E3C80"/>
    <w:rsid w:val="004E4122"/>
    <w:rsid w:val="004E4440"/>
    <w:rsid w:val="004E4825"/>
    <w:rsid w:val="004E516B"/>
    <w:rsid w:val="004E5504"/>
    <w:rsid w:val="004E5A75"/>
    <w:rsid w:val="004E5E8E"/>
    <w:rsid w:val="004E6347"/>
    <w:rsid w:val="004E6357"/>
    <w:rsid w:val="004E6943"/>
    <w:rsid w:val="004E72B9"/>
    <w:rsid w:val="004E759C"/>
    <w:rsid w:val="004E7ADA"/>
    <w:rsid w:val="004E7D13"/>
    <w:rsid w:val="004E7FAF"/>
    <w:rsid w:val="004F004B"/>
    <w:rsid w:val="004F0171"/>
    <w:rsid w:val="004F03E0"/>
    <w:rsid w:val="004F08D9"/>
    <w:rsid w:val="004F0909"/>
    <w:rsid w:val="004F0C23"/>
    <w:rsid w:val="004F0DE3"/>
    <w:rsid w:val="004F0FCC"/>
    <w:rsid w:val="004F1C39"/>
    <w:rsid w:val="004F1D9F"/>
    <w:rsid w:val="004F2390"/>
    <w:rsid w:val="004F24B0"/>
    <w:rsid w:val="004F27D5"/>
    <w:rsid w:val="004F2ADF"/>
    <w:rsid w:val="004F36AE"/>
    <w:rsid w:val="004F39C0"/>
    <w:rsid w:val="004F3C95"/>
    <w:rsid w:val="004F4492"/>
    <w:rsid w:val="004F45B3"/>
    <w:rsid w:val="004F50D0"/>
    <w:rsid w:val="004F5188"/>
    <w:rsid w:val="004F5827"/>
    <w:rsid w:val="004F5A80"/>
    <w:rsid w:val="004F5B61"/>
    <w:rsid w:val="004F606D"/>
    <w:rsid w:val="004F66D1"/>
    <w:rsid w:val="004F6A6D"/>
    <w:rsid w:val="004F6C18"/>
    <w:rsid w:val="004F6C2D"/>
    <w:rsid w:val="004F6E2D"/>
    <w:rsid w:val="004F6E32"/>
    <w:rsid w:val="004F7461"/>
    <w:rsid w:val="0050020B"/>
    <w:rsid w:val="005002F3"/>
    <w:rsid w:val="00500548"/>
    <w:rsid w:val="005008EC"/>
    <w:rsid w:val="00500D4E"/>
    <w:rsid w:val="00500E47"/>
    <w:rsid w:val="00501493"/>
    <w:rsid w:val="0050191C"/>
    <w:rsid w:val="00502A4B"/>
    <w:rsid w:val="00502AE8"/>
    <w:rsid w:val="00502F64"/>
    <w:rsid w:val="005036D3"/>
    <w:rsid w:val="005039F1"/>
    <w:rsid w:val="00503FC4"/>
    <w:rsid w:val="00504773"/>
    <w:rsid w:val="00504C63"/>
    <w:rsid w:val="00505052"/>
    <w:rsid w:val="00505C75"/>
    <w:rsid w:val="00506745"/>
    <w:rsid w:val="0050693F"/>
    <w:rsid w:val="00506A55"/>
    <w:rsid w:val="00506A72"/>
    <w:rsid w:val="00506EAB"/>
    <w:rsid w:val="00506F43"/>
    <w:rsid w:val="00507446"/>
    <w:rsid w:val="00507849"/>
    <w:rsid w:val="00507E80"/>
    <w:rsid w:val="00510236"/>
    <w:rsid w:val="00510AF5"/>
    <w:rsid w:val="00510F70"/>
    <w:rsid w:val="00511047"/>
    <w:rsid w:val="00511105"/>
    <w:rsid w:val="005113F3"/>
    <w:rsid w:val="00511C56"/>
    <w:rsid w:val="00511FA9"/>
    <w:rsid w:val="005124C9"/>
    <w:rsid w:val="0051323D"/>
    <w:rsid w:val="00513BBF"/>
    <w:rsid w:val="00513CC1"/>
    <w:rsid w:val="005144DB"/>
    <w:rsid w:val="00514E87"/>
    <w:rsid w:val="00514F08"/>
    <w:rsid w:val="00515F7A"/>
    <w:rsid w:val="005168BE"/>
    <w:rsid w:val="00516AE1"/>
    <w:rsid w:val="00516C80"/>
    <w:rsid w:val="00516DA4"/>
    <w:rsid w:val="005172FD"/>
    <w:rsid w:val="00517540"/>
    <w:rsid w:val="00520DBC"/>
    <w:rsid w:val="00520F15"/>
    <w:rsid w:val="00520F24"/>
    <w:rsid w:val="00521296"/>
    <w:rsid w:val="00521583"/>
    <w:rsid w:val="00521B2F"/>
    <w:rsid w:val="00521C45"/>
    <w:rsid w:val="00522077"/>
    <w:rsid w:val="00522AC0"/>
    <w:rsid w:val="00522CD0"/>
    <w:rsid w:val="00523195"/>
    <w:rsid w:val="0052344E"/>
    <w:rsid w:val="0052376A"/>
    <w:rsid w:val="005237F3"/>
    <w:rsid w:val="00523CEB"/>
    <w:rsid w:val="00523EEF"/>
    <w:rsid w:val="00525843"/>
    <w:rsid w:val="00525864"/>
    <w:rsid w:val="00525B8C"/>
    <w:rsid w:val="00525F80"/>
    <w:rsid w:val="005260D2"/>
    <w:rsid w:val="00526108"/>
    <w:rsid w:val="00527971"/>
    <w:rsid w:val="00527B6F"/>
    <w:rsid w:val="00530440"/>
    <w:rsid w:val="00530800"/>
    <w:rsid w:val="00531B2B"/>
    <w:rsid w:val="00532BFF"/>
    <w:rsid w:val="00532CE3"/>
    <w:rsid w:val="005336FE"/>
    <w:rsid w:val="005338BD"/>
    <w:rsid w:val="00533C9A"/>
    <w:rsid w:val="005343BC"/>
    <w:rsid w:val="00534B00"/>
    <w:rsid w:val="005358FA"/>
    <w:rsid w:val="00535F07"/>
    <w:rsid w:val="00536625"/>
    <w:rsid w:val="00536A9E"/>
    <w:rsid w:val="00536B59"/>
    <w:rsid w:val="00536F35"/>
    <w:rsid w:val="0053732D"/>
    <w:rsid w:val="0053751E"/>
    <w:rsid w:val="005375D5"/>
    <w:rsid w:val="00537DC1"/>
    <w:rsid w:val="0054023C"/>
    <w:rsid w:val="005404B7"/>
    <w:rsid w:val="0054113D"/>
    <w:rsid w:val="00541756"/>
    <w:rsid w:val="005418F9"/>
    <w:rsid w:val="00542B4C"/>
    <w:rsid w:val="00542CA3"/>
    <w:rsid w:val="00542F2C"/>
    <w:rsid w:val="005432B2"/>
    <w:rsid w:val="00543709"/>
    <w:rsid w:val="005437B3"/>
    <w:rsid w:val="005439FE"/>
    <w:rsid w:val="005444D6"/>
    <w:rsid w:val="00544B0C"/>
    <w:rsid w:val="00544BE5"/>
    <w:rsid w:val="00545060"/>
    <w:rsid w:val="005453C9"/>
    <w:rsid w:val="00545400"/>
    <w:rsid w:val="0054571D"/>
    <w:rsid w:val="005459F7"/>
    <w:rsid w:val="00545BE6"/>
    <w:rsid w:val="00545E1F"/>
    <w:rsid w:val="0054637E"/>
    <w:rsid w:val="00546973"/>
    <w:rsid w:val="00546D10"/>
    <w:rsid w:val="00547043"/>
    <w:rsid w:val="00547348"/>
    <w:rsid w:val="005477C4"/>
    <w:rsid w:val="0054791E"/>
    <w:rsid w:val="00547D91"/>
    <w:rsid w:val="00547EA0"/>
    <w:rsid w:val="00550001"/>
    <w:rsid w:val="0055082D"/>
    <w:rsid w:val="00550893"/>
    <w:rsid w:val="00550986"/>
    <w:rsid w:val="00550DE1"/>
    <w:rsid w:val="00551129"/>
    <w:rsid w:val="00551135"/>
    <w:rsid w:val="00551296"/>
    <w:rsid w:val="005514FB"/>
    <w:rsid w:val="005515A8"/>
    <w:rsid w:val="00551983"/>
    <w:rsid w:val="0055208D"/>
    <w:rsid w:val="005526BE"/>
    <w:rsid w:val="00552D06"/>
    <w:rsid w:val="00553022"/>
    <w:rsid w:val="0055305D"/>
    <w:rsid w:val="00553082"/>
    <w:rsid w:val="00553350"/>
    <w:rsid w:val="005539F1"/>
    <w:rsid w:val="00553EF6"/>
    <w:rsid w:val="00554B2B"/>
    <w:rsid w:val="00554E70"/>
    <w:rsid w:val="0055598A"/>
    <w:rsid w:val="00555B2A"/>
    <w:rsid w:val="00555CEE"/>
    <w:rsid w:val="00555D4F"/>
    <w:rsid w:val="0055630A"/>
    <w:rsid w:val="00556535"/>
    <w:rsid w:val="00556842"/>
    <w:rsid w:val="00556D65"/>
    <w:rsid w:val="00557518"/>
    <w:rsid w:val="00557979"/>
    <w:rsid w:val="00557B37"/>
    <w:rsid w:val="00557CAA"/>
    <w:rsid w:val="00557D78"/>
    <w:rsid w:val="0056002D"/>
    <w:rsid w:val="005603BC"/>
    <w:rsid w:val="005604D9"/>
    <w:rsid w:val="00560FAC"/>
    <w:rsid w:val="0056107B"/>
    <w:rsid w:val="00561AFF"/>
    <w:rsid w:val="00562797"/>
    <w:rsid w:val="00563D9B"/>
    <w:rsid w:val="005641F8"/>
    <w:rsid w:val="00565C3B"/>
    <w:rsid w:val="00566C7E"/>
    <w:rsid w:val="0056719E"/>
    <w:rsid w:val="00567497"/>
    <w:rsid w:val="00567E44"/>
    <w:rsid w:val="005708CC"/>
    <w:rsid w:val="00570958"/>
    <w:rsid w:val="00570C56"/>
    <w:rsid w:val="00570ED5"/>
    <w:rsid w:val="00571056"/>
    <w:rsid w:val="00572F6F"/>
    <w:rsid w:val="005730DB"/>
    <w:rsid w:val="00573368"/>
    <w:rsid w:val="00574AD4"/>
    <w:rsid w:val="00574C42"/>
    <w:rsid w:val="0057565B"/>
    <w:rsid w:val="005756FC"/>
    <w:rsid w:val="00576244"/>
    <w:rsid w:val="005763B0"/>
    <w:rsid w:val="00576593"/>
    <w:rsid w:val="00576B3A"/>
    <w:rsid w:val="00576B63"/>
    <w:rsid w:val="005770C6"/>
    <w:rsid w:val="005800AA"/>
    <w:rsid w:val="00580182"/>
    <w:rsid w:val="00580698"/>
    <w:rsid w:val="005812E7"/>
    <w:rsid w:val="0058140B"/>
    <w:rsid w:val="00582471"/>
    <w:rsid w:val="0058290B"/>
    <w:rsid w:val="005832B5"/>
    <w:rsid w:val="0058337B"/>
    <w:rsid w:val="005839BA"/>
    <w:rsid w:val="005846CF"/>
    <w:rsid w:val="00584BFC"/>
    <w:rsid w:val="005853FB"/>
    <w:rsid w:val="00585661"/>
    <w:rsid w:val="005857E4"/>
    <w:rsid w:val="005859CA"/>
    <w:rsid w:val="00585F75"/>
    <w:rsid w:val="00586878"/>
    <w:rsid w:val="00586E76"/>
    <w:rsid w:val="00587085"/>
    <w:rsid w:val="0058721F"/>
    <w:rsid w:val="00587453"/>
    <w:rsid w:val="0058759D"/>
    <w:rsid w:val="00587671"/>
    <w:rsid w:val="00587A4E"/>
    <w:rsid w:val="00587EBE"/>
    <w:rsid w:val="00590297"/>
    <w:rsid w:val="005902AE"/>
    <w:rsid w:val="005917E6"/>
    <w:rsid w:val="00591848"/>
    <w:rsid w:val="005922CA"/>
    <w:rsid w:val="005934A4"/>
    <w:rsid w:val="00593503"/>
    <w:rsid w:val="00593653"/>
    <w:rsid w:val="00593655"/>
    <w:rsid w:val="00593CF2"/>
    <w:rsid w:val="00593DE5"/>
    <w:rsid w:val="0059446D"/>
    <w:rsid w:val="00594A62"/>
    <w:rsid w:val="00594ABB"/>
    <w:rsid w:val="00594FF5"/>
    <w:rsid w:val="00595786"/>
    <w:rsid w:val="005957C0"/>
    <w:rsid w:val="00595956"/>
    <w:rsid w:val="00595C88"/>
    <w:rsid w:val="00595D93"/>
    <w:rsid w:val="00595ECD"/>
    <w:rsid w:val="00596745"/>
    <w:rsid w:val="005968A9"/>
    <w:rsid w:val="0059694F"/>
    <w:rsid w:val="00596FB9"/>
    <w:rsid w:val="00597359"/>
    <w:rsid w:val="005A0671"/>
    <w:rsid w:val="005A0F9E"/>
    <w:rsid w:val="005A129A"/>
    <w:rsid w:val="005A177A"/>
    <w:rsid w:val="005A27D9"/>
    <w:rsid w:val="005A3336"/>
    <w:rsid w:val="005A33E0"/>
    <w:rsid w:val="005A383A"/>
    <w:rsid w:val="005A3B75"/>
    <w:rsid w:val="005A46FC"/>
    <w:rsid w:val="005A4A30"/>
    <w:rsid w:val="005A4B2C"/>
    <w:rsid w:val="005A4E64"/>
    <w:rsid w:val="005A51F2"/>
    <w:rsid w:val="005A553D"/>
    <w:rsid w:val="005A5970"/>
    <w:rsid w:val="005A5BE0"/>
    <w:rsid w:val="005A6290"/>
    <w:rsid w:val="005A6334"/>
    <w:rsid w:val="005A76D4"/>
    <w:rsid w:val="005A779F"/>
    <w:rsid w:val="005A78F8"/>
    <w:rsid w:val="005B077F"/>
    <w:rsid w:val="005B0860"/>
    <w:rsid w:val="005B0865"/>
    <w:rsid w:val="005B0A0C"/>
    <w:rsid w:val="005B0C27"/>
    <w:rsid w:val="005B1945"/>
    <w:rsid w:val="005B1AA5"/>
    <w:rsid w:val="005B1B44"/>
    <w:rsid w:val="005B1C7D"/>
    <w:rsid w:val="005B1E98"/>
    <w:rsid w:val="005B325A"/>
    <w:rsid w:val="005B329A"/>
    <w:rsid w:val="005B3F6E"/>
    <w:rsid w:val="005B4054"/>
    <w:rsid w:val="005B44F6"/>
    <w:rsid w:val="005B4EA2"/>
    <w:rsid w:val="005B4F90"/>
    <w:rsid w:val="005B5860"/>
    <w:rsid w:val="005B5B67"/>
    <w:rsid w:val="005B5C46"/>
    <w:rsid w:val="005B609C"/>
    <w:rsid w:val="005B6287"/>
    <w:rsid w:val="005B6386"/>
    <w:rsid w:val="005B65A5"/>
    <w:rsid w:val="005B6870"/>
    <w:rsid w:val="005B689C"/>
    <w:rsid w:val="005B6B70"/>
    <w:rsid w:val="005B6E09"/>
    <w:rsid w:val="005B74F3"/>
    <w:rsid w:val="005B79E5"/>
    <w:rsid w:val="005C045C"/>
    <w:rsid w:val="005C054F"/>
    <w:rsid w:val="005C0F7C"/>
    <w:rsid w:val="005C10D8"/>
    <w:rsid w:val="005C1461"/>
    <w:rsid w:val="005C22CE"/>
    <w:rsid w:val="005C2684"/>
    <w:rsid w:val="005C2688"/>
    <w:rsid w:val="005C289E"/>
    <w:rsid w:val="005C2C1D"/>
    <w:rsid w:val="005C2D58"/>
    <w:rsid w:val="005C3542"/>
    <w:rsid w:val="005C3B23"/>
    <w:rsid w:val="005C422A"/>
    <w:rsid w:val="005C4492"/>
    <w:rsid w:val="005C4716"/>
    <w:rsid w:val="005C4912"/>
    <w:rsid w:val="005C4BE6"/>
    <w:rsid w:val="005C4E5F"/>
    <w:rsid w:val="005C577B"/>
    <w:rsid w:val="005C5C94"/>
    <w:rsid w:val="005C658B"/>
    <w:rsid w:val="005D0034"/>
    <w:rsid w:val="005D0464"/>
    <w:rsid w:val="005D0DF1"/>
    <w:rsid w:val="005D0FBC"/>
    <w:rsid w:val="005D1B8F"/>
    <w:rsid w:val="005D29DA"/>
    <w:rsid w:val="005D2CE7"/>
    <w:rsid w:val="005D2E2D"/>
    <w:rsid w:val="005D2F7D"/>
    <w:rsid w:val="005D3007"/>
    <w:rsid w:val="005D3A42"/>
    <w:rsid w:val="005D3B65"/>
    <w:rsid w:val="005D3EEA"/>
    <w:rsid w:val="005D4057"/>
    <w:rsid w:val="005D469F"/>
    <w:rsid w:val="005D4946"/>
    <w:rsid w:val="005D49A1"/>
    <w:rsid w:val="005D49C8"/>
    <w:rsid w:val="005D4A03"/>
    <w:rsid w:val="005D4E4E"/>
    <w:rsid w:val="005D5165"/>
    <w:rsid w:val="005D5CE6"/>
    <w:rsid w:val="005D657F"/>
    <w:rsid w:val="005D694E"/>
    <w:rsid w:val="005D69AB"/>
    <w:rsid w:val="005D6B06"/>
    <w:rsid w:val="005D6C1B"/>
    <w:rsid w:val="005D7144"/>
    <w:rsid w:val="005D7462"/>
    <w:rsid w:val="005D751E"/>
    <w:rsid w:val="005D7D89"/>
    <w:rsid w:val="005D7FC5"/>
    <w:rsid w:val="005E038C"/>
    <w:rsid w:val="005E0B7C"/>
    <w:rsid w:val="005E0E3D"/>
    <w:rsid w:val="005E16DE"/>
    <w:rsid w:val="005E1C85"/>
    <w:rsid w:val="005E1FDF"/>
    <w:rsid w:val="005E2271"/>
    <w:rsid w:val="005E2DFB"/>
    <w:rsid w:val="005E3265"/>
    <w:rsid w:val="005E3300"/>
    <w:rsid w:val="005E3667"/>
    <w:rsid w:val="005E38B6"/>
    <w:rsid w:val="005E3D05"/>
    <w:rsid w:val="005E432B"/>
    <w:rsid w:val="005E447C"/>
    <w:rsid w:val="005E475B"/>
    <w:rsid w:val="005E50E3"/>
    <w:rsid w:val="005E5795"/>
    <w:rsid w:val="005E57D3"/>
    <w:rsid w:val="005E5AE5"/>
    <w:rsid w:val="005E608F"/>
    <w:rsid w:val="005E62B0"/>
    <w:rsid w:val="005E6D8D"/>
    <w:rsid w:val="005E70E4"/>
    <w:rsid w:val="005E76E9"/>
    <w:rsid w:val="005E76EA"/>
    <w:rsid w:val="005E777D"/>
    <w:rsid w:val="005E7F7F"/>
    <w:rsid w:val="005F0438"/>
    <w:rsid w:val="005F062E"/>
    <w:rsid w:val="005F07C4"/>
    <w:rsid w:val="005F085A"/>
    <w:rsid w:val="005F086D"/>
    <w:rsid w:val="005F0A3E"/>
    <w:rsid w:val="005F0A3F"/>
    <w:rsid w:val="005F0C81"/>
    <w:rsid w:val="005F0DC1"/>
    <w:rsid w:val="005F10DB"/>
    <w:rsid w:val="005F116D"/>
    <w:rsid w:val="005F1530"/>
    <w:rsid w:val="005F1A20"/>
    <w:rsid w:val="005F1B03"/>
    <w:rsid w:val="005F391F"/>
    <w:rsid w:val="005F4561"/>
    <w:rsid w:val="005F4B62"/>
    <w:rsid w:val="005F4BAE"/>
    <w:rsid w:val="005F4D7E"/>
    <w:rsid w:val="005F51A2"/>
    <w:rsid w:val="005F5402"/>
    <w:rsid w:val="005F5604"/>
    <w:rsid w:val="005F58D6"/>
    <w:rsid w:val="005F5A1B"/>
    <w:rsid w:val="005F5C4D"/>
    <w:rsid w:val="005F5DC4"/>
    <w:rsid w:val="005F6523"/>
    <w:rsid w:val="005F6EDE"/>
    <w:rsid w:val="005F734B"/>
    <w:rsid w:val="005F77A3"/>
    <w:rsid w:val="005F7FC5"/>
    <w:rsid w:val="00600B55"/>
    <w:rsid w:val="00600EA6"/>
    <w:rsid w:val="0060173A"/>
    <w:rsid w:val="00601807"/>
    <w:rsid w:val="006020E7"/>
    <w:rsid w:val="006028FC"/>
    <w:rsid w:val="006028FD"/>
    <w:rsid w:val="00602996"/>
    <w:rsid w:val="00602E81"/>
    <w:rsid w:val="00603706"/>
    <w:rsid w:val="006037A8"/>
    <w:rsid w:val="00603AAA"/>
    <w:rsid w:val="00603C92"/>
    <w:rsid w:val="00603D69"/>
    <w:rsid w:val="00603DA0"/>
    <w:rsid w:val="00603EBB"/>
    <w:rsid w:val="006042FA"/>
    <w:rsid w:val="0060450B"/>
    <w:rsid w:val="0060491C"/>
    <w:rsid w:val="0060493B"/>
    <w:rsid w:val="006051FA"/>
    <w:rsid w:val="0060533A"/>
    <w:rsid w:val="0060613C"/>
    <w:rsid w:val="0060652D"/>
    <w:rsid w:val="006067AB"/>
    <w:rsid w:val="00606C2A"/>
    <w:rsid w:val="00606D70"/>
    <w:rsid w:val="00607350"/>
    <w:rsid w:val="00607FFE"/>
    <w:rsid w:val="0061030D"/>
    <w:rsid w:val="00610417"/>
    <w:rsid w:val="0061094A"/>
    <w:rsid w:val="00610A54"/>
    <w:rsid w:val="00610F45"/>
    <w:rsid w:val="00610F8F"/>
    <w:rsid w:val="006111D2"/>
    <w:rsid w:val="00611984"/>
    <w:rsid w:val="00611F71"/>
    <w:rsid w:val="00612AFE"/>
    <w:rsid w:val="0061330D"/>
    <w:rsid w:val="00613BDC"/>
    <w:rsid w:val="006142AD"/>
    <w:rsid w:val="006144F9"/>
    <w:rsid w:val="00614550"/>
    <w:rsid w:val="00614C14"/>
    <w:rsid w:val="006150E6"/>
    <w:rsid w:val="00616991"/>
    <w:rsid w:val="00616DE0"/>
    <w:rsid w:val="006170F0"/>
    <w:rsid w:val="00617454"/>
    <w:rsid w:val="006203D3"/>
    <w:rsid w:val="0062096D"/>
    <w:rsid w:val="00620CD9"/>
    <w:rsid w:val="0062111A"/>
    <w:rsid w:val="006212A2"/>
    <w:rsid w:val="0062163A"/>
    <w:rsid w:val="00621661"/>
    <w:rsid w:val="00621C9C"/>
    <w:rsid w:val="006223CC"/>
    <w:rsid w:val="00622610"/>
    <w:rsid w:val="0062296B"/>
    <w:rsid w:val="00623013"/>
    <w:rsid w:val="00623100"/>
    <w:rsid w:val="00623886"/>
    <w:rsid w:val="00623C21"/>
    <w:rsid w:val="006247B9"/>
    <w:rsid w:val="00624972"/>
    <w:rsid w:val="006250D6"/>
    <w:rsid w:val="0062561A"/>
    <w:rsid w:val="0062579F"/>
    <w:rsid w:val="006257D1"/>
    <w:rsid w:val="00625994"/>
    <w:rsid w:val="00625C2D"/>
    <w:rsid w:val="00625CA4"/>
    <w:rsid w:val="00626D2F"/>
    <w:rsid w:val="00627046"/>
    <w:rsid w:val="006275F4"/>
    <w:rsid w:val="006277E2"/>
    <w:rsid w:val="00627CA8"/>
    <w:rsid w:val="00627E1A"/>
    <w:rsid w:val="00630271"/>
    <w:rsid w:val="00630369"/>
    <w:rsid w:val="0063062D"/>
    <w:rsid w:val="00630D40"/>
    <w:rsid w:val="0063179E"/>
    <w:rsid w:val="006317EE"/>
    <w:rsid w:val="00632575"/>
    <w:rsid w:val="00632C1A"/>
    <w:rsid w:val="00632D2F"/>
    <w:rsid w:val="00632D3D"/>
    <w:rsid w:val="00632DD5"/>
    <w:rsid w:val="00633172"/>
    <w:rsid w:val="00633327"/>
    <w:rsid w:val="006336F6"/>
    <w:rsid w:val="006337E4"/>
    <w:rsid w:val="0063393B"/>
    <w:rsid w:val="00633945"/>
    <w:rsid w:val="00633B33"/>
    <w:rsid w:val="006345C3"/>
    <w:rsid w:val="006346A3"/>
    <w:rsid w:val="0063480C"/>
    <w:rsid w:val="00634D0C"/>
    <w:rsid w:val="00634ED0"/>
    <w:rsid w:val="00634FE8"/>
    <w:rsid w:val="006350EF"/>
    <w:rsid w:val="00635753"/>
    <w:rsid w:val="0063622F"/>
    <w:rsid w:val="006366FE"/>
    <w:rsid w:val="00636749"/>
    <w:rsid w:val="0063685A"/>
    <w:rsid w:val="0063696D"/>
    <w:rsid w:val="00636F07"/>
    <w:rsid w:val="00637002"/>
    <w:rsid w:val="006378EF"/>
    <w:rsid w:val="00640233"/>
    <w:rsid w:val="0064051A"/>
    <w:rsid w:val="006407B4"/>
    <w:rsid w:val="00640D4E"/>
    <w:rsid w:val="006414A8"/>
    <w:rsid w:val="006414FF"/>
    <w:rsid w:val="006416F3"/>
    <w:rsid w:val="00641752"/>
    <w:rsid w:val="00641DA0"/>
    <w:rsid w:val="00641E35"/>
    <w:rsid w:val="00641E99"/>
    <w:rsid w:val="006420EA"/>
    <w:rsid w:val="006421BA"/>
    <w:rsid w:val="006421D4"/>
    <w:rsid w:val="00642288"/>
    <w:rsid w:val="00642533"/>
    <w:rsid w:val="00643B1C"/>
    <w:rsid w:val="00643EFF"/>
    <w:rsid w:val="006443FC"/>
    <w:rsid w:val="00644DC5"/>
    <w:rsid w:val="00644F89"/>
    <w:rsid w:val="006457BF"/>
    <w:rsid w:val="006458C3"/>
    <w:rsid w:val="00645F0D"/>
    <w:rsid w:val="0064756D"/>
    <w:rsid w:val="006476B4"/>
    <w:rsid w:val="00647714"/>
    <w:rsid w:val="0064782C"/>
    <w:rsid w:val="00647B83"/>
    <w:rsid w:val="00647F04"/>
    <w:rsid w:val="0065094D"/>
    <w:rsid w:val="00650A4E"/>
    <w:rsid w:val="00650B65"/>
    <w:rsid w:val="00650DDE"/>
    <w:rsid w:val="00651039"/>
    <w:rsid w:val="0065104A"/>
    <w:rsid w:val="006515D7"/>
    <w:rsid w:val="00651A4C"/>
    <w:rsid w:val="006521C7"/>
    <w:rsid w:val="0065220F"/>
    <w:rsid w:val="006525C9"/>
    <w:rsid w:val="006526AD"/>
    <w:rsid w:val="0065349D"/>
    <w:rsid w:val="006540F9"/>
    <w:rsid w:val="00654128"/>
    <w:rsid w:val="006542A1"/>
    <w:rsid w:val="0065431E"/>
    <w:rsid w:val="006543ED"/>
    <w:rsid w:val="006544D9"/>
    <w:rsid w:val="006548E3"/>
    <w:rsid w:val="00654B38"/>
    <w:rsid w:val="00655280"/>
    <w:rsid w:val="00655E5F"/>
    <w:rsid w:val="00656A63"/>
    <w:rsid w:val="006571F4"/>
    <w:rsid w:val="006575F7"/>
    <w:rsid w:val="006576B2"/>
    <w:rsid w:val="00657B11"/>
    <w:rsid w:val="00657D25"/>
    <w:rsid w:val="00657E65"/>
    <w:rsid w:val="006600DF"/>
    <w:rsid w:val="006601D7"/>
    <w:rsid w:val="00660497"/>
    <w:rsid w:val="00660ABC"/>
    <w:rsid w:val="00660EA3"/>
    <w:rsid w:val="00661D53"/>
    <w:rsid w:val="00661F5D"/>
    <w:rsid w:val="006627D2"/>
    <w:rsid w:val="00662AF4"/>
    <w:rsid w:val="00663069"/>
    <w:rsid w:val="006635BD"/>
    <w:rsid w:val="00664117"/>
    <w:rsid w:val="006642FA"/>
    <w:rsid w:val="00664449"/>
    <w:rsid w:val="00664E8A"/>
    <w:rsid w:val="00665500"/>
    <w:rsid w:val="0066581A"/>
    <w:rsid w:val="0066592A"/>
    <w:rsid w:val="00665E9F"/>
    <w:rsid w:val="006663A0"/>
    <w:rsid w:val="00666729"/>
    <w:rsid w:val="00666861"/>
    <w:rsid w:val="00666AC1"/>
    <w:rsid w:val="00666D1D"/>
    <w:rsid w:val="00666DCC"/>
    <w:rsid w:val="0066740C"/>
    <w:rsid w:val="0066747A"/>
    <w:rsid w:val="00667BE1"/>
    <w:rsid w:val="006704CF"/>
    <w:rsid w:val="006706BD"/>
    <w:rsid w:val="00670C38"/>
    <w:rsid w:val="00671107"/>
    <w:rsid w:val="00671A16"/>
    <w:rsid w:val="00671B7E"/>
    <w:rsid w:val="00672059"/>
    <w:rsid w:val="00672339"/>
    <w:rsid w:val="00672666"/>
    <w:rsid w:val="00672811"/>
    <w:rsid w:val="00672843"/>
    <w:rsid w:val="006728F0"/>
    <w:rsid w:val="00672D41"/>
    <w:rsid w:val="00672DE4"/>
    <w:rsid w:val="00673A87"/>
    <w:rsid w:val="00673AD9"/>
    <w:rsid w:val="00675391"/>
    <w:rsid w:val="0067545D"/>
    <w:rsid w:val="00675644"/>
    <w:rsid w:val="006758F5"/>
    <w:rsid w:val="00675D83"/>
    <w:rsid w:val="00675D95"/>
    <w:rsid w:val="00675EDE"/>
    <w:rsid w:val="006763CA"/>
    <w:rsid w:val="006764FF"/>
    <w:rsid w:val="00676788"/>
    <w:rsid w:val="006767FE"/>
    <w:rsid w:val="00676FEE"/>
    <w:rsid w:val="006771B5"/>
    <w:rsid w:val="00677856"/>
    <w:rsid w:val="00677DE0"/>
    <w:rsid w:val="00680C27"/>
    <w:rsid w:val="00680FAB"/>
    <w:rsid w:val="006816F2"/>
    <w:rsid w:val="00681952"/>
    <w:rsid w:val="00681CD6"/>
    <w:rsid w:val="00681D62"/>
    <w:rsid w:val="00681E17"/>
    <w:rsid w:val="0068260C"/>
    <w:rsid w:val="00682B47"/>
    <w:rsid w:val="00682B86"/>
    <w:rsid w:val="00682BED"/>
    <w:rsid w:val="00682DF6"/>
    <w:rsid w:val="00682FD5"/>
    <w:rsid w:val="0068339E"/>
    <w:rsid w:val="00683485"/>
    <w:rsid w:val="006835AE"/>
    <w:rsid w:val="006836D5"/>
    <w:rsid w:val="00684023"/>
    <w:rsid w:val="00684541"/>
    <w:rsid w:val="0068487E"/>
    <w:rsid w:val="00684D31"/>
    <w:rsid w:val="00684E65"/>
    <w:rsid w:val="00684F02"/>
    <w:rsid w:val="0068506F"/>
    <w:rsid w:val="006856BD"/>
    <w:rsid w:val="006859B5"/>
    <w:rsid w:val="00685A4C"/>
    <w:rsid w:val="00685D34"/>
    <w:rsid w:val="00685EAD"/>
    <w:rsid w:val="006861E8"/>
    <w:rsid w:val="0068633C"/>
    <w:rsid w:val="006863EA"/>
    <w:rsid w:val="0068652B"/>
    <w:rsid w:val="00686A99"/>
    <w:rsid w:val="00686CD3"/>
    <w:rsid w:val="00687638"/>
    <w:rsid w:val="0068785A"/>
    <w:rsid w:val="00687B77"/>
    <w:rsid w:val="006907D8"/>
    <w:rsid w:val="0069094A"/>
    <w:rsid w:val="00690F8C"/>
    <w:rsid w:val="0069153F"/>
    <w:rsid w:val="006918F5"/>
    <w:rsid w:val="00692180"/>
    <w:rsid w:val="00692274"/>
    <w:rsid w:val="0069257A"/>
    <w:rsid w:val="006927D1"/>
    <w:rsid w:val="00692A1C"/>
    <w:rsid w:val="00692A5E"/>
    <w:rsid w:val="00692BA6"/>
    <w:rsid w:val="00692FD4"/>
    <w:rsid w:val="006930D3"/>
    <w:rsid w:val="00693F46"/>
    <w:rsid w:val="00693FC2"/>
    <w:rsid w:val="0069423F"/>
    <w:rsid w:val="006945BF"/>
    <w:rsid w:val="00695983"/>
    <w:rsid w:val="00695A56"/>
    <w:rsid w:val="00695C21"/>
    <w:rsid w:val="006965BF"/>
    <w:rsid w:val="006975BE"/>
    <w:rsid w:val="0069760C"/>
    <w:rsid w:val="00697655"/>
    <w:rsid w:val="00697A9A"/>
    <w:rsid w:val="00697C62"/>
    <w:rsid w:val="00697DF2"/>
    <w:rsid w:val="00697F96"/>
    <w:rsid w:val="00697FD7"/>
    <w:rsid w:val="006A03E0"/>
    <w:rsid w:val="006A04F5"/>
    <w:rsid w:val="006A0AC4"/>
    <w:rsid w:val="006A0B0B"/>
    <w:rsid w:val="006A0B7E"/>
    <w:rsid w:val="006A1079"/>
    <w:rsid w:val="006A1AC8"/>
    <w:rsid w:val="006A22C6"/>
    <w:rsid w:val="006A2CD3"/>
    <w:rsid w:val="006A338A"/>
    <w:rsid w:val="006A3791"/>
    <w:rsid w:val="006A45A7"/>
    <w:rsid w:val="006A49FF"/>
    <w:rsid w:val="006A4D7C"/>
    <w:rsid w:val="006A5420"/>
    <w:rsid w:val="006A5774"/>
    <w:rsid w:val="006A58E8"/>
    <w:rsid w:val="006A599E"/>
    <w:rsid w:val="006A59CE"/>
    <w:rsid w:val="006A5AB5"/>
    <w:rsid w:val="006A5C64"/>
    <w:rsid w:val="006A5D68"/>
    <w:rsid w:val="006A60AD"/>
    <w:rsid w:val="006A64FF"/>
    <w:rsid w:val="006A7562"/>
    <w:rsid w:val="006B0224"/>
    <w:rsid w:val="006B0457"/>
    <w:rsid w:val="006B1D01"/>
    <w:rsid w:val="006B246B"/>
    <w:rsid w:val="006B2D1A"/>
    <w:rsid w:val="006B2F9C"/>
    <w:rsid w:val="006B3F9B"/>
    <w:rsid w:val="006B4091"/>
    <w:rsid w:val="006B44FD"/>
    <w:rsid w:val="006B4C72"/>
    <w:rsid w:val="006B6B9F"/>
    <w:rsid w:val="006B70DD"/>
    <w:rsid w:val="006B734B"/>
    <w:rsid w:val="006B739D"/>
    <w:rsid w:val="006B74C1"/>
    <w:rsid w:val="006B7AEF"/>
    <w:rsid w:val="006B7DBB"/>
    <w:rsid w:val="006B7E03"/>
    <w:rsid w:val="006C051A"/>
    <w:rsid w:val="006C0949"/>
    <w:rsid w:val="006C198E"/>
    <w:rsid w:val="006C1F3C"/>
    <w:rsid w:val="006C2699"/>
    <w:rsid w:val="006C290D"/>
    <w:rsid w:val="006C2A13"/>
    <w:rsid w:val="006C2FE0"/>
    <w:rsid w:val="006C3618"/>
    <w:rsid w:val="006C4D07"/>
    <w:rsid w:val="006C4F7C"/>
    <w:rsid w:val="006C5675"/>
    <w:rsid w:val="006C5CA3"/>
    <w:rsid w:val="006C65DF"/>
    <w:rsid w:val="006C6860"/>
    <w:rsid w:val="006C6B2B"/>
    <w:rsid w:val="006C6C71"/>
    <w:rsid w:val="006C70BC"/>
    <w:rsid w:val="006C7BF7"/>
    <w:rsid w:val="006D00F5"/>
    <w:rsid w:val="006D021F"/>
    <w:rsid w:val="006D04E7"/>
    <w:rsid w:val="006D09F0"/>
    <w:rsid w:val="006D0D9A"/>
    <w:rsid w:val="006D0E10"/>
    <w:rsid w:val="006D1085"/>
    <w:rsid w:val="006D155D"/>
    <w:rsid w:val="006D1997"/>
    <w:rsid w:val="006D1CA1"/>
    <w:rsid w:val="006D1FEF"/>
    <w:rsid w:val="006D2155"/>
    <w:rsid w:val="006D238D"/>
    <w:rsid w:val="006D26DC"/>
    <w:rsid w:val="006D2818"/>
    <w:rsid w:val="006D2AA9"/>
    <w:rsid w:val="006D400F"/>
    <w:rsid w:val="006D4922"/>
    <w:rsid w:val="006D4D9A"/>
    <w:rsid w:val="006D4EB5"/>
    <w:rsid w:val="006D5034"/>
    <w:rsid w:val="006D54CD"/>
    <w:rsid w:val="006D562F"/>
    <w:rsid w:val="006D5A95"/>
    <w:rsid w:val="006D5B54"/>
    <w:rsid w:val="006D5DE1"/>
    <w:rsid w:val="006D6660"/>
    <w:rsid w:val="006D66C7"/>
    <w:rsid w:val="006D6EBE"/>
    <w:rsid w:val="006D6F8C"/>
    <w:rsid w:val="006D7662"/>
    <w:rsid w:val="006D7866"/>
    <w:rsid w:val="006E03B4"/>
    <w:rsid w:val="006E0772"/>
    <w:rsid w:val="006E0E3A"/>
    <w:rsid w:val="006E1315"/>
    <w:rsid w:val="006E1A1E"/>
    <w:rsid w:val="006E1B7C"/>
    <w:rsid w:val="006E2214"/>
    <w:rsid w:val="006E251B"/>
    <w:rsid w:val="006E292E"/>
    <w:rsid w:val="006E2A2C"/>
    <w:rsid w:val="006E3360"/>
    <w:rsid w:val="006E3927"/>
    <w:rsid w:val="006E39E3"/>
    <w:rsid w:val="006E3CBF"/>
    <w:rsid w:val="006E4AFD"/>
    <w:rsid w:val="006E52D8"/>
    <w:rsid w:val="006E598C"/>
    <w:rsid w:val="006E5BA3"/>
    <w:rsid w:val="006E5DD8"/>
    <w:rsid w:val="006E68D4"/>
    <w:rsid w:val="006E6E50"/>
    <w:rsid w:val="006E6FC8"/>
    <w:rsid w:val="006E7454"/>
    <w:rsid w:val="006E7827"/>
    <w:rsid w:val="006E782C"/>
    <w:rsid w:val="006F018F"/>
    <w:rsid w:val="006F02E2"/>
    <w:rsid w:val="006F0537"/>
    <w:rsid w:val="006F0582"/>
    <w:rsid w:val="006F0AFE"/>
    <w:rsid w:val="006F0BFA"/>
    <w:rsid w:val="006F0FA1"/>
    <w:rsid w:val="006F1529"/>
    <w:rsid w:val="006F1536"/>
    <w:rsid w:val="006F28EB"/>
    <w:rsid w:val="006F2EA4"/>
    <w:rsid w:val="006F3425"/>
    <w:rsid w:val="006F3806"/>
    <w:rsid w:val="006F3C37"/>
    <w:rsid w:val="006F3DAA"/>
    <w:rsid w:val="006F45D7"/>
    <w:rsid w:val="006F4BD2"/>
    <w:rsid w:val="006F4C8C"/>
    <w:rsid w:val="006F4EDA"/>
    <w:rsid w:val="006F5C36"/>
    <w:rsid w:val="006F6A21"/>
    <w:rsid w:val="006F6F3F"/>
    <w:rsid w:val="006F7225"/>
    <w:rsid w:val="006F7CD4"/>
    <w:rsid w:val="006F7D98"/>
    <w:rsid w:val="0070026A"/>
    <w:rsid w:val="00700604"/>
    <w:rsid w:val="00700833"/>
    <w:rsid w:val="00700CF5"/>
    <w:rsid w:val="0070119D"/>
    <w:rsid w:val="00701534"/>
    <w:rsid w:val="00701913"/>
    <w:rsid w:val="00701E01"/>
    <w:rsid w:val="0070216B"/>
    <w:rsid w:val="00702633"/>
    <w:rsid w:val="00702EC6"/>
    <w:rsid w:val="00703590"/>
    <w:rsid w:val="007035A7"/>
    <w:rsid w:val="00703E8E"/>
    <w:rsid w:val="00704483"/>
    <w:rsid w:val="00704B04"/>
    <w:rsid w:val="00704C28"/>
    <w:rsid w:val="00704D4B"/>
    <w:rsid w:val="007050CB"/>
    <w:rsid w:val="00705303"/>
    <w:rsid w:val="007054A7"/>
    <w:rsid w:val="00705774"/>
    <w:rsid w:val="00705A71"/>
    <w:rsid w:val="00705C21"/>
    <w:rsid w:val="00706E3D"/>
    <w:rsid w:val="00706E58"/>
    <w:rsid w:val="007077F9"/>
    <w:rsid w:val="00707F0B"/>
    <w:rsid w:val="0071024C"/>
    <w:rsid w:val="00710460"/>
    <w:rsid w:val="00710748"/>
    <w:rsid w:val="007108DE"/>
    <w:rsid w:val="00710906"/>
    <w:rsid w:val="00710B3E"/>
    <w:rsid w:val="00710F95"/>
    <w:rsid w:val="007110E0"/>
    <w:rsid w:val="007117F9"/>
    <w:rsid w:val="00711AB3"/>
    <w:rsid w:val="00711B61"/>
    <w:rsid w:val="00711E60"/>
    <w:rsid w:val="00712363"/>
    <w:rsid w:val="007123A6"/>
    <w:rsid w:val="007127DA"/>
    <w:rsid w:val="00712A62"/>
    <w:rsid w:val="00713757"/>
    <w:rsid w:val="00713965"/>
    <w:rsid w:val="00713DD2"/>
    <w:rsid w:val="00713FFA"/>
    <w:rsid w:val="00714376"/>
    <w:rsid w:val="00714852"/>
    <w:rsid w:val="007159C7"/>
    <w:rsid w:val="00716402"/>
    <w:rsid w:val="0071666F"/>
    <w:rsid w:val="007167A1"/>
    <w:rsid w:val="00716877"/>
    <w:rsid w:val="00716CAC"/>
    <w:rsid w:val="00716F29"/>
    <w:rsid w:val="0071763B"/>
    <w:rsid w:val="00717A1F"/>
    <w:rsid w:val="0072059B"/>
    <w:rsid w:val="007208F7"/>
    <w:rsid w:val="007209F0"/>
    <w:rsid w:val="00721933"/>
    <w:rsid w:val="007226B4"/>
    <w:rsid w:val="00723825"/>
    <w:rsid w:val="00723D68"/>
    <w:rsid w:val="0072464C"/>
    <w:rsid w:val="00724BEA"/>
    <w:rsid w:val="00724D65"/>
    <w:rsid w:val="007255D8"/>
    <w:rsid w:val="007258B6"/>
    <w:rsid w:val="0072593A"/>
    <w:rsid w:val="00725FF0"/>
    <w:rsid w:val="007264F6"/>
    <w:rsid w:val="00726762"/>
    <w:rsid w:val="00726F54"/>
    <w:rsid w:val="007271A4"/>
    <w:rsid w:val="00727655"/>
    <w:rsid w:val="007276B9"/>
    <w:rsid w:val="00727837"/>
    <w:rsid w:val="00727C2B"/>
    <w:rsid w:val="00730373"/>
    <w:rsid w:val="007305F3"/>
    <w:rsid w:val="00730B10"/>
    <w:rsid w:val="00730BE6"/>
    <w:rsid w:val="00730CD3"/>
    <w:rsid w:val="00731FBC"/>
    <w:rsid w:val="00732237"/>
    <w:rsid w:val="00732254"/>
    <w:rsid w:val="00732417"/>
    <w:rsid w:val="007324A2"/>
    <w:rsid w:val="007328F6"/>
    <w:rsid w:val="00732FD8"/>
    <w:rsid w:val="00733110"/>
    <w:rsid w:val="00733521"/>
    <w:rsid w:val="007338E1"/>
    <w:rsid w:val="007342F7"/>
    <w:rsid w:val="00734FFB"/>
    <w:rsid w:val="00735536"/>
    <w:rsid w:val="00735EA1"/>
    <w:rsid w:val="00736A29"/>
    <w:rsid w:val="00736B12"/>
    <w:rsid w:val="00736C0C"/>
    <w:rsid w:val="00736E03"/>
    <w:rsid w:val="00736F98"/>
    <w:rsid w:val="00737012"/>
    <w:rsid w:val="007371E4"/>
    <w:rsid w:val="00737214"/>
    <w:rsid w:val="007372AA"/>
    <w:rsid w:val="0073748A"/>
    <w:rsid w:val="007378BF"/>
    <w:rsid w:val="00737AEA"/>
    <w:rsid w:val="00737E34"/>
    <w:rsid w:val="00737F2A"/>
    <w:rsid w:val="0074019B"/>
    <w:rsid w:val="00740236"/>
    <w:rsid w:val="00740CBD"/>
    <w:rsid w:val="00740F31"/>
    <w:rsid w:val="0074127E"/>
    <w:rsid w:val="007417D7"/>
    <w:rsid w:val="00741B27"/>
    <w:rsid w:val="007424D2"/>
    <w:rsid w:val="00742B0B"/>
    <w:rsid w:val="00742BE5"/>
    <w:rsid w:val="00742CFC"/>
    <w:rsid w:val="00742E96"/>
    <w:rsid w:val="00743382"/>
    <w:rsid w:val="00743F0E"/>
    <w:rsid w:val="0074422A"/>
    <w:rsid w:val="007446C3"/>
    <w:rsid w:val="00744951"/>
    <w:rsid w:val="00744952"/>
    <w:rsid w:val="007456A7"/>
    <w:rsid w:val="007456E8"/>
    <w:rsid w:val="0074595D"/>
    <w:rsid w:val="00745C16"/>
    <w:rsid w:val="00745DD1"/>
    <w:rsid w:val="00745EF4"/>
    <w:rsid w:val="007464BD"/>
    <w:rsid w:val="0074671F"/>
    <w:rsid w:val="00746905"/>
    <w:rsid w:val="007471A7"/>
    <w:rsid w:val="007472AA"/>
    <w:rsid w:val="0074730E"/>
    <w:rsid w:val="00747332"/>
    <w:rsid w:val="00747476"/>
    <w:rsid w:val="0074760F"/>
    <w:rsid w:val="00747D1F"/>
    <w:rsid w:val="0075012F"/>
    <w:rsid w:val="007505D9"/>
    <w:rsid w:val="007506C3"/>
    <w:rsid w:val="007508DA"/>
    <w:rsid w:val="00751713"/>
    <w:rsid w:val="00751E1F"/>
    <w:rsid w:val="00751F97"/>
    <w:rsid w:val="00752153"/>
    <w:rsid w:val="007521B9"/>
    <w:rsid w:val="00752794"/>
    <w:rsid w:val="00752C4C"/>
    <w:rsid w:val="007530D1"/>
    <w:rsid w:val="00753CA1"/>
    <w:rsid w:val="007547BF"/>
    <w:rsid w:val="00754994"/>
    <w:rsid w:val="00754C12"/>
    <w:rsid w:val="00754F19"/>
    <w:rsid w:val="00755152"/>
    <w:rsid w:val="007552CC"/>
    <w:rsid w:val="0075569A"/>
    <w:rsid w:val="0075571A"/>
    <w:rsid w:val="00755ED2"/>
    <w:rsid w:val="007562A6"/>
    <w:rsid w:val="0075664F"/>
    <w:rsid w:val="007567C1"/>
    <w:rsid w:val="00756CB5"/>
    <w:rsid w:val="00757333"/>
    <w:rsid w:val="007573F6"/>
    <w:rsid w:val="00757517"/>
    <w:rsid w:val="007575E9"/>
    <w:rsid w:val="007577D2"/>
    <w:rsid w:val="007578C3"/>
    <w:rsid w:val="00757C2E"/>
    <w:rsid w:val="00760E2A"/>
    <w:rsid w:val="007611BB"/>
    <w:rsid w:val="007615FC"/>
    <w:rsid w:val="00761DC8"/>
    <w:rsid w:val="00761DDD"/>
    <w:rsid w:val="00762D1C"/>
    <w:rsid w:val="0076364F"/>
    <w:rsid w:val="00763D4B"/>
    <w:rsid w:val="007647C8"/>
    <w:rsid w:val="00764E19"/>
    <w:rsid w:val="00765433"/>
    <w:rsid w:val="007657B2"/>
    <w:rsid w:val="00765807"/>
    <w:rsid w:val="00765C33"/>
    <w:rsid w:val="00765F9E"/>
    <w:rsid w:val="0076686F"/>
    <w:rsid w:val="00767803"/>
    <w:rsid w:val="00767A36"/>
    <w:rsid w:val="00767CA6"/>
    <w:rsid w:val="007701F5"/>
    <w:rsid w:val="0077167D"/>
    <w:rsid w:val="00771DCD"/>
    <w:rsid w:val="007721DE"/>
    <w:rsid w:val="007726D4"/>
    <w:rsid w:val="00772B22"/>
    <w:rsid w:val="00772B26"/>
    <w:rsid w:val="007737EF"/>
    <w:rsid w:val="00773C3D"/>
    <w:rsid w:val="00773DDA"/>
    <w:rsid w:val="00775080"/>
    <w:rsid w:val="00775505"/>
    <w:rsid w:val="00775994"/>
    <w:rsid w:val="007759BA"/>
    <w:rsid w:val="00775D59"/>
    <w:rsid w:val="00776660"/>
    <w:rsid w:val="0077682B"/>
    <w:rsid w:val="00776856"/>
    <w:rsid w:val="00776C6E"/>
    <w:rsid w:val="0077717B"/>
    <w:rsid w:val="0077775B"/>
    <w:rsid w:val="0077788F"/>
    <w:rsid w:val="00777A23"/>
    <w:rsid w:val="00777D8F"/>
    <w:rsid w:val="00780274"/>
    <w:rsid w:val="007804D5"/>
    <w:rsid w:val="00780650"/>
    <w:rsid w:val="00780A34"/>
    <w:rsid w:val="00780BE0"/>
    <w:rsid w:val="00781057"/>
    <w:rsid w:val="00781231"/>
    <w:rsid w:val="00781726"/>
    <w:rsid w:val="00781B8F"/>
    <w:rsid w:val="00781CDE"/>
    <w:rsid w:val="00782322"/>
    <w:rsid w:val="00782ACF"/>
    <w:rsid w:val="00783173"/>
    <w:rsid w:val="007831B2"/>
    <w:rsid w:val="00783910"/>
    <w:rsid w:val="00783A25"/>
    <w:rsid w:val="00783D87"/>
    <w:rsid w:val="00784B30"/>
    <w:rsid w:val="00784BBD"/>
    <w:rsid w:val="00784D1D"/>
    <w:rsid w:val="007857AF"/>
    <w:rsid w:val="00785E5C"/>
    <w:rsid w:val="00785E7F"/>
    <w:rsid w:val="00785FEA"/>
    <w:rsid w:val="007861C1"/>
    <w:rsid w:val="00786326"/>
    <w:rsid w:val="007863C9"/>
    <w:rsid w:val="00786874"/>
    <w:rsid w:val="00786889"/>
    <w:rsid w:val="00786E63"/>
    <w:rsid w:val="00787102"/>
    <w:rsid w:val="00790538"/>
    <w:rsid w:val="00790A4E"/>
    <w:rsid w:val="00790DB5"/>
    <w:rsid w:val="00791009"/>
    <w:rsid w:val="00791D0D"/>
    <w:rsid w:val="00791E27"/>
    <w:rsid w:val="007924C8"/>
    <w:rsid w:val="0079266C"/>
    <w:rsid w:val="00792AC2"/>
    <w:rsid w:val="00792DD4"/>
    <w:rsid w:val="00793D15"/>
    <w:rsid w:val="00795136"/>
    <w:rsid w:val="007959B0"/>
    <w:rsid w:val="00796037"/>
    <w:rsid w:val="00796129"/>
    <w:rsid w:val="0079682B"/>
    <w:rsid w:val="00796E41"/>
    <w:rsid w:val="007970A4"/>
    <w:rsid w:val="0079755D"/>
    <w:rsid w:val="007976D1"/>
    <w:rsid w:val="00797AD0"/>
    <w:rsid w:val="00797B5C"/>
    <w:rsid w:val="00797BA9"/>
    <w:rsid w:val="00797C0A"/>
    <w:rsid w:val="007A0244"/>
    <w:rsid w:val="007A02A2"/>
    <w:rsid w:val="007A0821"/>
    <w:rsid w:val="007A0BE8"/>
    <w:rsid w:val="007A0CD6"/>
    <w:rsid w:val="007A10EB"/>
    <w:rsid w:val="007A1651"/>
    <w:rsid w:val="007A17CD"/>
    <w:rsid w:val="007A1A59"/>
    <w:rsid w:val="007A1B51"/>
    <w:rsid w:val="007A1E9E"/>
    <w:rsid w:val="007A2D4A"/>
    <w:rsid w:val="007A2E82"/>
    <w:rsid w:val="007A37BA"/>
    <w:rsid w:val="007A3A16"/>
    <w:rsid w:val="007A3AE6"/>
    <w:rsid w:val="007A4627"/>
    <w:rsid w:val="007A4BA9"/>
    <w:rsid w:val="007A4D95"/>
    <w:rsid w:val="007A50AF"/>
    <w:rsid w:val="007A512B"/>
    <w:rsid w:val="007A5830"/>
    <w:rsid w:val="007A5F75"/>
    <w:rsid w:val="007A654C"/>
    <w:rsid w:val="007A6AF1"/>
    <w:rsid w:val="007A796F"/>
    <w:rsid w:val="007A7C2C"/>
    <w:rsid w:val="007B0347"/>
    <w:rsid w:val="007B059E"/>
    <w:rsid w:val="007B073E"/>
    <w:rsid w:val="007B0C4C"/>
    <w:rsid w:val="007B1518"/>
    <w:rsid w:val="007B1B0F"/>
    <w:rsid w:val="007B1B31"/>
    <w:rsid w:val="007B1B3C"/>
    <w:rsid w:val="007B20D7"/>
    <w:rsid w:val="007B26E4"/>
    <w:rsid w:val="007B29A5"/>
    <w:rsid w:val="007B3673"/>
    <w:rsid w:val="007B3895"/>
    <w:rsid w:val="007B3F22"/>
    <w:rsid w:val="007B4174"/>
    <w:rsid w:val="007B46C1"/>
    <w:rsid w:val="007B4D86"/>
    <w:rsid w:val="007B5398"/>
    <w:rsid w:val="007B5A51"/>
    <w:rsid w:val="007B5DC0"/>
    <w:rsid w:val="007B6019"/>
    <w:rsid w:val="007B6032"/>
    <w:rsid w:val="007B69C5"/>
    <w:rsid w:val="007B6CB7"/>
    <w:rsid w:val="007B70C4"/>
    <w:rsid w:val="007B7138"/>
    <w:rsid w:val="007B758C"/>
    <w:rsid w:val="007B79ED"/>
    <w:rsid w:val="007B7E0B"/>
    <w:rsid w:val="007C0470"/>
    <w:rsid w:val="007C0B4E"/>
    <w:rsid w:val="007C1CDD"/>
    <w:rsid w:val="007C29DB"/>
    <w:rsid w:val="007C2F54"/>
    <w:rsid w:val="007C35F3"/>
    <w:rsid w:val="007C3B0F"/>
    <w:rsid w:val="007C3E2B"/>
    <w:rsid w:val="007C423A"/>
    <w:rsid w:val="007C4B69"/>
    <w:rsid w:val="007C4CCB"/>
    <w:rsid w:val="007C4D2B"/>
    <w:rsid w:val="007C512E"/>
    <w:rsid w:val="007C55DF"/>
    <w:rsid w:val="007C5C54"/>
    <w:rsid w:val="007C5CEE"/>
    <w:rsid w:val="007C5F41"/>
    <w:rsid w:val="007C620E"/>
    <w:rsid w:val="007C6C59"/>
    <w:rsid w:val="007C742B"/>
    <w:rsid w:val="007C76D8"/>
    <w:rsid w:val="007D0128"/>
    <w:rsid w:val="007D0F23"/>
    <w:rsid w:val="007D16FD"/>
    <w:rsid w:val="007D2787"/>
    <w:rsid w:val="007D2A4B"/>
    <w:rsid w:val="007D2CCF"/>
    <w:rsid w:val="007D2DF5"/>
    <w:rsid w:val="007D2EA0"/>
    <w:rsid w:val="007D369B"/>
    <w:rsid w:val="007D36EE"/>
    <w:rsid w:val="007D3859"/>
    <w:rsid w:val="007D3A89"/>
    <w:rsid w:val="007D3BDC"/>
    <w:rsid w:val="007D413C"/>
    <w:rsid w:val="007D44B5"/>
    <w:rsid w:val="007D467A"/>
    <w:rsid w:val="007D4B2C"/>
    <w:rsid w:val="007D4F11"/>
    <w:rsid w:val="007D520E"/>
    <w:rsid w:val="007D552F"/>
    <w:rsid w:val="007D5BAC"/>
    <w:rsid w:val="007D609D"/>
    <w:rsid w:val="007D6418"/>
    <w:rsid w:val="007E0233"/>
    <w:rsid w:val="007E06EE"/>
    <w:rsid w:val="007E0B98"/>
    <w:rsid w:val="007E1307"/>
    <w:rsid w:val="007E1B1F"/>
    <w:rsid w:val="007E1B2D"/>
    <w:rsid w:val="007E20CF"/>
    <w:rsid w:val="007E2A2F"/>
    <w:rsid w:val="007E2E2C"/>
    <w:rsid w:val="007E316C"/>
    <w:rsid w:val="007E35F5"/>
    <w:rsid w:val="007E3A19"/>
    <w:rsid w:val="007E3C43"/>
    <w:rsid w:val="007E3DC7"/>
    <w:rsid w:val="007E4291"/>
    <w:rsid w:val="007E42AF"/>
    <w:rsid w:val="007E496C"/>
    <w:rsid w:val="007E4D52"/>
    <w:rsid w:val="007E5104"/>
    <w:rsid w:val="007E567E"/>
    <w:rsid w:val="007E5C0A"/>
    <w:rsid w:val="007E5D82"/>
    <w:rsid w:val="007E5E73"/>
    <w:rsid w:val="007E62BE"/>
    <w:rsid w:val="007E62CE"/>
    <w:rsid w:val="007E62EB"/>
    <w:rsid w:val="007E6385"/>
    <w:rsid w:val="007E70BC"/>
    <w:rsid w:val="007F010F"/>
    <w:rsid w:val="007F06E9"/>
    <w:rsid w:val="007F1012"/>
    <w:rsid w:val="007F178F"/>
    <w:rsid w:val="007F1C49"/>
    <w:rsid w:val="007F2081"/>
    <w:rsid w:val="007F20D5"/>
    <w:rsid w:val="007F28AC"/>
    <w:rsid w:val="007F28BC"/>
    <w:rsid w:val="007F2AFB"/>
    <w:rsid w:val="007F2E5D"/>
    <w:rsid w:val="007F367A"/>
    <w:rsid w:val="007F3AC4"/>
    <w:rsid w:val="007F411A"/>
    <w:rsid w:val="007F4293"/>
    <w:rsid w:val="007F4376"/>
    <w:rsid w:val="007F457E"/>
    <w:rsid w:val="007F46FF"/>
    <w:rsid w:val="007F5018"/>
    <w:rsid w:val="007F54A2"/>
    <w:rsid w:val="007F58D3"/>
    <w:rsid w:val="007F62B6"/>
    <w:rsid w:val="007F6395"/>
    <w:rsid w:val="007F66C3"/>
    <w:rsid w:val="007F6874"/>
    <w:rsid w:val="007F69A5"/>
    <w:rsid w:val="007F6D9B"/>
    <w:rsid w:val="007F734F"/>
    <w:rsid w:val="007F77E8"/>
    <w:rsid w:val="007F7B7F"/>
    <w:rsid w:val="007F7FCE"/>
    <w:rsid w:val="00800583"/>
    <w:rsid w:val="00800D65"/>
    <w:rsid w:val="0080109D"/>
    <w:rsid w:val="00801636"/>
    <w:rsid w:val="008017C4"/>
    <w:rsid w:val="00801897"/>
    <w:rsid w:val="008023EB"/>
    <w:rsid w:val="0080263C"/>
    <w:rsid w:val="00802A33"/>
    <w:rsid w:val="00803BCB"/>
    <w:rsid w:val="0080434C"/>
    <w:rsid w:val="0080533D"/>
    <w:rsid w:val="008058D0"/>
    <w:rsid w:val="008058D2"/>
    <w:rsid w:val="00805AE5"/>
    <w:rsid w:val="00805BBE"/>
    <w:rsid w:val="00806635"/>
    <w:rsid w:val="00806C56"/>
    <w:rsid w:val="00807543"/>
    <w:rsid w:val="0080774F"/>
    <w:rsid w:val="0080786A"/>
    <w:rsid w:val="008079B2"/>
    <w:rsid w:val="00807A25"/>
    <w:rsid w:val="00807CDE"/>
    <w:rsid w:val="00807F2F"/>
    <w:rsid w:val="008101D8"/>
    <w:rsid w:val="00810567"/>
    <w:rsid w:val="00810A54"/>
    <w:rsid w:val="008119FC"/>
    <w:rsid w:val="00811CEC"/>
    <w:rsid w:val="00812206"/>
    <w:rsid w:val="00812383"/>
    <w:rsid w:val="008123BD"/>
    <w:rsid w:val="008127A1"/>
    <w:rsid w:val="00812A2F"/>
    <w:rsid w:val="00812F3B"/>
    <w:rsid w:val="00812FF9"/>
    <w:rsid w:val="008135EC"/>
    <w:rsid w:val="00813FFF"/>
    <w:rsid w:val="008141F6"/>
    <w:rsid w:val="00814436"/>
    <w:rsid w:val="00814A50"/>
    <w:rsid w:val="00814D8A"/>
    <w:rsid w:val="00814D9B"/>
    <w:rsid w:val="00814E42"/>
    <w:rsid w:val="00815043"/>
    <w:rsid w:val="008158E7"/>
    <w:rsid w:val="00815FBE"/>
    <w:rsid w:val="00816333"/>
    <w:rsid w:val="00816440"/>
    <w:rsid w:val="00816511"/>
    <w:rsid w:val="008168E0"/>
    <w:rsid w:val="00816EAE"/>
    <w:rsid w:val="008171A4"/>
    <w:rsid w:val="00817378"/>
    <w:rsid w:val="00817581"/>
    <w:rsid w:val="0081765D"/>
    <w:rsid w:val="0081770D"/>
    <w:rsid w:val="00817723"/>
    <w:rsid w:val="008178DE"/>
    <w:rsid w:val="008200AC"/>
    <w:rsid w:val="00820661"/>
    <w:rsid w:val="00820E1A"/>
    <w:rsid w:val="00821091"/>
    <w:rsid w:val="00821542"/>
    <w:rsid w:val="0082163D"/>
    <w:rsid w:val="008221CD"/>
    <w:rsid w:val="008221EA"/>
    <w:rsid w:val="00822565"/>
    <w:rsid w:val="00822620"/>
    <w:rsid w:val="0082284D"/>
    <w:rsid w:val="008230B7"/>
    <w:rsid w:val="00823159"/>
    <w:rsid w:val="00823631"/>
    <w:rsid w:val="008238A7"/>
    <w:rsid w:val="00823E83"/>
    <w:rsid w:val="008245BF"/>
    <w:rsid w:val="008249C1"/>
    <w:rsid w:val="00825009"/>
    <w:rsid w:val="00825710"/>
    <w:rsid w:val="00825897"/>
    <w:rsid w:val="00826B7B"/>
    <w:rsid w:val="00826E92"/>
    <w:rsid w:val="00827079"/>
    <w:rsid w:val="0082742F"/>
    <w:rsid w:val="00827C4B"/>
    <w:rsid w:val="00827C5F"/>
    <w:rsid w:val="00827E56"/>
    <w:rsid w:val="00830700"/>
    <w:rsid w:val="00830808"/>
    <w:rsid w:val="008309A8"/>
    <w:rsid w:val="00830A39"/>
    <w:rsid w:val="00831034"/>
    <w:rsid w:val="008312E4"/>
    <w:rsid w:val="00831FA5"/>
    <w:rsid w:val="0083220E"/>
    <w:rsid w:val="0083237C"/>
    <w:rsid w:val="0083271A"/>
    <w:rsid w:val="00833FF4"/>
    <w:rsid w:val="008341AA"/>
    <w:rsid w:val="008343C3"/>
    <w:rsid w:val="00834475"/>
    <w:rsid w:val="00834F71"/>
    <w:rsid w:val="00835502"/>
    <w:rsid w:val="008355FD"/>
    <w:rsid w:val="00835832"/>
    <w:rsid w:val="00835B4D"/>
    <w:rsid w:val="00835ECC"/>
    <w:rsid w:val="00835EE9"/>
    <w:rsid w:val="008361FC"/>
    <w:rsid w:val="00836602"/>
    <w:rsid w:val="00836F88"/>
    <w:rsid w:val="0083743B"/>
    <w:rsid w:val="0083764D"/>
    <w:rsid w:val="00837E4D"/>
    <w:rsid w:val="00837E79"/>
    <w:rsid w:val="00837ECD"/>
    <w:rsid w:val="00837F4F"/>
    <w:rsid w:val="00840085"/>
    <w:rsid w:val="00840648"/>
    <w:rsid w:val="00840CF3"/>
    <w:rsid w:val="00840D4D"/>
    <w:rsid w:val="00842415"/>
    <w:rsid w:val="0084245B"/>
    <w:rsid w:val="0084261B"/>
    <w:rsid w:val="00842BAF"/>
    <w:rsid w:val="00842C34"/>
    <w:rsid w:val="0084345D"/>
    <w:rsid w:val="00843554"/>
    <w:rsid w:val="00843CB1"/>
    <w:rsid w:val="0084454E"/>
    <w:rsid w:val="008446A6"/>
    <w:rsid w:val="0084482A"/>
    <w:rsid w:val="008457A7"/>
    <w:rsid w:val="0084589C"/>
    <w:rsid w:val="008458E5"/>
    <w:rsid w:val="0084699E"/>
    <w:rsid w:val="00846AFB"/>
    <w:rsid w:val="00846BFA"/>
    <w:rsid w:val="00846C8E"/>
    <w:rsid w:val="00846E9B"/>
    <w:rsid w:val="008470C9"/>
    <w:rsid w:val="008471FF"/>
    <w:rsid w:val="0084783C"/>
    <w:rsid w:val="00850668"/>
    <w:rsid w:val="00851B8E"/>
    <w:rsid w:val="0085254F"/>
    <w:rsid w:val="008529D2"/>
    <w:rsid w:val="008529E7"/>
    <w:rsid w:val="00852CDB"/>
    <w:rsid w:val="008533C0"/>
    <w:rsid w:val="00853BFC"/>
    <w:rsid w:val="008545A5"/>
    <w:rsid w:val="008548B6"/>
    <w:rsid w:val="008549AE"/>
    <w:rsid w:val="00854D05"/>
    <w:rsid w:val="00854E8B"/>
    <w:rsid w:val="008556C1"/>
    <w:rsid w:val="008556C2"/>
    <w:rsid w:val="00855E6F"/>
    <w:rsid w:val="0085640F"/>
    <w:rsid w:val="0085658F"/>
    <w:rsid w:val="00856D0E"/>
    <w:rsid w:val="008570E2"/>
    <w:rsid w:val="00860751"/>
    <w:rsid w:val="00860BD7"/>
    <w:rsid w:val="00861182"/>
    <w:rsid w:val="008611B3"/>
    <w:rsid w:val="00861B55"/>
    <w:rsid w:val="00861D67"/>
    <w:rsid w:val="00861FDC"/>
    <w:rsid w:val="008625B4"/>
    <w:rsid w:val="00862C3F"/>
    <w:rsid w:val="00863365"/>
    <w:rsid w:val="008637C9"/>
    <w:rsid w:val="00863DB7"/>
    <w:rsid w:val="00863E28"/>
    <w:rsid w:val="00863FDC"/>
    <w:rsid w:val="00864543"/>
    <w:rsid w:val="00864C7A"/>
    <w:rsid w:val="008656FD"/>
    <w:rsid w:val="00865A24"/>
    <w:rsid w:val="00865ECE"/>
    <w:rsid w:val="008660C6"/>
    <w:rsid w:val="008662E0"/>
    <w:rsid w:val="0086635B"/>
    <w:rsid w:val="008666C7"/>
    <w:rsid w:val="0086681E"/>
    <w:rsid w:val="008669E6"/>
    <w:rsid w:val="00867894"/>
    <w:rsid w:val="00867F24"/>
    <w:rsid w:val="00870212"/>
    <w:rsid w:val="00870648"/>
    <w:rsid w:val="00870829"/>
    <w:rsid w:val="00870BC2"/>
    <w:rsid w:val="00870E9F"/>
    <w:rsid w:val="00870ED8"/>
    <w:rsid w:val="008713E3"/>
    <w:rsid w:val="008714ED"/>
    <w:rsid w:val="00871615"/>
    <w:rsid w:val="00871A00"/>
    <w:rsid w:val="00871E51"/>
    <w:rsid w:val="008725A7"/>
    <w:rsid w:val="008732FD"/>
    <w:rsid w:val="00873401"/>
    <w:rsid w:val="0087358B"/>
    <w:rsid w:val="0087389D"/>
    <w:rsid w:val="00873DB7"/>
    <w:rsid w:val="008742FB"/>
    <w:rsid w:val="00874982"/>
    <w:rsid w:val="00875267"/>
    <w:rsid w:val="008755E4"/>
    <w:rsid w:val="0087572C"/>
    <w:rsid w:val="0087658B"/>
    <w:rsid w:val="00876A9C"/>
    <w:rsid w:val="00876AB4"/>
    <w:rsid w:val="00876E59"/>
    <w:rsid w:val="008775B8"/>
    <w:rsid w:val="00877A8A"/>
    <w:rsid w:val="00877E73"/>
    <w:rsid w:val="008802F4"/>
    <w:rsid w:val="00880426"/>
    <w:rsid w:val="008805C8"/>
    <w:rsid w:val="00880881"/>
    <w:rsid w:val="00880AFE"/>
    <w:rsid w:val="00880F88"/>
    <w:rsid w:val="00881305"/>
    <w:rsid w:val="008813C7"/>
    <w:rsid w:val="00881979"/>
    <w:rsid w:val="00881D9E"/>
    <w:rsid w:val="00881EE3"/>
    <w:rsid w:val="00882E7C"/>
    <w:rsid w:val="00883143"/>
    <w:rsid w:val="0088388B"/>
    <w:rsid w:val="00884072"/>
    <w:rsid w:val="00884567"/>
    <w:rsid w:val="00884E38"/>
    <w:rsid w:val="00884E62"/>
    <w:rsid w:val="00884EFE"/>
    <w:rsid w:val="008853A0"/>
    <w:rsid w:val="008859C7"/>
    <w:rsid w:val="00885B14"/>
    <w:rsid w:val="00885BE0"/>
    <w:rsid w:val="00885DFD"/>
    <w:rsid w:val="008860A4"/>
    <w:rsid w:val="00886217"/>
    <w:rsid w:val="008863E2"/>
    <w:rsid w:val="00886516"/>
    <w:rsid w:val="00886661"/>
    <w:rsid w:val="008867ED"/>
    <w:rsid w:val="008871C0"/>
    <w:rsid w:val="008873E4"/>
    <w:rsid w:val="00887958"/>
    <w:rsid w:val="00887A61"/>
    <w:rsid w:val="00890040"/>
    <w:rsid w:val="00890415"/>
    <w:rsid w:val="008906AD"/>
    <w:rsid w:val="00890C2E"/>
    <w:rsid w:val="00890F3D"/>
    <w:rsid w:val="00891358"/>
    <w:rsid w:val="008915C1"/>
    <w:rsid w:val="00891CC2"/>
    <w:rsid w:val="008929F5"/>
    <w:rsid w:val="00892A24"/>
    <w:rsid w:val="00892D49"/>
    <w:rsid w:val="00893082"/>
    <w:rsid w:val="00893280"/>
    <w:rsid w:val="00893D0E"/>
    <w:rsid w:val="00893ED0"/>
    <w:rsid w:val="0089402A"/>
    <w:rsid w:val="0089411E"/>
    <w:rsid w:val="008943FB"/>
    <w:rsid w:val="00894AD6"/>
    <w:rsid w:val="00894B39"/>
    <w:rsid w:val="00894DF3"/>
    <w:rsid w:val="0089576F"/>
    <w:rsid w:val="008959E7"/>
    <w:rsid w:val="00896734"/>
    <w:rsid w:val="008975FF"/>
    <w:rsid w:val="008A054C"/>
    <w:rsid w:val="008A0707"/>
    <w:rsid w:val="008A0865"/>
    <w:rsid w:val="008A0870"/>
    <w:rsid w:val="008A08FD"/>
    <w:rsid w:val="008A0B2E"/>
    <w:rsid w:val="008A28C7"/>
    <w:rsid w:val="008A2954"/>
    <w:rsid w:val="008A2F1B"/>
    <w:rsid w:val="008A3596"/>
    <w:rsid w:val="008A35BD"/>
    <w:rsid w:val="008A368E"/>
    <w:rsid w:val="008A37E9"/>
    <w:rsid w:val="008A38EE"/>
    <w:rsid w:val="008A3B07"/>
    <w:rsid w:val="008A3D4E"/>
    <w:rsid w:val="008A47CA"/>
    <w:rsid w:val="008A4803"/>
    <w:rsid w:val="008A4A3A"/>
    <w:rsid w:val="008A50C1"/>
    <w:rsid w:val="008A55B0"/>
    <w:rsid w:val="008A5C34"/>
    <w:rsid w:val="008A5F72"/>
    <w:rsid w:val="008A61B6"/>
    <w:rsid w:val="008A6C3B"/>
    <w:rsid w:val="008A72E6"/>
    <w:rsid w:val="008A7EA1"/>
    <w:rsid w:val="008B0698"/>
    <w:rsid w:val="008B06DF"/>
    <w:rsid w:val="008B0876"/>
    <w:rsid w:val="008B0AEA"/>
    <w:rsid w:val="008B0D49"/>
    <w:rsid w:val="008B1A9B"/>
    <w:rsid w:val="008B1EBE"/>
    <w:rsid w:val="008B2716"/>
    <w:rsid w:val="008B28AE"/>
    <w:rsid w:val="008B2AAE"/>
    <w:rsid w:val="008B2ED3"/>
    <w:rsid w:val="008B3F60"/>
    <w:rsid w:val="008B4149"/>
    <w:rsid w:val="008B4A57"/>
    <w:rsid w:val="008B4EAC"/>
    <w:rsid w:val="008B4FE3"/>
    <w:rsid w:val="008B52E0"/>
    <w:rsid w:val="008B54AE"/>
    <w:rsid w:val="008B5711"/>
    <w:rsid w:val="008B5781"/>
    <w:rsid w:val="008B5C72"/>
    <w:rsid w:val="008B657A"/>
    <w:rsid w:val="008B6E6D"/>
    <w:rsid w:val="008B70A6"/>
    <w:rsid w:val="008B7128"/>
    <w:rsid w:val="008B725C"/>
    <w:rsid w:val="008B736F"/>
    <w:rsid w:val="008C0321"/>
    <w:rsid w:val="008C043D"/>
    <w:rsid w:val="008C0878"/>
    <w:rsid w:val="008C0FCE"/>
    <w:rsid w:val="008C148B"/>
    <w:rsid w:val="008C1678"/>
    <w:rsid w:val="008C1999"/>
    <w:rsid w:val="008C2446"/>
    <w:rsid w:val="008C266D"/>
    <w:rsid w:val="008C27DE"/>
    <w:rsid w:val="008C31FD"/>
    <w:rsid w:val="008C3582"/>
    <w:rsid w:val="008C3741"/>
    <w:rsid w:val="008C39FE"/>
    <w:rsid w:val="008C3FAD"/>
    <w:rsid w:val="008C4116"/>
    <w:rsid w:val="008C4531"/>
    <w:rsid w:val="008C4746"/>
    <w:rsid w:val="008C4CE2"/>
    <w:rsid w:val="008C4DBC"/>
    <w:rsid w:val="008C4DBF"/>
    <w:rsid w:val="008C5A41"/>
    <w:rsid w:val="008C5B92"/>
    <w:rsid w:val="008C5EE7"/>
    <w:rsid w:val="008C6519"/>
    <w:rsid w:val="008C69D2"/>
    <w:rsid w:val="008C73A8"/>
    <w:rsid w:val="008C75DE"/>
    <w:rsid w:val="008C7B5C"/>
    <w:rsid w:val="008D03AE"/>
    <w:rsid w:val="008D07EA"/>
    <w:rsid w:val="008D0858"/>
    <w:rsid w:val="008D089A"/>
    <w:rsid w:val="008D0CE8"/>
    <w:rsid w:val="008D1D19"/>
    <w:rsid w:val="008D278D"/>
    <w:rsid w:val="008D299B"/>
    <w:rsid w:val="008D2A2E"/>
    <w:rsid w:val="008D3200"/>
    <w:rsid w:val="008D33E2"/>
    <w:rsid w:val="008D3CDA"/>
    <w:rsid w:val="008D53C0"/>
    <w:rsid w:val="008D5474"/>
    <w:rsid w:val="008D5626"/>
    <w:rsid w:val="008D59E3"/>
    <w:rsid w:val="008D5B9D"/>
    <w:rsid w:val="008D626D"/>
    <w:rsid w:val="008D674F"/>
    <w:rsid w:val="008D680D"/>
    <w:rsid w:val="008D6918"/>
    <w:rsid w:val="008D77BD"/>
    <w:rsid w:val="008D7C7E"/>
    <w:rsid w:val="008D7F1D"/>
    <w:rsid w:val="008E027E"/>
    <w:rsid w:val="008E07CC"/>
    <w:rsid w:val="008E0BCA"/>
    <w:rsid w:val="008E1298"/>
    <w:rsid w:val="008E273E"/>
    <w:rsid w:val="008E32C0"/>
    <w:rsid w:val="008E33B3"/>
    <w:rsid w:val="008E3D66"/>
    <w:rsid w:val="008E40AD"/>
    <w:rsid w:val="008E44F7"/>
    <w:rsid w:val="008E48D3"/>
    <w:rsid w:val="008E4F84"/>
    <w:rsid w:val="008E5564"/>
    <w:rsid w:val="008E5648"/>
    <w:rsid w:val="008E57CC"/>
    <w:rsid w:val="008E57CF"/>
    <w:rsid w:val="008E644A"/>
    <w:rsid w:val="008E7056"/>
    <w:rsid w:val="008E76A2"/>
    <w:rsid w:val="008E7758"/>
    <w:rsid w:val="008E7931"/>
    <w:rsid w:val="008E7B37"/>
    <w:rsid w:val="008E7EC3"/>
    <w:rsid w:val="008F0D7A"/>
    <w:rsid w:val="008F1005"/>
    <w:rsid w:val="008F1081"/>
    <w:rsid w:val="008F12A9"/>
    <w:rsid w:val="008F1434"/>
    <w:rsid w:val="008F20B9"/>
    <w:rsid w:val="008F2A3E"/>
    <w:rsid w:val="008F2EE0"/>
    <w:rsid w:val="008F2FBA"/>
    <w:rsid w:val="008F3212"/>
    <w:rsid w:val="008F330F"/>
    <w:rsid w:val="008F34A7"/>
    <w:rsid w:val="008F3DD3"/>
    <w:rsid w:val="008F3FFD"/>
    <w:rsid w:val="008F4262"/>
    <w:rsid w:val="008F4EB7"/>
    <w:rsid w:val="008F50B6"/>
    <w:rsid w:val="008F5351"/>
    <w:rsid w:val="008F5911"/>
    <w:rsid w:val="008F59FF"/>
    <w:rsid w:val="008F5B6E"/>
    <w:rsid w:val="008F6B77"/>
    <w:rsid w:val="008F6D53"/>
    <w:rsid w:val="008F72ED"/>
    <w:rsid w:val="008F74CF"/>
    <w:rsid w:val="008F76C5"/>
    <w:rsid w:val="008F798F"/>
    <w:rsid w:val="008F7BDB"/>
    <w:rsid w:val="008F7BDD"/>
    <w:rsid w:val="00900018"/>
    <w:rsid w:val="00900543"/>
    <w:rsid w:val="009007A9"/>
    <w:rsid w:val="00900876"/>
    <w:rsid w:val="00900D0A"/>
    <w:rsid w:val="0090106F"/>
    <w:rsid w:val="009010C0"/>
    <w:rsid w:val="0090134F"/>
    <w:rsid w:val="00901413"/>
    <w:rsid w:val="00901807"/>
    <w:rsid w:val="00901F9E"/>
    <w:rsid w:val="00901FDA"/>
    <w:rsid w:val="00901FDD"/>
    <w:rsid w:val="009022CC"/>
    <w:rsid w:val="00902457"/>
    <w:rsid w:val="00903342"/>
    <w:rsid w:val="0090358C"/>
    <w:rsid w:val="00903A30"/>
    <w:rsid w:val="00903B65"/>
    <w:rsid w:val="00903C6D"/>
    <w:rsid w:val="00903F6B"/>
    <w:rsid w:val="0090479E"/>
    <w:rsid w:val="009047CE"/>
    <w:rsid w:val="00905057"/>
    <w:rsid w:val="00905A68"/>
    <w:rsid w:val="00906377"/>
    <w:rsid w:val="009068DA"/>
    <w:rsid w:val="00906AB2"/>
    <w:rsid w:val="00907482"/>
    <w:rsid w:val="00907C06"/>
    <w:rsid w:val="00910B9E"/>
    <w:rsid w:val="00910F4A"/>
    <w:rsid w:val="00911214"/>
    <w:rsid w:val="00911244"/>
    <w:rsid w:val="00911576"/>
    <w:rsid w:val="00911FF8"/>
    <w:rsid w:val="00912488"/>
    <w:rsid w:val="00912642"/>
    <w:rsid w:val="00912B05"/>
    <w:rsid w:val="00912E35"/>
    <w:rsid w:val="0091387A"/>
    <w:rsid w:val="009139D1"/>
    <w:rsid w:val="00913A61"/>
    <w:rsid w:val="00913B4E"/>
    <w:rsid w:val="00913B70"/>
    <w:rsid w:val="00913DC8"/>
    <w:rsid w:val="0091428C"/>
    <w:rsid w:val="00914FAA"/>
    <w:rsid w:val="00914FFC"/>
    <w:rsid w:val="00915414"/>
    <w:rsid w:val="009156F8"/>
    <w:rsid w:val="00915752"/>
    <w:rsid w:val="009158EB"/>
    <w:rsid w:val="0091592A"/>
    <w:rsid w:val="00916234"/>
    <w:rsid w:val="00916387"/>
    <w:rsid w:val="00917A36"/>
    <w:rsid w:val="00917B4E"/>
    <w:rsid w:val="00917F3D"/>
    <w:rsid w:val="009200D6"/>
    <w:rsid w:val="009203E2"/>
    <w:rsid w:val="00920429"/>
    <w:rsid w:val="0092080F"/>
    <w:rsid w:val="009208BE"/>
    <w:rsid w:val="00920C65"/>
    <w:rsid w:val="00920E3D"/>
    <w:rsid w:val="00920F57"/>
    <w:rsid w:val="009213B0"/>
    <w:rsid w:val="0092192C"/>
    <w:rsid w:val="00922745"/>
    <w:rsid w:val="00922AA4"/>
    <w:rsid w:val="0092321E"/>
    <w:rsid w:val="00923F43"/>
    <w:rsid w:val="0092488F"/>
    <w:rsid w:val="00924A13"/>
    <w:rsid w:val="00924A6D"/>
    <w:rsid w:val="00924DA6"/>
    <w:rsid w:val="00924E5D"/>
    <w:rsid w:val="00925451"/>
    <w:rsid w:val="0092555A"/>
    <w:rsid w:val="009255C6"/>
    <w:rsid w:val="00925C45"/>
    <w:rsid w:val="00926485"/>
    <w:rsid w:val="00926E22"/>
    <w:rsid w:val="00927149"/>
    <w:rsid w:val="0092746A"/>
    <w:rsid w:val="00927E88"/>
    <w:rsid w:val="009300ED"/>
    <w:rsid w:val="00930528"/>
    <w:rsid w:val="00930E51"/>
    <w:rsid w:val="00930FDE"/>
    <w:rsid w:val="00931574"/>
    <w:rsid w:val="00931F4E"/>
    <w:rsid w:val="009324C2"/>
    <w:rsid w:val="00932ACD"/>
    <w:rsid w:val="00932C25"/>
    <w:rsid w:val="00932F15"/>
    <w:rsid w:val="00933175"/>
    <w:rsid w:val="00933410"/>
    <w:rsid w:val="00934046"/>
    <w:rsid w:val="00934D68"/>
    <w:rsid w:val="00935501"/>
    <w:rsid w:val="009356A0"/>
    <w:rsid w:val="009357C7"/>
    <w:rsid w:val="009358B2"/>
    <w:rsid w:val="00935956"/>
    <w:rsid w:val="00935ECE"/>
    <w:rsid w:val="009369AD"/>
    <w:rsid w:val="00936BB8"/>
    <w:rsid w:val="00936F28"/>
    <w:rsid w:val="009372D5"/>
    <w:rsid w:val="0093773C"/>
    <w:rsid w:val="00937BDA"/>
    <w:rsid w:val="00937D0E"/>
    <w:rsid w:val="00937E85"/>
    <w:rsid w:val="009409B5"/>
    <w:rsid w:val="00940E33"/>
    <w:rsid w:val="009410F5"/>
    <w:rsid w:val="00941226"/>
    <w:rsid w:val="009425A4"/>
    <w:rsid w:val="0094268B"/>
    <w:rsid w:val="00942C9C"/>
    <w:rsid w:val="00942EBB"/>
    <w:rsid w:val="009430E0"/>
    <w:rsid w:val="009433BF"/>
    <w:rsid w:val="009437D0"/>
    <w:rsid w:val="009439DC"/>
    <w:rsid w:val="00943AA5"/>
    <w:rsid w:val="00943CDD"/>
    <w:rsid w:val="00943DD8"/>
    <w:rsid w:val="009447BF"/>
    <w:rsid w:val="00945516"/>
    <w:rsid w:val="009455D2"/>
    <w:rsid w:val="0094760C"/>
    <w:rsid w:val="009478B8"/>
    <w:rsid w:val="00947ECC"/>
    <w:rsid w:val="009507AD"/>
    <w:rsid w:val="00950BFD"/>
    <w:rsid w:val="00951146"/>
    <w:rsid w:val="00951D0D"/>
    <w:rsid w:val="00951D79"/>
    <w:rsid w:val="00951FF6"/>
    <w:rsid w:val="00952533"/>
    <w:rsid w:val="009526D7"/>
    <w:rsid w:val="009529E5"/>
    <w:rsid w:val="00952DC9"/>
    <w:rsid w:val="00952F38"/>
    <w:rsid w:val="009530B9"/>
    <w:rsid w:val="009530C1"/>
    <w:rsid w:val="00953509"/>
    <w:rsid w:val="009535FA"/>
    <w:rsid w:val="0095388B"/>
    <w:rsid w:val="00953C55"/>
    <w:rsid w:val="00954BB7"/>
    <w:rsid w:val="009550CA"/>
    <w:rsid w:val="0095532A"/>
    <w:rsid w:val="00955909"/>
    <w:rsid w:val="009559E6"/>
    <w:rsid w:val="00955CB4"/>
    <w:rsid w:val="009562DC"/>
    <w:rsid w:val="00956AAF"/>
    <w:rsid w:val="0095709B"/>
    <w:rsid w:val="00957496"/>
    <w:rsid w:val="00957643"/>
    <w:rsid w:val="00957886"/>
    <w:rsid w:val="009578EB"/>
    <w:rsid w:val="00960179"/>
    <w:rsid w:val="00960346"/>
    <w:rsid w:val="00960861"/>
    <w:rsid w:val="00961562"/>
    <w:rsid w:val="009615B3"/>
    <w:rsid w:val="00961918"/>
    <w:rsid w:val="00961AFC"/>
    <w:rsid w:val="00961B03"/>
    <w:rsid w:val="00961CF7"/>
    <w:rsid w:val="009620A2"/>
    <w:rsid w:val="009621F1"/>
    <w:rsid w:val="009624E5"/>
    <w:rsid w:val="00962783"/>
    <w:rsid w:val="009631C9"/>
    <w:rsid w:val="009633D4"/>
    <w:rsid w:val="009633EE"/>
    <w:rsid w:val="009633FB"/>
    <w:rsid w:val="009634CD"/>
    <w:rsid w:val="00963A8E"/>
    <w:rsid w:val="00963BBB"/>
    <w:rsid w:val="009642BC"/>
    <w:rsid w:val="009644E6"/>
    <w:rsid w:val="0096475D"/>
    <w:rsid w:val="00964A98"/>
    <w:rsid w:val="0096524A"/>
    <w:rsid w:val="00965548"/>
    <w:rsid w:val="009655A1"/>
    <w:rsid w:val="009661B9"/>
    <w:rsid w:val="00966718"/>
    <w:rsid w:val="0096671E"/>
    <w:rsid w:val="009668F4"/>
    <w:rsid w:val="00966931"/>
    <w:rsid w:val="00966CC6"/>
    <w:rsid w:val="00967B85"/>
    <w:rsid w:val="00967C25"/>
    <w:rsid w:val="009708B5"/>
    <w:rsid w:val="00970AFB"/>
    <w:rsid w:val="00970F0E"/>
    <w:rsid w:val="00970F6C"/>
    <w:rsid w:val="00970FCE"/>
    <w:rsid w:val="00971663"/>
    <w:rsid w:val="00971735"/>
    <w:rsid w:val="009720C0"/>
    <w:rsid w:val="0097252F"/>
    <w:rsid w:val="00972FCD"/>
    <w:rsid w:val="0097348D"/>
    <w:rsid w:val="00973AF6"/>
    <w:rsid w:val="00973C69"/>
    <w:rsid w:val="00973E5F"/>
    <w:rsid w:val="00974064"/>
    <w:rsid w:val="009740E8"/>
    <w:rsid w:val="00974751"/>
    <w:rsid w:val="00974C4F"/>
    <w:rsid w:val="00974C81"/>
    <w:rsid w:val="00974FAA"/>
    <w:rsid w:val="009754CC"/>
    <w:rsid w:val="00975AC3"/>
    <w:rsid w:val="00975BAE"/>
    <w:rsid w:val="00975D90"/>
    <w:rsid w:val="00976027"/>
    <w:rsid w:val="009764EE"/>
    <w:rsid w:val="009765C6"/>
    <w:rsid w:val="00976748"/>
    <w:rsid w:val="00976CE4"/>
    <w:rsid w:val="0097745C"/>
    <w:rsid w:val="009803EF"/>
    <w:rsid w:val="00980633"/>
    <w:rsid w:val="00980900"/>
    <w:rsid w:val="00980B62"/>
    <w:rsid w:val="00981B25"/>
    <w:rsid w:val="00982163"/>
    <w:rsid w:val="0098218F"/>
    <w:rsid w:val="009821B6"/>
    <w:rsid w:val="0098248B"/>
    <w:rsid w:val="00982D5F"/>
    <w:rsid w:val="00982DBA"/>
    <w:rsid w:val="0098384D"/>
    <w:rsid w:val="00983A41"/>
    <w:rsid w:val="00983D9F"/>
    <w:rsid w:val="00984789"/>
    <w:rsid w:val="009854A4"/>
    <w:rsid w:val="00986214"/>
    <w:rsid w:val="009862F8"/>
    <w:rsid w:val="00986A47"/>
    <w:rsid w:val="0098726E"/>
    <w:rsid w:val="00987C8A"/>
    <w:rsid w:val="00987FC9"/>
    <w:rsid w:val="00990E39"/>
    <w:rsid w:val="00990FAE"/>
    <w:rsid w:val="00991142"/>
    <w:rsid w:val="009921FE"/>
    <w:rsid w:val="009925B6"/>
    <w:rsid w:val="00992C33"/>
    <w:rsid w:val="00992F36"/>
    <w:rsid w:val="00993040"/>
    <w:rsid w:val="009930AD"/>
    <w:rsid w:val="00993284"/>
    <w:rsid w:val="009934BE"/>
    <w:rsid w:val="0099392B"/>
    <w:rsid w:val="00993B39"/>
    <w:rsid w:val="00993BA0"/>
    <w:rsid w:val="00993D7F"/>
    <w:rsid w:val="00993E99"/>
    <w:rsid w:val="00994275"/>
    <w:rsid w:val="0099448B"/>
    <w:rsid w:val="009945BE"/>
    <w:rsid w:val="0099480E"/>
    <w:rsid w:val="00994A3D"/>
    <w:rsid w:val="00995105"/>
    <w:rsid w:val="009953E6"/>
    <w:rsid w:val="009957A3"/>
    <w:rsid w:val="00995D80"/>
    <w:rsid w:val="009966F5"/>
    <w:rsid w:val="00996F46"/>
    <w:rsid w:val="00997420"/>
    <w:rsid w:val="00997846"/>
    <w:rsid w:val="00997EB5"/>
    <w:rsid w:val="009A006C"/>
    <w:rsid w:val="009A021A"/>
    <w:rsid w:val="009A02B0"/>
    <w:rsid w:val="009A07A6"/>
    <w:rsid w:val="009A0A08"/>
    <w:rsid w:val="009A0A65"/>
    <w:rsid w:val="009A0E54"/>
    <w:rsid w:val="009A0EA5"/>
    <w:rsid w:val="009A0EFF"/>
    <w:rsid w:val="009A1268"/>
    <w:rsid w:val="009A1B16"/>
    <w:rsid w:val="009A21A2"/>
    <w:rsid w:val="009A286B"/>
    <w:rsid w:val="009A2C41"/>
    <w:rsid w:val="009A2D13"/>
    <w:rsid w:val="009A32C6"/>
    <w:rsid w:val="009A3872"/>
    <w:rsid w:val="009A3B30"/>
    <w:rsid w:val="009A3FCE"/>
    <w:rsid w:val="009A415B"/>
    <w:rsid w:val="009A4369"/>
    <w:rsid w:val="009A4B61"/>
    <w:rsid w:val="009A5142"/>
    <w:rsid w:val="009A5530"/>
    <w:rsid w:val="009A56D0"/>
    <w:rsid w:val="009A5710"/>
    <w:rsid w:val="009A5B14"/>
    <w:rsid w:val="009A5C2A"/>
    <w:rsid w:val="009A5DD4"/>
    <w:rsid w:val="009A5E86"/>
    <w:rsid w:val="009A6477"/>
    <w:rsid w:val="009A6658"/>
    <w:rsid w:val="009A67F0"/>
    <w:rsid w:val="009A6975"/>
    <w:rsid w:val="009A70B6"/>
    <w:rsid w:val="009A7F37"/>
    <w:rsid w:val="009A7F60"/>
    <w:rsid w:val="009B048C"/>
    <w:rsid w:val="009B05C5"/>
    <w:rsid w:val="009B0803"/>
    <w:rsid w:val="009B0DFD"/>
    <w:rsid w:val="009B1314"/>
    <w:rsid w:val="009B1B5E"/>
    <w:rsid w:val="009B20C0"/>
    <w:rsid w:val="009B21BB"/>
    <w:rsid w:val="009B2279"/>
    <w:rsid w:val="009B235E"/>
    <w:rsid w:val="009B2941"/>
    <w:rsid w:val="009B29BA"/>
    <w:rsid w:val="009B3863"/>
    <w:rsid w:val="009B3E76"/>
    <w:rsid w:val="009B3F3D"/>
    <w:rsid w:val="009B4471"/>
    <w:rsid w:val="009B5226"/>
    <w:rsid w:val="009B52DD"/>
    <w:rsid w:val="009B5A85"/>
    <w:rsid w:val="009B5C5C"/>
    <w:rsid w:val="009B63BB"/>
    <w:rsid w:val="009B696A"/>
    <w:rsid w:val="009B7551"/>
    <w:rsid w:val="009B776A"/>
    <w:rsid w:val="009B7A4D"/>
    <w:rsid w:val="009B7E2D"/>
    <w:rsid w:val="009C04C3"/>
    <w:rsid w:val="009C04CD"/>
    <w:rsid w:val="009C0ABD"/>
    <w:rsid w:val="009C0BFE"/>
    <w:rsid w:val="009C159A"/>
    <w:rsid w:val="009C16D0"/>
    <w:rsid w:val="009C1E2D"/>
    <w:rsid w:val="009C21A1"/>
    <w:rsid w:val="009C2875"/>
    <w:rsid w:val="009C2968"/>
    <w:rsid w:val="009C2E19"/>
    <w:rsid w:val="009C302B"/>
    <w:rsid w:val="009C30B6"/>
    <w:rsid w:val="009C316E"/>
    <w:rsid w:val="009C3687"/>
    <w:rsid w:val="009C4019"/>
    <w:rsid w:val="009C409C"/>
    <w:rsid w:val="009C43F9"/>
    <w:rsid w:val="009C477A"/>
    <w:rsid w:val="009C47F6"/>
    <w:rsid w:val="009C4AD9"/>
    <w:rsid w:val="009C4B80"/>
    <w:rsid w:val="009C4E27"/>
    <w:rsid w:val="009C4F1A"/>
    <w:rsid w:val="009C53FA"/>
    <w:rsid w:val="009C585B"/>
    <w:rsid w:val="009C5F7B"/>
    <w:rsid w:val="009C62CD"/>
    <w:rsid w:val="009C6458"/>
    <w:rsid w:val="009C648D"/>
    <w:rsid w:val="009C7543"/>
    <w:rsid w:val="009C78FB"/>
    <w:rsid w:val="009D015F"/>
    <w:rsid w:val="009D028D"/>
    <w:rsid w:val="009D05E3"/>
    <w:rsid w:val="009D0CAA"/>
    <w:rsid w:val="009D1092"/>
    <w:rsid w:val="009D11EE"/>
    <w:rsid w:val="009D177B"/>
    <w:rsid w:val="009D1843"/>
    <w:rsid w:val="009D18C1"/>
    <w:rsid w:val="009D204F"/>
    <w:rsid w:val="009D27F6"/>
    <w:rsid w:val="009D2F51"/>
    <w:rsid w:val="009D41B5"/>
    <w:rsid w:val="009D41DB"/>
    <w:rsid w:val="009D476C"/>
    <w:rsid w:val="009D4AE4"/>
    <w:rsid w:val="009D4E92"/>
    <w:rsid w:val="009D53B6"/>
    <w:rsid w:val="009D5E7D"/>
    <w:rsid w:val="009D63CE"/>
    <w:rsid w:val="009D7126"/>
    <w:rsid w:val="009D784F"/>
    <w:rsid w:val="009E02BD"/>
    <w:rsid w:val="009E05ED"/>
    <w:rsid w:val="009E0792"/>
    <w:rsid w:val="009E0D64"/>
    <w:rsid w:val="009E121E"/>
    <w:rsid w:val="009E1378"/>
    <w:rsid w:val="009E1FB0"/>
    <w:rsid w:val="009E2711"/>
    <w:rsid w:val="009E2E21"/>
    <w:rsid w:val="009E2E2C"/>
    <w:rsid w:val="009E3060"/>
    <w:rsid w:val="009E331B"/>
    <w:rsid w:val="009E3371"/>
    <w:rsid w:val="009E341F"/>
    <w:rsid w:val="009E3494"/>
    <w:rsid w:val="009E3670"/>
    <w:rsid w:val="009E3DD7"/>
    <w:rsid w:val="009E4C98"/>
    <w:rsid w:val="009E4E50"/>
    <w:rsid w:val="009E510E"/>
    <w:rsid w:val="009E5D9C"/>
    <w:rsid w:val="009E66EC"/>
    <w:rsid w:val="009E6AB7"/>
    <w:rsid w:val="009E6CF7"/>
    <w:rsid w:val="009E70ED"/>
    <w:rsid w:val="009E7123"/>
    <w:rsid w:val="009E7154"/>
    <w:rsid w:val="009E7228"/>
    <w:rsid w:val="009E7688"/>
    <w:rsid w:val="009E785A"/>
    <w:rsid w:val="009E7E9B"/>
    <w:rsid w:val="009E7EFC"/>
    <w:rsid w:val="009F0AFA"/>
    <w:rsid w:val="009F0B4D"/>
    <w:rsid w:val="009F1768"/>
    <w:rsid w:val="009F1B55"/>
    <w:rsid w:val="009F1EEA"/>
    <w:rsid w:val="009F27B5"/>
    <w:rsid w:val="009F289D"/>
    <w:rsid w:val="009F2B45"/>
    <w:rsid w:val="009F3262"/>
    <w:rsid w:val="009F3738"/>
    <w:rsid w:val="009F39A5"/>
    <w:rsid w:val="009F3E48"/>
    <w:rsid w:val="009F4723"/>
    <w:rsid w:val="009F4E35"/>
    <w:rsid w:val="009F4F16"/>
    <w:rsid w:val="009F54B6"/>
    <w:rsid w:val="009F5A7D"/>
    <w:rsid w:val="009F5CCF"/>
    <w:rsid w:val="009F5E19"/>
    <w:rsid w:val="009F6481"/>
    <w:rsid w:val="009F650C"/>
    <w:rsid w:val="009F660B"/>
    <w:rsid w:val="009F6658"/>
    <w:rsid w:val="009F6899"/>
    <w:rsid w:val="009F699E"/>
    <w:rsid w:val="009F6C60"/>
    <w:rsid w:val="009F6EE0"/>
    <w:rsid w:val="009F7A8B"/>
    <w:rsid w:val="009F7BD0"/>
    <w:rsid w:val="009F7D60"/>
    <w:rsid w:val="009F7E58"/>
    <w:rsid w:val="00A000E1"/>
    <w:rsid w:val="00A00162"/>
    <w:rsid w:val="00A00F00"/>
    <w:rsid w:val="00A013A6"/>
    <w:rsid w:val="00A01759"/>
    <w:rsid w:val="00A02732"/>
    <w:rsid w:val="00A0287B"/>
    <w:rsid w:val="00A02E7C"/>
    <w:rsid w:val="00A02F6E"/>
    <w:rsid w:val="00A02F90"/>
    <w:rsid w:val="00A03403"/>
    <w:rsid w:val="00A03461"/>
    <w:rsid w:val="00A0356A"/>
    <w:rsid w:val="00A039E6"/>
    <w:rsid w:val="00A03E7D"/>
    <w:rsid w:val="00A0414A"/>
    <w:rsid w:val="00A042AB"/>
    <w:rsid w:val="00A046F5"/>
    <w:rsid w:val="00A04AB1"/>
    <w:rsid w:val="00A055E4"/>
    <w:rsid w:val="00A05832"/>
    <w:rsid w:val="00A05A18"/>
    <w:rsid w:val="00A05A95"/>
    <w:rsid w:val="00A05C8E"/>
    <w:rsid w:val="00A060C9"/>
    <w:rsid w:val="00A06370"/>
    <w:rsid w:val="00A067A0"/>
    <w:rsid w:val="00A06D5F"/>
    <w:rsid w:val="00A06D97"/>
    <w:rsid w:val="00A06E09"/>
    <w:rsid w:val="00A0727F"/>
    <w:rsid w:val="00A075FD"/>
    <w:rsid w:val="00A07B75"/>
    <w:rsid w:val="00A07F4A"/>
    <w:rsid w:val="00A10DA9"/>
    <w:rsid w:val="00A11065"/>
    <w:rsid w:val="00A11933"/>
    <w:rsid w:val="00A12726"/>
    <w:rsid w:val="00A127B8"/>
    <w:rsid w:val="00A1289F"/>
    <w:rsid w:val="00A12B93"/>
    <w:rsid w:val="00A12DB9"/>
    <w:rsid w:val="00A12EF2"/>
    <w:rsid w:val="00A13024"/>
    <w:rsid w:val="00A1313E"/>
    <w:rsid w:val="00A13284"/>
    <w:rsid w:val="00A13531"/>
    <w:rsid w:val="00A136C7"/>
    <w:rsid w:val="00A13C77"/>
    <w:rsid w:val="00A13D30"/>
    <w:rsid w:val="00A13D73"/>
    <w:rsid w:val="00A142B4"/>
    <w:rsid w:val="00A14CCF"/>
    <w:rsid w:val="00A15D17"/>
    <w:rsid w:val="00A1613C"/>
    <w:rsid w:val="00A1676A"/>
    <w:rsid w:val="00A17138"/>
    <w:rsid w:val="00A172CD"/>
    <w:rsid w:val="00A17C1F"/>
    <w:rsid w:val="00A17F30"/>
    <w:rsid w:val="00A200E2"/>
    <w:rsid w:val="00A202D4"/>
    <w:rsid w:val="00A204CD"/>
    <w:rsid w:val="00A20DDA"/>
    <w:rsid w:val="00A2102D"/>
    <w:rsid w:val="00A211FB"/>
    <w:rsid w:val="00A21FC6"/>
    <w:rsid w:val="00A22143"/>
    <w:rsid w:val="00A221C9"/>
    <w:rsid w:val="00A221DB"/>
    <w:rsid w:val="00A23065"/>
    <w:rsid w:val="00A23645"/>
    <w:rsid w:val="00A23F00"/>
    <w:rsid w:val="00A2426A"/>
    <w:rsid w:val="00A24D8C"/>
    <w:rsid w:val="00A25191"/>
    <w:rsid w:val="00A2593D"/>
    <w:rsid w:val="00A25CD7"/>
    <w:rsid w:val="00A271B3"/>
    <w:rsid w:val="00A271C6"/>
    <w:rsid w:val="00A27572"/>
    <w:rsid w:val="00A2785D"/>
    <w:rsid w:val="00A27A60"/>
    <w:rsid w:val="00A27B59"/>
    <w:rsid w:val="00A27C8C"/>
    <w:rsid w:val="00A30411"/>
    <w:rsid w:val="00A307C9"/>
    <w:rsid w:val="00A30E5D"/>
    <w:rsid w:val="00A30ED0"/>
    <w:rsid w:val="00A316C3"/>
    <w:rsid w:val="00A318E3"/>
    <w:rsid w:val="00A31A09"/>
    <w:rsid w:val="00A31C73"/>
    <w:rsid w:val="00A325E3"/>
    <w:rsid w:val="00A325F6"/>
    <w:rsid w:val="00A32808"/>
    <w:rsid w:val="00A328AB"/>
    <w:rsid w:val="00A32B4A"/>
    <w:rsid w:val="00A32B68"/>
    <w:rsid w:val="00A32C63"/>
    <w:rsid w:val="00A33106"/>
    <w:rsid w:val="00A33AE6"/>
    <w:rsid w:val="00A33D02"/>
    <w:rsid w:val="00A33F51"/>
    <w:rsid w:val="00A3430F"/>
    <w:rsid w:val="00A34553"/>
    <w:rsid w:val="00A3504E"/>
    <w:rsid w:val="00A350AB"/>
    <w:rsid w:val="00A353FF"/>
    <w:rsid w:val="00A35863"/>
    <w:rsid w:val="00A35AC8"/>
    <w:rsid w:val="00A35E7E"/>
    <w:rsid w:val="00A360E1"/>
    <w:rsid w:val="00A36A65"/>
    <w:rsid w:val="00A36E1D"/>
    <w:rsid w:val="00A374B4"/>
    <w:rsid w:val="00A374D7"/>
    <w:rsid w:val="00A37921"/>
    <w:rsid w:val="00A37DF2"/>
    <w:rsid w:val="00A40406"/>
    <w:rsid w:val="00A40B26"/>
    <w:rsid w:val="00A41435"/>
    <w:rsid w:val="00A41816"/>
    <w:rsid w:val="00A41A3E"/>
    <w:rsid w:val="00A41C29"/>
    <w:rsid w:val="00A429AF"/>
    <w:rsid w:val="00A42CB0"/>
    <w:rsid w:val="00A42FDD"/>
    <w:rsid w:val="00A43517"/>
    <w:rsid w:val="00A43979"/>
    <w:rsid w:val="00A43C7B"/>
    <w:rsid w:val="00A43D5A"/>
    <w:rsid w:val="00A43F66"/>
    <w:rsid w:val="00A43F92"/>
    <w:rsid w:val="00A43FE9"/>
    <w:rsid w:val="00A4449D"/>
    <w:rsid w:val="00A44688"/>
    <w:rsid w:val="00A448E6"/>
    <w:rsid w:val="00A44C2A"/>
    <w:rsid w:val="00A44D10"/>
    <w:rsid w:val="00A44F15"/>
    <w:rsid w:val="00A45023"/>
    <w:rsid w:val="00A451D7"/>
    <w:rsid w:val="00A45D34"/>
    <w:rsid w:val="00A4634F"/>
    <w:rsid w:val="00A46705"/>
    <w:rsid w:val="00A468AD"/>
    <w:rsid w:val="00A469CE"/>
    <w:rsid w:val="00A46A6C"/>
    <w:rsid w:val="00A471A9"/>
    <w:rsid w:val="00A501C4"/>
    <w:rsid w:val="00A5022D"/>
    <w:rsid w:val="00A504E1"/>
    <w:rsid w:val="00A505DA"/>
    <w:rsid w:val="00A50FA7"/>
    <w:rsid w:val="00A5248E"/>
    <w:rsid w:val="00A524C3"/>
    <w:rsid w:val="00A52CE8"/>
    <w:rsid w:val="00A52DFF"/>
    <w:rsid w:val="00A52F89"/>
    <w:rsid w:val="00A53A67"/>
    <w:rsid w:val="00A542FB"/>
    <w:rsid w:val="00A543A0"/>
    <w:rsid w:val="00A54957"/>
    <w:rsid w:val="00A54A6D"/>
    <w:rsid w:val="00A54CB1"/>
    <w:rsid w:val="00A5505A"/>
    <w:rsid w:val="00A55071"/>
    <w:rsid w:val="00A55612"/>
    <w:rsid w:val="00A5598A"/>
    <w:rsid w:val="00A55B6A"/>
    <w:rsid w:val="00A56942"/>
    <w:rsid w:val="00A57179"/>
    <w:rsid w:val="00A57441"/>
    <w:rsid w:val="00A600BD"/>
    <w:rsid w:val="00A60360"/>
    <w:rsid w:val="00A6070E"/>
    <w:rsid w:val="00A60A53"/>
    <w:rsid w:val="00A60FCB"/>
    <w:rsid w:val="00A610BA"/>
    <w:rsid w:val="00A612C9"/>
    <w:rsid w:val="00A61D43"/>
    <w:rsid w:val="00A61E4C"/>
    <w:rsid w:val="00A61EB9"/>
    <w:rsid w:val="00A6207A"/>
    <w:rsid w:val="00A628DE"/>
    <w:rsid w:val="00A62B0D"/>
    <w:rsid w:val="00A62C92"/>
    <w:rsid w:val="00A62DEF"/>
    <w:rsid w:val="00A631AC"/>
    <w:rsid w:val="00A63251"/>
    <w:rsid w:val="00A63309"/>
    <w:rsid w:val="00A6357C"/>
    <w:rsid w:val="00A63F7B"/>
    <w:rsid w:val="00A64162"/>
    <w:rsid w:val="00A644EB"/>
    <w:rsid w:val="00A64BBD"/>
    <w:rsid w:val="00A64D9E"/>
    <w:rsid w:val="00A65625"/>
    <w:rsid w:val="00A6576D"/>
    <w:rsid w:val="00A65B30"/>
    <w:rsid w:val="00A65C29"/>
    <w:rsid w:val="00A65E28"/>
    <w:rsid w:val="00A661B8"/>
    <w:rsid w:val="00A6631F"/>
    <w:rsid w:val="00A6688A"/>
    <w:rsid w:val="00A66BEC"/>
    <w:rsid w:val="00A67041"/>
    <w:rsid w:val="00A67257"/>
    <w:rsid w:val="00A67507"/>
    <w:rsid w:val="00A678E6"/>
    <w:rsid w:val="00A67B27"/>
    <w:rsid w:val="00A67E78"/>
    <w:rsid w:val="00A70462"/>
    <w:rsid w:val="00A70F2F"/>
    <w:rsid w:val="00A70F4C"/>
    <w:rsid w:val="00A7112C"/>
    <w:rsid w:val="00A71CAE"/>
    <w:rsid w:val="00A7279D"/>
    <w:rsid w:val="00A727D1"/>
    <w:rsid w:val="00A72AB7"/>
    <w:rsid w:val="00A7376D"/>
    <w:rsid w:val="00A737E9"/>
    <w:rsid w:val="00A739F3"/>
    <w:rsid w:val="00A73C91"/>
    <w:rsid w:val="00A74324"/>
    <w:rsid w:val="00A74486"/>
    <w:rsid w:val="00A7496A"/>
    <w:rsid w:val="00A75CAD"/>
    <w:rsid w:val="00A760BA"/>
    <w:rsid w:val="00A7619A"/>
    <w:rsid w:val="00A7678D"/>
    <w:rsid w:val="00A76994"/>
    <w:rsid w:val="00A77D83"/>
    <w:rsid w:val="00A8019D"/>
    <w:rsid w:val="00A8019F"/>
    <w:rsid w:val="00A808D6"/>
    <w:rsid w:val="00A80AAA"/>
    <w:rsid w:val="00A81556"/>
    <w:rsid w:val="00A81881"/>
    <w:rsid w:val="00A81BF8"/>
    <w:rsid w:val="00A81C0C"/>
    <w:rsid w:val="00A81C47"/>
    <w:rsid w:val="00A8241B"/>
    <w:rsid w:val="00A83231"/>
    <w:rsid w:val="00A83692"/>
    <w:rsid w:val="00A83906"/>
    <w:rsid w:val="00A83A0A"/>
    <w:rsid w:val="00A84A56"/>
    <w:rsid w:val="00A84BD0"/>
    <w:rsid w:val="00A84F73"/>
    <w:rsid w:val="00A85358"/>
    <w:rsid w:val="00A85B3E"/>
    <w:rsid w:val="00A85DE5"/>
    <w:rsid w:val="00A86A57"/>
    <w:rsid w:val="00A86ECE"/>
    <w:rsid w:val="00A8724C"/>
    <w:rsid w:val="00A87343"/>
    <w:rsid w:val="00A8759D"/>
    <w:rsid w:val="00A87C72"/>
    <w:rsid w:val="00A87ED9"/>
    <w:rsid w:val="00A9015A"/>
    <w:rsid w:val="00A90AE7"/>
    <w:rsid w:val="00A913CB"/>
    <w:rsid w:val="00A92515"/>
    <w:rsid w:val="00A9273F"/>
    <w:rsid w:val="00A9309F"/>
    <w:rsid w:val="00A938D2"/>
    <w:rsid w:val="00A93930"/>
    <w:rsid w:val="00A93C39"/>
    <w:rsid w:val="00A93C76"/>
    <w:rsid w:val="00A93ECD"/>
    <w:rsid w:val="00A946EB"/>
    <w:rsid w:val="00A950C0"/>
    <w:rsid w:val="00A95B4F"/>
    <w:rsid w:val="00A95C95"/>
    <w:rsid w:val="00A95DD4"/>
    <w:rsid w:val="00A96B30"/>
    <w:rsid w:val="00A96FF5"/>
    <w:rsid w:val="00A97164"/>
    <w:rsid w:val="00A9745A"/>
    <w:rsid w:val="00A97517"/>
    <w:rsid w:val="00A97828"/>
    <w:rsid w:val="00A97C47"/>
    <w:rsid w:val="00AA03AD"/>
    <w:rsid w:val="00AA0B88"/>
    <w:rsid w:val="00AA0BDF"/>
    <w:rsid w:val="00AA103C"/>
    <w:rsid w:val="00AA16AB"/>
    <w:rsid w:val="00AA1854"/>
    <w:rsid w:val="00AA1B34"/>
    <w:rsid w:val="00AA2B65"/>
    <w:rsid w:val="00AA3350"/>
    <w:rsid w:val="00AA350F"/>
    <w:rsid w:val="00AA38B3"/>
    <w:rsid w:val="00AA4058"/>
    <w:rsid w:val="00AA47D4"/>
    <w:rsid w:val="00AA4F34"/>
    <w:rsid w:val="00AA507F"/>
    <w:rsid w:val="00AA57BA"/>
    <w:rsid w:val="00AA5F02"/>
    <w:rsid w:val="00AA6832"/>
    <w:rsid w:val="00AA6966"/>
    <w:rsid w:val="00AA6ADB"/>
    <w:rsid w:val="00AA6DDE"/>
    <w:rsid w:val="00AA6F28"/>
    <w:rsid w:val="00AA72B8"/>
    <w:rsid w:val="00AA73F0"/>
    <w:rsid w:val="00AA7EB6"/>
    <w:rsid w:val="00AB0340"/>
    <w:rsid w:val="00AB097B"/>
    <w:rsid w:val="00AB1335"/>
    <w:rsid w:val="00AB13BE"/>
    <w:rsid w:val="00AB17FB"/>
    <w:rsid w:val="00AB1A12"/>
    <w:rsid w:val="00AB2621"/>
    <w:rsid w:val="00AB27B0"/>
    <w:rsid w:val="00AB2C57"/>
    <w:rsid w:val="00AB2F0E"/>
    <w:rsid w:val="00AB3876"/>
    <w:rsid w:val="00AB3BCB"/>
    <w:rsid w:val="00AB3E2F"/>
    <w:rsid w:val="00AB3E85"/>
    <w:rsid w:val="00AB4C74"/>
    <w:rsid w:val="00AB4C76"/>
    <w:rsid w:val="00AB4DEF"/>
    <w:rsid w:val="00AB528A"/>
    <w:rsid w:val="00AB5752"/>
    <w:rsid w:val="00AB616B"/>
    <w:rsid w:val="00AB6216"/>
    <w:rsid w:val="00AB68D3"/>
    <w:rsid w:val="00AB6C91"/>
    <w:rsid w:val="00AB6E42"/>
    <w:rsid w:val="00AB78D2"/>
    <w:rsid w:val="00AB7E1A"/>
    <w:rsid w:val="00AC0462"/>
    <w:rsid w:val="00AC0920"/>
    <w:rsid w:val="00AC10C3"/>
    <w:rsid w:val="00AC1399"/>
    <w:rsid w:val="00AC1575"/>
    <w:rsid w:val="00AC15F7"/>
    <w:rsid w:val="00AC1DD4"/>
    <w:rsid w:val="00AC1E13"/>
    <w:rsid w:val="00AC1E36"/>
    <w:rsid w:val="00AC2331"/>
    <w:rsid w:val="00AC2702"/>
    <w:rsid w:val="00AC2A24"/>
    <w:rsid w:val="00AC2AB9"/>
    <w:rsid w:val="00AC2B3C"/>
    <w:rsid w:val="00AC2E5A"/>
    <w:rsid w:val="00AC3475"/>
    <w:rsid w:val="00AC34C9"/>
    <w:rsid w:val="00AC36BB"/>
    <w:rsid w:val="00AC3766"/>
    <w:rsid w:val="00AC436C"/>
    <w:rsid w:val="00AC4816"/>
    <w:rsid w:val="00AC5047"/>
    <w:rsid w:val="00AC564D"/>
    <w:rsid w:val="00AC5DD6"/>
    <w:rsid w:val="00AC623F"/>
    <w:rsid w:val="00AC7241"/>
    <w:rsid w:val="00AC727C"/>
    <w:rsid w:val="00AC7392"/>
    <w:rsid w:val="00AC7866"/>
    <w:rsid w:val="00AD0059"/>
    <w:rsid w:val="00AD016E"/>
    <w:rsid w:val="00AD0612"/>
    <w:rsid w:val="00AD0B96"/>
    <w:rsid w:val="00AD0DB7"/>
    <w:rsid w:val="00AD104A"/>
    <w:rsid w:val="00AD112C"/>
    <w:rsid w:val="00AD1280"/>
    <w:rsid w:val="00AD34A9"/>
    <w:rsid w:val="00AD3951"/>
    <w:rsid w:val="00AD420F"/>
    <w:rsid w:val="00AD437C"/>
    <w:rsid w:val="00AD4494"/>
    <w:rsid w:val="00AD4ACD"/>
    <w:rsid w:val="00AD4E54"/>
    <w:rsid w:val="00AD5A57"/>
    <w:rsid w:val="00AD5CB5"/>
    <w:rsid w:val="00AD5D13"/>
    <w:rsid w:val="00AD5EA8"/>
    <w:rsid w:val="00AD64B2"/>
    <w:rsid w:val="00AD6A36"/>
    <w:rsid w:val="00AD7001"/>
    <w:rsid w:val="00AD72B8"/>
    <w:rsid w:val="00AD7389"/>
    <w:rsid w:val="00AD7411"/>
    <w:rsid w:val="00AD793F"/>
    <w:rsid w:val="00AD7B53"/>
    <w:rsid w:val="00AD7BB5"/>
    <w:rsid w:val="00AD7DA3"/>
    <w:rsid w:val="00AE0D31"/>
    <w:rsid w:val="00AE0E28"/>
    <w:rsid w:val="00AE205A"/>
    <w:rsid w:val="00AE222C"/>
    <w:rsid w:val="00AE2AB4"/>
    <w:rsid w:val="00AE32E6"/>
    <w:rsid w:val="00AE36EB"/>
    <w:rsid w:val="00AE397D"/>
    <w:rsid w:val="00AE3AFE"/>
    <w:rsid w:val="00AE3E49"/>
    <w:rsid w:val="00AE42E0"/>
    <w:rsid w:val="00AE4E6A"/>
    <w:rsid w:val="00AE545B"/>
    <w:rsid w:val="00AE6480"/>
    <w:rsid w:val="00AE6613"/>
    <w:rsid w:val="00AE6F0C"/>
    <w:rsid w:val="00AE6FB5"/>
    <w:rsid w:val="00AE7B63"/>
    <w:rsid w:val="00AE7FA2"/>
    <w:rsid w:val="00AF004D"/>
    <w:rsid w:val="00AF09B4"/>
    <w:rsid w:val="00AF1158"/>
    <w:rsid w:val="00AF13C0"/>
    <w:rsid w:val="00AF14C0"/>
    <w:rsid w:val="00AF17DC"/>
    <w:rsid w:val="00AF1C4E"/>
    <w:rsid w:val="00AF271E"/>
    <w:rsid w:val="00AF28F5"/>
    <w:rsid w:val="00AF2C18"/>
    <w:rsid w:val="00AF30A6"/>
    <w:rsid w:val="00AF40C7"/>
    <w:rsid w:val="00AF46A5"/>
    <w:rsid w:val="00AF4CDC"/>
    <w:rsid w:val="00AF4E36"/>
    <w:rsid w:val="00AF505F"/>
    <w:rsid w:val="00AF5094"/>
    <w:rsid w:val="00AF5D66"/>
    <w:rsid w:val="00AF5EEA"/>
    <w:rsid w:val="00AF67D1"/>
    <w:rsid w:val="00AF721E"/>
    <w:rsid w:val="00AF77C4"/>
    <w:rsid w:val="00AF7A11"/>
    <w:rsid w:val="00AF7F39"/>
    <w:rsid w:val="00B0032C"/>
    <w:rsid w:val="00B00825"/>
    <w:rsid w:val="00B00925"/>
    <w:rsid w:val="00B00FCA"/>
    <w:rsid w:val="00B01639"/>
    <w:rsid w:val="00B017F8"/>
    <w:rsid w:val="00B02262"/>
    <w:rsid w:val="00B03DCE"/>
    <w:rsid w:val="00B03F47"/>
    <w:rsid w:val="00B04559"/>
    <w:rsid w:val="00B0467F"/>
    <w:rsid w:val="00B04EFE"/>
    <w:rsid w:val="00B05195"/>
    <w:rsid w:val="00B05789"/>
    <w:rsid w:val="00B05F20"/>
    <w:rsid w:val="00B05FBF"/>
    <w:rsid w:val="00B06033"/>
    <w:rsid w:val="00B06074"/>
    <w:rsid w:val="00B060F4"/>
    <w:rsid w:val="00B068A3"/>
    <w:rsid w:val="00B06D5F"/>
    <w:rsid w:val="00B06EB4"/>
    <w:rsid w:val="00B0701A"/>
    <w:rsid w:val="00B07086"/>
    <w:rsid w:val="00B072E1"/>
    <w:rsid w:val="00B076D0"/>
    <w:rsid w:val="00B078F5"/>
    <w:rsid w:val="00B07B43"/>
    <w:rsid w:val="00B10522"/>
    <w:rsid w:val="00B10BAA"/>
    <w:rsid w:val="00B1153D"/>
    <w:rsid w:val="00B123BF"/>
    <w:rsid w:val="00B124BB"/>
    <w:rsid w:val="00B12606"/>
    <w:rsid w:val="00B127FC"/>
    <w:rsid w:val="00B13299"/>
    <w:rsid w:val="00B137F1"/>
    <w:rsid w:val="00B137F5"/>
    <w:rsid w:val="00B13AFA"/>
    <w:rsid w:val="00B13B84"/>
    <w:rsid w:val="00B13D7F"/>
    <w:rsid w:val="00B13DC1"/>
    <w:rsid w:val="00B13DC4"/>
    <w:rsid w:val="00B14133"/>
    <w:rsid w:val="00B14261"/>
    <w:rsid w:val="00B14F59"/>
    <w:rsid w:val="00B159EE"/>
    <w:rsid w:val="00B16071"/>
    <w:rsid w:val="00B1682E"/>
    <w:rsid w:val="00B168FF"/>
    <w:rsid w:val="00B17061"/>
    <w:rsid w:val="00B17E5C"/>
    <w:rsid w:val="00B202EA"/>
    <w:rsid w:val="00B20916"/>
    <w:rsid w:val="00B20A69"/>
    <w:rsid w:val="00B20C0E"/>
    <w:rsid w:val="00B20F3E"/>
    <w:rsid w:val="00B21432"/>
    <w:rsid w:val="00B21A84"/>
    <w:rsid w:val="00B21A8D"/>
    <w:rsid w:val="00B21B97"/>
    <w:rsid w:val="00B21D72"/>
    <w:rsid w:val="00B21F7D"/>
    <w:rsid w:val="00B221A1"/>
    <w:rsid w:val="00B2229B"/>
    <w:rsid w:val="00B22404"/>
    <w:rsid w:val="00B224F8"/>
    <w:rsid w:val="00B2299C"/>
    <w:rsid w:val="00B22DB7"/>
    <w:rsid w:val="00B23384"/>
    <w:rsid w:val="00B23666"/>
    <w:rsid w:val="00B245A9"/>
    <w:rsid w:val="00B24AC7"/>
    <w:rsid w:val="00B250BC"/>
    <w:rsid w:val="00B2516B"/>
    <w:rsid w:val="00B256A1"/>
    <w:rsid w:val="00B25842"/>
    <w:rsid w:val="00B25F66"/>
    <w:rsid w:val="00B260F0"/>
    <w:rsid w:val="00B26502"/>
    <w:rsid w:val="00B26561"/>
    <w:rsid w:val="00B265F1"/>
    <w:rsid w:val="00B26705"/>
    <w:rsid w:val="00B26762"/>
    <w:rsid w:val="00B26C5B"/>
    <w:rsid w:val="00B27159"/>
    <w:rsid w:val="00B27858"/>
    <w:rsid w:val="00B27B88"/>
    <w:rsid w:val="00B27C5C"/>
    <w:rsid w:val="00B27DC6"/>
    <w:rsid w:val="00B27F9C"/>
    <w:rsid w:val="00B3035A"/>
    <w:rsid w:val="00B30C5A"/>
    <w:rsid w:val="00B30DB7"/>
    <w:rsid w:val="00B30DF2"/>
    <w:rsid w:val="00B312BA"/>
    <w:rsid w:val="00B31A1B"/>
    <w:rsid w:val="00B31E91"/>
    <w:rsid w:val="00B32159"/>
    <w:rsid w:val="00B32321"/>
    <w:rsid w:val="00B3246E"/>
    <w:rsid w:val="00B331F5"/>
    <w:rsid w:val="00B333D8"/>
    <w:rsid w:val="00B3536B"/>
    <w:rsid w:val="00B35838"/>
    <w:rsid w:val="00B36077"/>
    <w:rsid w:val="00B36129"/>
    <w:rsid w:val="00B361DA"/>
    <w:rsid w:val="00B36744"/>
    <w:rsid w:val="00B3773C"/>
    <w:rsid w:val="00B3797E"/>
    <w:rsid w:val="00B37D72"/>
    <w:rsid w:val="00B37E69"/>
    <w:rsid w:val="00B40305"/>
    <w:rsid w:val="00B40DD9"/>
    <w:rsid w:val="00B40E53"/>
    <w:rsid w:val="00B41021"/>
    <w:rsid w:val="00B41433"/>
    <w:rsid w:val="00B4176A"/>
    <w:rsid w:val="00B417CD"/>
    <w:rsid w:val="00B41B51"/>
    <w:rsid w:val="00B41BA8"/>
    <w:rsid w:val="00B42128"/>
    <w:rsid w:val="00B42398"/>
    <w:rsid w:val="00B43277"/>
    <w:rsid w:val="00B43CA6"/>
    <w:rsid w:val="00B44392"/>
    <w:rsid w:val="00B44B48"/>
    <w:rsid w:val="00B44D69"/>
    <w:rsid w:val="00B44F4F"/>
    <w:rsid w:val="00B45452"/>
    <w:rsid w:val="00B4553C"/>
    <w:rsid w:val="00B45B3D"/>
    <w:rsid w:val="00B45BF6"/>
    <w:rsid w:val="00B46884"/>
    <w:rsid w:val="00B46D9E"/>
    <w:rsid w:val="00B470BF"/>
    <w:rsid w:val="00B47153"/>
    <w:rsid w:val="00B47FD4"/>
    <w:rsid w:val="00B519D2"/>
    <w:rsid w:val="00B519ED"/>
    <w:rsid w:val="00B51B7C"/>
    <w:rsid w:val="00B5244C"/>
    <w:rsid w:val="00B5295E"/>
    <w:rsid w:val="00B52AB9"/>
    <w:rsid w:val="00B5310E"/>
    <w:rsid w:val="00B532D4"/>
    <w:rsid w:val="00B534B0"/>
    <w:rsid w:val="00B534F1"/>
    <w:rsid w:val="00B53894"/>
    <w:rsid w:val="00B53B26"/>
    <w:rsid w:val="00B53CF5"/>
    <w:rsid w:val="00B54CCC"/>
    <w:rsid w:val="00B54CFA"/>
    <w:rsid w:val="00B5528B"/>
    <w:rsid w:val="00B55527"/>
    <w:rsid w:val="00B55AC9"/>
    <w:rsid w:val="00B55D0B"/>
    <w:rsid w:val="00B55E9D"/>
    <w:rsid w:val="00B55F39"/>
    <w:rsid w:val="00B56520"/>
    <w:rsid w:val="00B60306"/>
    <w:rsid w:val="00B6031E"/>
    <w:rsid w:val="00B6055E"/>
    <w:rsid w:val="00B61093"/>
    <w:rsid w:val="00B611C9"/>
    <w:rsid w:val="00B616A7"/>
    <w:rsid w:val="00B61FF3"/>
    <w:rsid w:val="00B6361A"/>
    <w:rsid w:val="00B63B25"/>
    <w:rsid w:val="00B63B29"/>
    <w:rsid w:val="00B63E92"/>
    <w:rsid w:val="00B6442F"/>
    <w:rsid w:val="00B64850"/>
    <w:rsid w:val="00B64B0A"/>
    <w:rsid w:val="00B65666"/>
    <w:rsid w:val="00B660C0"/>
    <w:rsid w:val="00B66321"/>
    <w:rsid w:val="00B663A1"/>
    <w:rsid w:val="00B6657A"/>
    <w:rsid w:val="00B668CE"/>
    <w:rsid w:val="00B66BD8"/>
    <w:rsid w:val="00B66DDF"/>
    <w:rsid w:val="00B66E33"/>
    <w:rsid w:val="00B67BE3"/>
    <w:rsid w:val="00B67EBF"/>
    <w:rsid w:val="00B7090F"/>
    <w:rsid w:val="00B70BF6"/>
    <w:rsid w:val="00B70FA7"/>
    <w:rsid w:val="00B7133C"/>
    <w:rsid w:val="00B715E7"/>
    <w:rsid w:val="00B71B6C"/>
    <w:rsid w:val="00B71EFE"/>
    <w:rsid w:val="00B721AF"/>
    <w:rsid w:val="00B7270C"/>
    <w:rsid w:val="00B72C9E"/>
    <w:rsid w:val="00B730B5"/>
    <w:rsid w:val="00B73265"/>
    <w:rsid w:val="00B733C5"/>
    <w:rsid w:val="00B73A99"/>
    <w:rsid w:val="00B741B3"/>
    <w:rsid w:val="00B745CF"/>
    <w:rsid w:val="00B7490D"/>
    <w:rsid w:val="00B75334"/>
    <w:rsid w:val="00B755D4"/>
    <w:rsid w:val="00B76221"/>
    <w:rsid w:val="00B76802"/>
    <w:rsid w:val="00B769E1"/>
    <w:rsid w:val="00B770A5"/>
    <w:rsid w:val="00B775A5"/>
    <w:rsid w:val="00B777A6"/>
    <w:rsid w:val="00B77DF6"/>
    <w:rsid w:val="00B77E44"/>
    <w:rsid w:val="00B77F51"/>
    <w:rsid w:val="00B8002A"/>
    <w:rsid w:val="00B80253"/>
    <w:rsid w:val="00B80455"/>
    <w:rsid w:val="00B80E6E"/>
    <w:rsid w:val="00B80F60"/>
    <w:rsid w:val="00B8102A"/>
    <w:rsid w:val="00B816E3"/>
    <w:rsid w:val="00B81793"/>
    <w:rsid w:val="00B81E99"/>
    <w:rsid w:val="00B82263"/>
    <w:rsid w:val="00B82B29"/>
    <w:rsid w:val="00B82E87"/>
    <w:rsid w:val="00B8381A"/>
    <w:rsid w:val="00B8402F"/>
    <w:rsid w:val="00B84A85"/>
    <w:rsid w:val="00B84DF6"/>
    <w:rsid w:val="00B859F6"/>
    <w:rsid w:val="00B85F09"/>
    <w:rsid w:val="00B8638C"/>
    <w:rsid w:val="00B86513"/>
    <w:rsid w:val="00B86921"/>
    <w:rsid w:val="00B8692C"/>
    <w:rsid w:val="00B86C00"/>
    <w:rsid w:val="00B87543"/>
    <w:rsid w:val="00B879BA"/>
    <w:rsid w:val="00B87F83"/>
    <w:rsid w:val="00B90391"/>
    <w:rsid w:val="00B9098F"/>
    <w:rsid w:val="00B910DE"/>
    <w:rsid w:val="00B91127"/>
    <w:rsid w:val="00B911F8"/>
    <w:rsid w:val="00B915DC"/>
    <w:rsid w:val="00B91744"/>
    <w:rsid w:val="00B91AF1"/>
    <w:rsid w:val="00B930AF"/>
    <w:rsid w:val="00B93714"/>
    <w:rsid w:val="00B93B64"/>
    <w:rsid w:val="00B9435C"/>
    <w:rsid w:val="00B951A9"/>
    <w:rsid w:val="00B9544F"/>
    <w:rsid w:val="00B95E40"/>
    <w:rsid w:val="00B960F4"/>
    <w:rsid w:val="00B96A83"/>
    <w:rsid w:val="00B96D38"/>
    <w:rsid w:val="00B96D9C"/>
    <w:rsid w:val="00B96FFE"/>
    <w:rsid w:val="00B97064"/>
    <w:rsid w:val="00B972CC"/>
    <w:rsid w:val="00B974C1"/>
    <w:rsid w:val="00B9763D"/>
    <w:rsid w:val="00B976DF"/>
    <w:rsid w:val="00B97B51"/>
    <w:rsid w:val="00BA0427"/>
    <w:rsid w:val="00BA0732"/>
    <w:rsid w:val="00BA0BF0"/>
    <w:rsid w:val="00BA0FC6"/>
    <w:rsid w:val="00BA15C7"/>
    <w:rsid w:val="00BA1F77"/>
    <w:rsid w:val="00BA23A4"/>
    <w:rsid w:val="00BA2CA9"/>
    <w:rsid w:val="00BA2EC7"/>
    <w:rsid w:val="00BA2F27"/>
    <w:rsid w:val="00BA31B1"/>
    <w:rsid w:val="00BA33B9"/>
    <w:rsid w:val="00BA39B3"/>
    <w:rsid w:val="00BA3F93"/>
    <w:rsid w:val="00BA42D5"/>
    <w:rsid w:val="00BA4871"/>
    <w:rsid w:val="00BA4D64"/>
    <w:rsid w:val="00BA5097"/>
    <w:rsid w:val="00BA5712"/>
    <w:rsid w:val="00BA5FB9"/>
    <w:rsid w:val="00BA6A50"/>
    <w:rsid w:val="00BA7283"/>
    <w:rsid w:val="00BA7508"/>
    <w:rsid w:val="00BA7A67"/>
    <w:rsid w:val="00BA7A8D"/>
    <w:rsid w:val="00BA7AF8"/>
    <w:rsid w:val="00BB00C5"/>
    <w:rsid w:val="00BB0B4D"/>
    <w:rsid w:val="00BB0C6C"/>
    <w:rsid w:val="00BB1294"/>
    <w:rsid w:val="00BB130A"/>
    <w:rsid w:val="00BB133F"/>
    <w:rsid w:val="00BB20A0"/>
    <w:rsid w:val="00BB2784"/>
    <w:rsid w:val="00BB28FF"/>
    <w:rsid w:val="00BB2D5B"/>
    <w:rsid w:val="00BB2D66"/>
    <w:rsid w:val="00BB31AE"/>
    <w:rsid w:val="00BB440C"/>
    <w:rsid w:val="00BB4DB9"/>
    <w:rsid w:val="00BB7E98"/>
    <w:rsid w:val="00BB7F58"/>
    <w:rsid w:val="00BC0256"/>
    <w:rsid w:val="00BC04C1"/>
    <w:rsid w:val="00BC069A"/>
    <w:rsid w:val="00BC09B9"/>
    <w:rsid w:val="00BC0AD6"/>
    <w:rsid w:val="00BC0B3C"/>
    <w:rsid w:val="00BC0CCD"/>
    <w:rsid w:val="00BC0D37"/>
    <w:rsid w:val="00BC0EF8"/>
    <w:rsid w:val="00BC12FD"/>
    <w:rsid w:val="00BC1D9A"/>
    <w:rsid w:val="00BC1E15"/>
    <w:rsid w:val="00BC1EDC"/>
    <w:rsid w:val="00BC245B"/>
    <w:rsid w:val="00BC299F"/>
    <w:rsid w:val="00BC2B91"/>
    <w:rsid w:val="00BC2D9C"/>
    <w:rsid w:val="00BC2F4B"/>
    <w:rsid w:val="00BC31A5"/>
    <w:rsid w:val="00BC3686"/>
    <w:rsid w:val="00BC3F75"/>
    <w:rsid w:val="00BC3FEA"/>
    <w:rsid w:val="00BC546A"/>
    <w:rsid w:val="00BC56A6"/>
    <w:rsid w:val="00BC56EC"/>
    <w:rsid w:val="00BC596C"/>
    <w:rsid w:val="00BC5BE3"/>
    <w:rsid w:val="00BC5DB8"/>
    <w:rsid w:val="00BC68A2"/>
    <w:rsid w:val="00BC6B00"/>
    <w:rsid w:val="00BC7028"/>
    <w:rsid w:val="00BC7029"/>
    <w:rsid w:val="00BD0068"/>
    <w:rsid w:val="00BD0645"/>
    <w:rsid w:val="00BD0F63"/>
    <w:rsid w:val="00BD1C53"/>
    <w:rsid w:val="00BD25F0"/>
    <w:rsid w:val="00BD286C"/>
    <w:rsid w:val="00BD2D89"/>
    <w:rsid w:val="00BD2E20"/>
    <w:rsid w:val="00BD2F0F"/>
    <w:rsid w:val="00BD30E1"/>
    <w:rsid w:val="00BD31B8"/>
    <w:rsid w:val="00BD361C"/>
    <w:rsid w:val="00BD372E"/>
    <w:rsid w:val="00BD3BB1"/>
    <w:rsid w:val="00BD46FD"/>
    <w:rsid w:val="00BD55E9"/>
    <w:rsid w:val="00BD5927"/>
    <w:rsid w:val="00BD6454"/>
    <w:rsid w:val="00BD68B0"/>
    <w:rsid w:val="00BD6CF9"/>
    <w:rsid w:val="00BD6D4A"/>
    <w:rsid w:val="00BD762D"/>
    <w:rsid w:val="00BD76AE"/>
    <w:rsid w:val="00BD76FF"/>
    <w:rsid w:val="00BD7BCA"/>
    <w:rsid w:val="00BD7C07"/>
    <w:rsid w:val="00BD7FE5"/>
    <w:rsid w:val="00BE04ED"/>
    <w:rsid w:val="00BE18C4"/>
    <w:rsid w:val="00BE1A73"/>
    <w:rsid w:val="00BE1C36"/>
    <w:rsid w:val="00BE21DA"/>
    <w:rsid w:val="00BE2220"/>
    <w:rsid w:val="00BE2511"/>
    <w:rsid w:val="00BE2567"/>
    <w:rsid w:val="00BE265D"/>
    <w:rsid w:val="00BE27D5"/>
    <w:rsid w:val="00BE3438"/>
    <w:rsid w:val="00BE3925"/>
    <w:rsid w:val="00BE3DD0"/>
    <w:rsid w:val="00BE41D7"/>
    <w:rsid w:val="00BE556C"/>
    <w:rsid w:val="00BE5AE5"/>
    <w:rsid w:val="00BE5CD8"/>
    <w:rsid w:val="00BE5F79"/>
    <w:rsid w:val="00BE5F98"/>
    <w:rsid w:val="00BE60BE"/>
    <w:rsid w:val="00BE7193"/>
    <w:rsid w:val="00BE7B73"/>
    <w:rsid w:val="00BE7F23"/>
    <w:rsid w:val="00BF0AB0"/>
    <w:rsid w:val="00BF0ADC"/>
    <w:rsid w:val="00BF0EF9"/>
    <w:rsid w:val="00BF1003"/>
    <w:rsid w:val="00BF181E"/>
    <w:rsid w:val="00BF1F45"/>
    <w:rsid w:val="00BF1F77"/>
    <w:rsid w:val="00BF2503"/>
    <w:rsid w:val="00BF2926"/>
    <w:rsid w:val="00BF2A17"/>
    <w:rsid w:val="00BF30EA"/>
    <w:rsid w:val="00BF383A"/>
    <w:rsid w:val="00BF39C5"/>
    <w:rsid w:val="00BF3AE3"/>
    <w:rsid w:val="00BF3CEF"/>
    <w:rsid w:val="00BF3FEB"/>
    <w:rsid w:val="00BF41C3"/>
    <w:rsid w:val="00BF462E"/>
    <w:rsid w:val="00BF46E6"/>
    <w:rsid w:val="00BF491E"/>
    <w:rsid w:val="00BF4C5A"/>
    <w:rsid w:val="00BF4D1D"/>
    <w:rsid w:val="00BF54C4"/>
    <w:rsid w:val="00BF5BCD"/>
    <w:rsid w:val="00BF5C9F"/>
    <w:rsid w:val="00BF5D30"/>
    <w:rsid w:val="00BF615F"/>
    <w:rsid w:val="00BF628E"/>
    <w:rsid w:val="00BF64CE"/>
    <w:rsid w:val="00BF75E5"/>
    <w:rsid w:val="00BF77F2"/>
    <w:rsid w:val="00BF7807"/>
    <w:rsid w:val="00BF7F30"/>
    <w:rsid w:val="00C000C8"/>
    <w:rsid w:val="00C00111"/>
    <w:rsid w:val="00C006AF"/>
    <w:rsid w:val="00C00DC6"/>
    <w:rsid w:val="00C00F44"/>
    <w:rsid w:val="00C012CD"/>
    <w:rsid w:val="00C01548"/>
    <w:rsid w:val="00C0180B"/>
    <w:rsid w:val="00C02900"/>
    <w:rsid w:val="00C03455"/>
    <w:rsid w:val="00C03483"/>
    <w:rsid w:val="00C034C9"/>
    <w:rsid w:val="00C036F4"/>
    <w:rsid w:val="00C03908"/>
    <w:rsid w:val="00C03EDB"/>
    <w:rsid w:val="00C044F3"/>
    <w:rsid w:val="00C079C3"/>
    <w:rsid w:val="00C079DE"/>
    <w:rsid w:val="00C10163"/>
    <w:rsid w:val="00C111C9"/>
    <w:rsid w:val="00C119CB"/>
    <w:rsid w:val="00C11BEE"/>
    <w:rsid w:val="00C11E92"/>
    <w:rsid w:val="00C1213C"/>
    <w:rsid w:val="00C12C8E"/>
    <w:rsid w:val="00C12CCD"/>
    <w:rsid w:val="00C13B94"/>
    <w:rsid w:val="00C14F3F"/>
    <w:rsid w:val="00C15203"/>
    <w:rsid w:val="00C15498"/>
    <w:rsid w:val="00C161A9"/>
    <w:rsid w:val="00C16D84"/>
    <w:rsid w:val="00C17142"/>
    <w:rsid w:val="00C174C3"/>
    <w:rsid w:val="00C17DDE"/>
    <w:rsid w:val="00C17E4E"/>
    <w:rsid w:val="00C20C2E"/>
    <w:rsid w:val="00C20ECA"/>
    <w:rsid w:val="00C21532"/>
    <w:rsid w:val="00C21843"/>
    <w:rsid w:val="00C218CD"/>
    <w:rsid w:val="00C21F1C"/>
    <w:rsid w:val="00C22AC7"/>
    <w:rsid w:val="00C22DA4"/>
    <w:rsid w:val="00C22F65"/>
    <w:rsid w:val="00C23656"/>
    <w:rsid w:val="00C23A39"/>
    <w:rsid w:val="00C23ABD"/>
    <w:rsid w:val="00C23BFB"/>
    <w:rsid w:val="00C23E41"/>
    <w:rsid w:val="00C23EB2"/>
    <w:rsid w:val="00C243C8"/>
    <w:rsid w:val="00C244F4"/>
    <w:rsid w:val="00C24566"/>
    <w:rsid w:val="00C24582"/>
    <w:rsid w:val="00C24A94"/>
    <w:rsid w:val="00C25855"/>
    <w:rsid w:val="00C25C5A"/>
    <w:rsid w:val="00C262D7"/>
    <w:rsid w:val="00C26363"/>
    <w:rsid w:val="00C263AB"/>
    <w:rsid w:val="00C26CC0"/>
    <w:rsid w:val="00C26DAF"/>
    <w:rsid w:val="00C26DD0"/>
    <w:rsid w:val="00C2702B"/>
    <w:rsid w:val="00C270B0"/>
    <w:rsid w:val="00C27199"/>
    <w:rsid w:val="00C30753"/>
    <w:rsid w:val="00C308E6"/>
    <w:rsid w:val="00C30C33"/>
    <w:rsid w:val="00C311AA"/>
    <w:rsid w:val="00C31791"/>
    <w:rsid w:val="00C31C9F"/>
    <w:rsid w:val="00C33121"/>
    <w:rsid w:val="00C33457"/>
    <w:rsid w:val="00C335B7"/>
    <w:rsid w:val="00C335FC"/>
    <w:rsid w:val="00C3380F"/>
    <w:rsid w:val="00C33970"/>
    <w:rsid w:val="00C33D9B"/>
    <w:rsid w:val="00C33E85"/>
    <w:rsid w:val="00C3406D"/>
    <w:rsid w:val="00C341B4"/>
    <w:rsid w:val="00C34A6F"/>
    <w:rsid w:val="00C35117"/>
    <w:rsid w:val="00C354BB"/>
    <w:rsid w:val="00C35E2D"/>
    <w:rsid w:val="00C361A4"/>
    <w:rsid w:val="00C3717B"/>
    <w:rsid w:val="00C3725B"/>
    <w:rsid w:val="00C3729A"/>
    <w:rsid w:val="00C37314"/>
    <w:rsid w:val="00C37C03"/>
    <w:rsid w:val="00C37F79"/>
    <w:rsid w:val="00C401C9"/>
    <w:rsid w:val="00C408DC"/>
    <w:rsid w:val="00C410AE"/>
    <w:rsid w:val="00C41938"/>
    <w:rsid w:val="00C41939"/>
    <w:rsid w:val="00C41D80"/>
    <w:rsid w:val="00C4223F"/>
    <w:rsid w:val="00C42C69"/>
    <w:rsid w:val="00C43672"/>
    <w:rsid w:val="00C438BA"/>
    <w:rsid w:val="00C440A5"/>
    <w:rsid w:val="00C451D5"/>
    <w:rsid w:val="00C45A85"/>
    <w:rsid w:val="00C4669A"/>
    <w:rsid w:val="00C47567"/>
    <w:rsid w:val="00C479C2"/>
    <w:rsid w:val="00C515E2"/>
    <w:rsid w:val="00C51AB6"/>
    <w:rsid w:val="00C526E3"/>
    <w:rsid w:val="00C52BB7"/>
    <w:rsid w:val="00C52C63"/>
    <w:rsid w:val="00C534BA"/>
    <w:rsid w:val="00C534CF"/>
    <w:rsid w:val="00C53640"/>
    <w:rsid w:val="00C5373F"/>
    <w:rsid w:val="00C53916"/>
    <w:rsid w:val="00C53E33"/>
    <w:rsid w:val="00C540CC"/>
    <w:rsid w:val="00C54530"/>
    <w:rsid w:val="00C54A43"/>
    <w:rsid w:val="00C54EAA"/>
    <w:rsid w:val="00C552BB"/>
    <w:rsid w:val="00C5696A"/>
    <w:rsid w:val="00C56DD4"/>
    <w:rsid w:val="00C56FA4"/>
    <w:rsid w:val="00C572B0"/>
    <w:rsid w:val="00C574C4"/>
    <w:rsid w:val="00C57724"/>
    <w:rsid w:val="00C60A23"/>
    <w:rsid w:val="00C60DF6"/>
    <w:rsid w:val="00C6140F"/>
    <w:rsid w:val="00C61D0B"/>
    <w:rsid w:val="00C62163"/>
    <w:rsid w:val="00C630F4"/>
    <w:rsid w:val="00C63480"/>
    <w:rsid w:val="00C63604"/>
    <w:rsid w:val="00C63838"/>
    <w:rsid w:val="00C64775"/>
    <w:rsid w:val="00C6504E"/>
    <w:rsid w:val="00C653D9"/>
    <w:rsid w:val="00C656D3"/>
    <w:rsid w:val="00C65B4C"/>
    <w:rsid w:val="00C65C1A"/>
    <w:rsid w:val="00C6633A"/>
    <w:rsid w:val="00C66389"/>
    <w:rsid w:val="00C66B4B"/>
    <w:rsid w:val="00C66D49"/>
    <w:rsid w:val="00C6715A"/>
    <w:rsid w:val="00C677E7"/>
    <w:rsid w:val="00C67DD6"/>
    <w:rsid w:val="00C70362"/>
    <w:rsid w:val="00C7160E"/>
    <w:rsid w:val="00C71C4A"/>
    <w:rsid w:val="00C72125"/>
    <w:rsid w:val="00C722B0"/>
    <w:rsid w:val="00C7266E"/>
    <w:rsid w:val="00C73D3D"/>
    <w:rsid w:val="00C740B0"/>
    <w:rsid w:val="00C74C01"/>
    <w:rsid w:val="00C75767"/>
    <w:rsid w:val="00C76540"/>
    <w:rsid w:val="00C7672B"/>
    <w:rsid w:val="00C76763"/>
    <w:rsid w:val="00C76816"/>
    <w:rsid w:val="00C7686D"/>
    <w:rsid w:val="00C76ADC"/>
    <w:rsid w:val="00C76DDF"/>
    <w:rsid w:val="00C7793F"/>
    <w:rsid w:val="00C77C85"/>
    <w:rsid w:val="00C8026B"/>
    <w:rsid w:val="00C80599"/>
    <w:rsid w:val="00C8067D"/>
    <w:rsid w:val="00C812A0"/>
    <w:rsid w:val="00C81472"/>
    <w:rsid w:val="00C8151C"/>
    <w:rsid w:val="00C81EB1"/>
    <w:rsid w:val="00C825F1"/>
    <w:rsid w:val="00C82D0D"/>
    <w:rsid w:val="00C83888"/>
    <w:rsid w:val="00C83A69"/>
    <w:rsid w:val="00C83E1F"/>
    <w:rsid w:val="00C8460C"/>
    <w:rsid w:val="00C8475B"/>
    <w:rsid w:val="00C8481F"/>
    <w:rsid w:val="00C8492A"/>
    <w:rsid w:val="00C84DF5"/>
    <w:rsid w:val="00C85196"/>
    <w:rsid w:val="00C853F2"/>
    <w:rsid w:val="00C85991"/>
    <w:rsid w:val="00C866BC"/>
    <w:rsid w:val="00C86ADF"/>
    <w:rsid w:val="00C872B6"/>
    <w:rsid w:val="00C87A2F"/>
    <w:rsid w:val="00C87F03"/>
    <w:rsid w:val="00C90372"/>
    <w:rsid w:val="00C90807"/>
    <w:rsid w:val="00C90F36"/>
    <w:rsid w:val="00C912A2"/>
    <w:rsid w:val="00C91427"/>
    <w:rsid w:val="00C9192D"/>
    <w:rsid w:val="00C91D4F"/>
    <w:rsid w:val="00C926C1"/>
    <w:rsid w:val="00C929F9"/>
    <w:rsid w:val="00C92F89"/>
    <w:rsid w:val="00C931CD"/>
    <w:rsid w:val="00C93F28"/>
    <w:rsid w:val="00C94356"/>
    <w:rsid w:val="00C94641"/>
    <w:rsid w:val="00C94FA6"/>
    <w:rsid w:val="00C958B6"/>
    <w:rsid w:val="00C95F4C"/>
    <w:rsid w:val="00C968F6"/>
    <w:rsid w:val="00C96965"/>
    <w:rsid w:val="00C96AC7"/>
    <w:rsid w:val="00C96B24"/>
    <w:rsid w:val="00C97780"/>
    <w:rsid w:val="00C97B6A"/>
    <w:rsid w:val="00CA0EA4"/>
    <w:rsid w:val="00CA1018"/>
    <w:rsid w:val="00CA11CA"/>
    <w:rsid w:val="00CA136C"/>
    <w:rsid w:val="00CA1CB8"/>
    <w:rsid w:val="00CA2593"/>
    <w:rsid w:val="00CA276B"/>
    <w:rsid w:val="00CA31E8"/>
    <w:rsid w:val="00CA3851"/>
    <w:rsid w:val="00CA3B81"/>
    <w:rsid w:val="00CA4231"/>
    <w:rsid w:val="00CA43A9"/>
    <w:rsid w:val="00CA46D3"/>
    <w:rsid w:val="00CA479C"/>
    <w:rsid w:val="00CA4841"/>
    <w:rsid w:val="00CA52F0"/>
    <w:rsid w:val="00CA5736"/>
    <w:rsid w:val="00CA5787"/>
    <w:rsid w:val="00CA5A6C"/>
    <w:rsid w:val="00CA5D0C"/>
    <w:rsid w:val="00CA5F67"/>
    <w:rsid w:val="00CA6192"/>
    <w:rsid w:val="00CA63B4"/>
    <w:rsid w:val="00CA64E9"/>
    <w:rsid w:val="00CA6837"/>
    <w:rsid w:val="00CA7145"/>
    <w:rsid w:val="00CA731E"/>
    <w:rsid w:val="00CA7436"/>
    <w:rsid w:val="00CA76A6"/>
    <w:rsid w:val="00CA789C"/>
    <w:rsid w:val="00CA7942"/>
    <w:rsid w:val="00CA7E97"/>
    <w:rsid w:val="00CB06AF"/>
    <w:rsid w:val="00CB0A60"/>
    <w:rsid w:val="00CB120A"/>
    <w:rsid w:val="00CB1416"/>
    <w:rsid w:val="00CB15A1"/>
    <w:rsid w:val="00CB1D48"/>
    <w:rsid w:val="00CB1F01"/>
    <w:rsid w:val="00CB2107"/>
    <w:rsid w:val="00CB2320"/>
    <w:rsid w:val="00CB262C"/>
    <w:rsid w:val="00CB2881"/>
    <w:rsid w:val="00CB2D32"/>
    <w:rsid w:val="00CB303C"/>
    <w:rsid w:val="00CB356D"/>
    <w:rsid w:val="00CB35A1"/>
    <w:rsid w:val="00CB3658"/>
    <w:rsid w:val="00CB3904"/>
    <w:rsid w:val="00CB3B12"/>
    <w:rsid w:val="00CB3E21"/>
    <w:rsid w:val="00CB3E45"/>
    <w:rsid w:val="00CB4C25"/>
    <w:rsid w:val="00CB4F4C"/>
    <w:rsid w:val="00CB57F8"/>
    <w:rsid w:val="00CB5B67"/>
    <w:rsid w:val="00CB6D03"/>
    <w:rsid w:val="00CB7620"/>
    <w:rsid w:val="00CB7813"/>
    <w:rsid w:val="00CB783C"/>
    <w:rsid w:val="00CB7ACB"/>
    <w:rsid w:val="00CB7CB5"/>
    <w:rsid w:val="00CC0B2F"/>
    <w:rsid w:val="00CC0C06"/>
    <w:rsid w:val="00CC1E00"/>
    <w:rsid w:val="00CC2BAF"/>
    <w:rsid w:val="00CC2F77"/>
    <w:rsid w:val="00CC33F0"/>
    <w:rsid w:val="00CC3D00"/>
    <w:rsid w:val="00CC3D03"/>
    <w:rsid w:val="00CC3D92"/>
    <w:rsid w:val="00CC4051"/>
    <w:rsid w:val="00CC4AE7"/>
    <w:rsid w:val="00CC4DE6"/>
    <w:rsid w:val="00CC52B2"/>
    <w:rsid w:val="00CC594B"/>
    <w:rsid w:val="00CC5D5A"/>
    <w:rsid w:val="00CC6064"/>
    <w:rsid w:val="00CC61B2"/>
    <w:rsid w:val="00CC6313"/>
    <w:rsid w:val="00CC659F"/>
    <w:rsid w:val="00CC6D5B"/>
    <w:rsid w:val="00CC736C"/>
    <w:rsid w:val="00CC766C"/>
    <w:rsid w:val="00CC7772"/>
    <w:rsid w:val="00CC789B"/>
    <w:rsid w:val="00CC7DA4"/>
    <w:rsid w:val="00CD02E2"/>
    <w:rsid w:val="00CD050B"/>
    <w:rsid w:val="00CD05AC"/>
    <w:rsid w:val="00CD0D97"/>
    <w:rsid w:val="00CD1060"/>
    <w:rsid w:val="00CD11DF"/>
    <w:rsid w:val="00CD13B7"/>
    <w:rsid w:val="00CD1636"/>
    <w:rsid w:val="00CD1918"/>
    <w:rsid w:val="00CD199F"/>
    <w:rsid w:val="00CD1A48"/>
    <w:rsid w:val="00CD1F7B"/>
    <w:rsid w:val="00CD2016"/>
    <w:rsid w:val="00CD2544"/>
    <w:rsid w:val="00CD297C"/>
    <w:rsid w:val="00CD2CC9"/>
    <w:rsid w:val="00CD2F86"/>
    <w:rsid w:val="00CD3D8D"/>
    <w:rsid w:val="00CD3E22"/>
    <w:rsid w:val="00CD3E60"/>
    <w:rsid w:val="00CD4099"/>
    <w:rsid w:val="00CD40F3"/>
    <w:rsid w:val="00CD45AF"/>
    <w:rsid w:val="00CD4868"/>
    <w:rsid w:val="00CD4962"/>
    <w:rsid w:val="00CD4CA5"/>
    <w:rsid w:val="00CD4DC8"/>
    <w:rsid w:val="00CD5080"/>
    <w:rsid w:val="00CD5240"/>
    <w:rsid w:val="00CD531F"/>
    <w:rsid w:val="00CD5898"/>
    <w:rsid w:val="00CD5AB7"/>
    <w:rsid w:val="00CD62C0"/>
    <w:rsid w:val="00CD75CC"/>
    <w:rsid w:val="00CD7954"/>
    <w:rsid w:val="00CD7F91"/>
    <w:rsid w:val="00CE0619"/>
    <w:rsid w:val="00CE0B35"/>
    <w:rsid w:val="00CE0B9A"/>
    <w:rsid w:val="00CE0D42"/>
    <w:rsid w:val="00CE0E75"/>
    <w:rsid w:val="00CE0F6F"/>
    <w:rsid w:val="00CE1915"/>
    <w:rsid w:val="00CE1C54"/>
    <w:rsid w:val="00CE1E49"/>
    <w:rsid w:val="00CE1FCF"/>
    <w:rsid w:val="00CE24FF"/>
    <w:rsid w:val="00CE2926"/>
    <w:rsid w:val="00CE2C92"/>
    <w:rsid w:val="00CE2D36"/>
    <w:rsid w:val="00CE3ADB"/>
    <w:rsid w:val="00CE3F9B"/>
    <w:rsid w:val="00CE40CB"/>
    <w:rsid w:val="00CE4D27"/>
    <w:rsid w:val="00CE4DAD"/>
    <w:rsid w:val="00CE51D1"/>
    <w:rsid w:val="00CE53D8"/>
    <w:rsid w:val="00CE59D3"/>
    <w:rsid w:val="00CE695F"/>
    <w:rsid w:val="00CE6980"/>
    <w:rsid w:val="00CE6ADF"/>
    <w:rsid w:val="00CE6B51"/>
    <w:rsid w:val="00CE6E2E"/>
    <w:rsid w:val="00CE70B2"/>
    <w:rsid w:val="00CE7429"/>
    <w:rsid w:val="00CE7597"/>
    <w:rsid w:val="00CE76DC"/>
    <w:rsid w:val="00CE7DCB"/>
    <w:rsid w:val="00CF0830"/>
    <w:rsid w:val="00CF0DC7"/>
    <w:rsid w:val="00CF1AE2"/>
    <w:rsid w:val="00CF3596"/>
    <w:rsid w:val="00CF36A7"/>
    <w:rsid w:val="00CF406A"/>
    <w:rsid w:val="00CF492B"/>
    <w:rsid w:val="00CF49EB"/>
    <w:rsid w:val="00CF49F2"/>
    <w:rsid w:val="00CF5CAA"/>
    <w:rsid w:val="00CF66C0"/>
    <w:rsid w:val="00CF67B8"/>
    <w:rsid w:val="00CF68AF"/>
    <w:rsid w:val="00CF6CE0"/>
    <w:rsid w:val="00CF6D77"/>
    <w:rsid w:val="00CF7E81"/>
    <w:rsid w:val="00CF7E9C"/>
    <w:rsid w:val="00D00189"/>
    <w:rsid w:val="00D00391"/>
    <w:rsid w:val="00D00701"/>
    <w:rsid w:val="00D00852"/>
    <w:rsid w:val="00D012D5"/>
    <w:rsid w:val="00D020A2"/>
    <w:rsid w:val="00D026DF"/>
    <w:rsid w:val="00D02B3B"/>
    <w:rsid w:val="00D031C5"/>
    <w:rsid w:val="00D032A0"/>
    <w:rsid w:val="00D03470"/>
    <w:rsid w:val="00D034F7"/>
    <w:rsid w:val="00D0351E"/>
    <w:rsid w:val="00D03A70"/>
    <w:rsid w:val="00D042A9"/>
    <w:rsid w:val="00D0469C"/>
    <w:rsid w:val="00D04E9F"/>
    <w:rsid w:val="00D04F7A"/>
    <w:rsid w:val="00D0512A"/>
    <w:rsid w:val="00D05B5A"/>
    <w:rsid w:val="00D06A8E"/>
    <w:rsid w:val="00D06BD1"/>
    <w:rsid w:val="00D06BE0"/>
    <w:rsid w:val="00D06EB4"/>
    <w:rsid w:val="00D06EDE"/>
    <w:rsid w:val="00D07658"/>
    <w:rsid w:val="00D07BE3"/>
    <w:rsid w:val="00D07F8F"/>
    <w:rsid w:val="00D102C8"/>
    <w:rsid w:val="00D10626"/>
    <w:rsid w:val="00D114B3"/>
    <w:rsid w:val="00D118CA"/>
    <w:rsid w:val="00D12029"/>
    <w:rsid w:val="00D12971"/>
    <w:rsid w:val="00D12ED0"/>
    <w:rsid w:val="00D12F5F"/>
    <w:rsid w:val="00D13022"/>
    <w:rsid w:val="00D13A8E"/>
    <w:rsid w:val="00D13BF6"/>
    <w:rsid w:val="00D13DC3"/>
    <w:rsid w:val="00D1445C"/>
    <w:rsid w:val="00D149B1"/>
    <w:rsid w:val="00D149B7"/>
    <w:rsid w:val="00D154CC"/>
    <w:rsid w:val="00D15513"/>
    <w:rsid w:val="00D15768"/>
    <w:rsid w:val="00D15949"/>
    <w:rsid w:val="00D16110"/>
    <w:rsid w:val="00D16BD3"/>
    <w:rsid w:val="00D16D00"/>
    <w:rsid w:val="00D17173"/>
    <w:rsid w:val="00D172B1"/>
    <w:rsid w:val="00D1768C"/>
    <w:rsid w:val="00D176A3"/>
    <w:rsid w:val="00D17CD1"/>
    <w:rsid w:val="00D17F94"/>
    <w:rsid w:val="00D202F3"/>
    <w:rsid w:val="00D205B6"/>
    <w:rsid w:val="00D20846"/>
    <w:rsid w:val="00D209A7"/>
    <w:rsid w:val="00D20E62"/>
    <w:rsid w:val="00D21357"/>
    <w:rsid w:val="00D21B44"/>
    <w:rsid w:val="00D21BB6"/>
    <w:rsid w:val="00D220CE"/>
    <w:rsid w:val="00D226B6"/>
    <w:rsid w:val="00D22A51"/>
    <w:rsid w:val="00D22D65"/>
    <w:rsid w:val="00D234D7"/>
    <w:rsid w:val="00D23AEE"/>
    <w:rsid w:val="00D23AEF"/>
    <w:rsid w:val="00D23CE5"/>
    <w:rsid w:val="00D2445C"/>
    <w:rsid w:val="00D2448A"/>
    <w:rsid w:val="00D248B0"/>
    <w:rsid w:val="00D24B18"/>
    <w:rsid w:val="00D24CEC"/>
    <w:rsid w:val="00D24DCF"/>
    <w:rsid w:val="00D255B7"/>
    <w:rsid w:val="00D25600"/>
    <w:rsid w:val="00D25613"/>
    <w:rsid w:val="00D2587C"/>
    <w:rsid w:val="00D258B0"/>
    <w:rsid w:val="00D25D20"/>
    <w:rsid w:val="00D25FB2"/>
    <w:rsid w:val="00D26404"/>
    <w:rsid w:val="00D26479"/>
    <w:rsid w:val="00D264A0"/>
    <w:rsid w:val="00D26B43"/>
    <w:rsid w:val="00D26D31"/>
    <w:rsid w:val="00D27A34"/>
    <w:rsid w:val="00D30719"/>
    <w:rsid w:val="00D30984"/>
    <w:rsid w:val="00D30DF5"/>
    <w:rsid w:val="00D30F81"/>
    <w:rsid w:val="00D3173F"/>
    <w:rsid w:val="00D31943"/>
    <w:rsid w:val="00D31B97"/>
    <w:rsid w:val="00D31DE0"/>
    <w:rsid w:val="00D31DF0"/>
    <w:rsid w:val="00D32554"/>
    <w:rsid w:val="00D32F93"/>
    <w:rsid w:val="00D32FD3"/>
    <w:rsid w:val="00D32FE1"/>
    <w:rsid w:val="00D333CE"/>
    <w:rsid w:val="00D333EA"/>
    <w:rsid w:val="00D337B7"/>
    <w:rsid w:val="00D33F4A"/>
    <w:rsid w:val="00D3440A"/>
    <w:rsid w:val="00D344B5"/>
    <w:rsid w:val="00D3469E"/>
    <w:rsid w:val="00D35313"/>
    <w:rsid w:val="00D3570C"/>
    <w:rsid w:val="00D35947"/>
    <w:rsid w:val="00D359C6"/>
    <w:rsid w:val="00D3601D"/>
    <w:rsid w:val="00D36201"/>
    <w:rsid w:val="00D3646A"/>
    <w:rsid w:val="00D36F7B"/>
    <w:rsid w:val="00D36FAC"/>
    <w:rsid w:val="00D36FB4"/>
    <w:rsid w:val="00D37078"/>
    <w:rsid w:val="00D373CF"/>
    <w:rsid w:val="00D3790C"/>
    <w:rsid w:val="00D37AA2"/>
    <w:rsid w:val="00D4059C"/>
    <w:rsid w:val="00D4090E"/>
    <w:rsid w:val="00D41AC1"/>
    <w:rsid w:val="00D424E8"/>
    <w:rsid w:val="00D425A3"/>
    <w:rsid w:val="00D4265B"/>
    <w:rsid w:val="00D4282C"/>
    <w:rsid w:val="00D42E4F"/>
    <w:rsid w:val="00D42EEC"/>
    <w:rsid w:val="00D4314D"/>
    <w:rsid w:val="00D43681"/>
    <w:rsid w:val="00D43AD5"/>
    <w:rsid w:val="00D44106"/>
    <w:rsid w:val="00D441D1"/>
    <w:rsid w:val="00D44503"/>
    <w:rsid w:val="00D44DAF"/>
    <w:rsid w:val="00D452F4"/>
    <w:rsid w:val="00D45475"/>
    <w:rsid w:val="00D45983"/>
    <w:rsid w:val="00D45A14"/>
    <w:rsid w:val="00D460CD"/>
    <w:rsid w:val="00D464DC"/>
    <w:rsid w:val="00D474C0"/>
    <w:rsid w:val="00D47611"/>
    <w:rsid w:val="00D479D9"/>
    <w:rsid w:val="00D47B7D"/>
    <w:rsid w:val="00D50352"/>
    <w:rsid w:val="00D503B4"/>
    <w:rsid w:val="00D505AB"/>
    <w:rsid w:val="00D5075A"/>
    <w:rsid w:val="00D5092A"/>
    <w:rsid w:val="00D50A75"/>
    <w:rsid w:val="00D50AF2"/>
    <w:rsid w:val="00D50DBB"/>
    <w:rsid w:val="00D5117A"/>
    <w:rsid w:val="00D512D0"/>
    <w:rsid w:val="00D51722"/>
    <w:rsid w:val="00D51B17"/>
    <w:rsid w:val="00D52F05"/>
    <w:rsid w:val="00D532D0"/>
    <w:rsid w:val="00D54790"/>
    <w:rsid w:val="00D55067"/>
    <w:rsid w:val="00D55677"/>
    <w:rsid w:val="00D55FB1"/>
    <w:rsid w:val="00D56471"/>
    <w:rsid w:val="00D564ED"/>
    <w:rsid w:val="00D5653F"/>
    <w:rsid w:val="00D568A3"/>
    <w:rsid w:val="00D56999"/>
    <w:rsid w:val="00D56EA9"/>
    <w:rsid w:val="00D56F3F"/>
    <w:rsid w:val="00D571A1"/>
    <w:rsid w:val="00D57454"/>
    <w:rsid w:val="00D574AD"/>
    <w:rsid w:val="00D57546"/>
    <w:rsid w:val="00D57CC7"/>
    <w:rsid w:val="00D57EFC"/>
    <w:rsid w:val="00D60B6A"/>
    <w:rsid w:val="00D61640"/>
    <w:rsid w:val="00D61682"/>
    <w:rsid w:val="00D61962"/>
    <w:rsid w:val="00D619BA"/>
    <w:rsid w:val="00D61D26"/>
    <w:rsid w:val="00D63B95"/>
    <w:rsid w:val="00D63BC8"/>
    <w:rsid w:val="00D64467"/>
    <w:rsid w:val="00D64623"/>
    <w:rsid w:val="00D64A78"/>
    <w:rsid w:val="00D64AA8"/>
    <w:rsid w:val="00D64DA9"/>
    <w:rsid w:val="00D6529A"/>
    <w:rsid w:val="00D6535C"/>
    <w:rsid w:val="00D65786"/>
    <w:rsid w:val="00D65801"/>
    <w:rsid w:val="00D6580B"/>
    <w:rsid w:val="00D65CDB"/>
    <w:rsid w:val="00D66278"/>
    <w:rsid w:val="00D66B45"/>
    <w:rsid w:val="00D66EF0"/>
    <w:rsid w:val="00D66F49"/>
    <w:rsid w:val="00D678FD"/>
    <w:rsid w:val="00D70111"/>
    <w:rsid w:val="00D7059D"/>
    <w:rsid w:val="00D70CC3"/>
    <w:rsid w:val="00D713BE"/>
    <w:rsid w:val="00D7151F"/>
    <w:rsid w:val="00D71679"/>
    <w:rsid w:val="00D718E2"/>
    <w:rsid w:val="00D72185"/>
    <w:rsid w:val="00D729B6"/>
    <w:rsid w:val="00D7480D"/>
    <w:rsid w:val="00D75345"/>
    <w:rsid w:val="00D75854"/>
    <w:rsid w:val="00D75897"/>
    <w:rsid w:val="00D75BB8"/>
    <w:rsid w:val="00D76236"/>
    <w:rsid w:val="00D76401"/>
    <w:rsid w:val="00D7647A"/>
    <w:rsid w:val="00D767A5"/>
    <w:rsid w:val="00D76917"/>
    <w:rsid w:val="00D77679"/>
    <w:rsid w:val="00D776C5"/>
    <w:rsid w:val="00D778CE"/>
    <w:rsid w:val="00D804BF"/>
    <w:rsid w:val="00D805A3"/>
    <w:rsid w:val="00D80B8B"/>
    <w:rsid w:val="00D810F4"/>
    <w:rsid w:val="00D81B88"/>
    <w:rsid w:val="00D82100"/>
    <w:rsid w:val="00D822CA"/>
    <w:rsid w:val="00D82312"/>
    <w:rsid w:val="00D82320"/>
    <w:rsid w:val="00D8237B"/>
    <w:rsid w:val="00D823DB"/>
    <w:rsid w:val="00D82678"/>
    <w:rsid w:val="00D8271C"/>
    <w:rsid w:val="00D828DB"/>
    <w:rsid w:val="00D82908"/>
    <w:rsid w:val="00D82938"/>
    <w:rsid w:val="00D82C80"/>
    <w:rsid w:val="00D82D98"/>
    <w:rsid w:val="00D8300D"/>
    <w:rsid w:val="00D84711"/>
    <w:rsid w:val="00D84821"/>
    <w:rsid w:val="00D84B1E"/>
    <w:rsid w:val="00D858B1"/>
    <w:rsid w:val="00D85F18"/>
    <w:rsid w:val="00D86184"/>
    <w:rsid w:val="00D8649C"/>
    <w:rsid w:val="00D8673F"/>
    <w:rsid w:val="00D86BAD"/>
    <w:rsid w:val="00D86D10"/>
    <w:rsid w:val="00D86E71"/>
    <w:rsid w:val="00D87AF8"/>
    <w:rsid w:val="00D87BDC"/>
    <w:rsid w:val="00D87D86"/>
    <w:rsid w:val="00D87E0C"/>
    <w:rsid w:val="00D904C6"/>
    <w:rsid w:val="00D90CDD"/>
    <w:rsid w:val="00D91479"/>
    <w:rsid w:val="00D91C23"/>
    <w:rsid w:val="00D91FED"/>
    <w:rsid w:val="00D9253B"/>
    <w:rsid w:val="00D93DF3"/>
    <w:rsid w:val="00D9440A"/>
    <w:rsid w:val="00D9451E"/>
    <w:rsid w:val="00D9470D"/>
    <w:rsid w:val="00D94D28"/>
    <w:rsid w:val="00D94F3C"/>
    <w:rsid w:val="00D956EE"/>
    <w:rsid w:val="00D95A47"/>
    <w:rsid w:val="00D95EC3"/>
    <w:rsid w:val="00D960BD"/>
    <w:rsid w:val="00D962EC"/>
    <w:rsid w:val="00D96645"/>
    <w:rsid w:val="00D96937"/>
    <w:rsid w:val="00D96A76"/>
    <w:rsid w:val="00D96E50"/>
    <w:rsid w:val="00D971E0"/>
    <w:rsid w:val="00D97433"/>
    <w:rsid w:val="00D97C5D"/>
    <w:rsid w:val="00DA0323"/>
    <w:rsid w:val="00DA04D3"/>
    <w:rsid w:val="00DA04DF"/>
    <w:rsid w:val="00DA0AC5"/>
    <w:rsid w:val="00DA11B7"/>
    <w:rsid w:val="00DA1BA1"/>
    <w:rsid w:val="00DA23AB"/>
    <w:rsid w:val="00DA25B0"/>
    <w:rsid w:val="00DA2BBD"/>
    <w:rsid w:val="00DA31F2"/>
    <w:rsid w:val="00DA389F"/>
    <w:rsid w:val="00DA39BC"/>
    <w:rsid w:val="00DA3A59"/>
    <w:rsid w:val="00DA44CF"/>
    <w:rsid w:val="00DA48C7"/>
    <w:rsid w:val="00DA4DED"/>
    <w:rsid w:val="00DA5203"/>
    <w:rsid w:val="00DA5C53"/>
    <w:rsid w:val="00DA5F5F"/>
    <w:rsid w:val="00DA6024"/>
    <w:rsid w:val="00DA6150"/>
    <w:rsid w:val="00DA66F0"/>
    <w:rsid w:val="00DA7165"/>
    <w:rsid w:val="00DA7F57"/>
    <w:rsid w:val="00DB0012"/>
    <w:rsid w:val="00DB00A0"/>
    <w:rsid w:val="00DB015A"/>
    <w:rsid w:val="00DB04C4"/>
    <w:rsid w:val="00DB066A"/>
    <w:rsid w:val="00DB0D6B"/>
    <w:rsid w:val="00DB0F11"/>
    <w:rsid w:val="00DB1520"/>
    <w:rsid w:val="00DB1841"/>
    <w:rsid w:val="00DB1ABB"/>
    <w:rsid w:val="00DB1D6D"/>
    <w:rsid w:val="00DB2382"/>
    <w:rsid w:val="00DB2F30"/>
    <w:rsid w:val="00DB322A"/>
    <w:rsid w:val="00DB3D7C"/>
    <w:rsid w:val="00DB3E08"/>
    <w:rsid w:val="00DB451E"/>
    <w:rsid w:val="00DB476E"/>
    <w:rsid w:val="00DB5608"/>
    <w:rsid w:val="00DB56F5"/>
    <w:rsid w:val="00DB62AF"/>
    <w:rsid w:val="00DB673A"/>
    <w:rsid w:val="00DB7D44"/>
    <w:rsid w:val="00DB7E19"/>
    <w:rsid w:val="00DC0017"/>
    <w:rsid w:val="00DC01DE"/>
    <w:rsid w:val="00DC0404"/>
    <w:rsid w:val="00DC0907"/>
    <w:rsid w:val="00DC0C7F"/>
    <w:rsid w:val="00DC1045"/>
    <w:rsid w:val="00DC133B"/>
    <w:rsid w:val="00DC14E0"/>
    <w:rsid w:val="00DC165D"/>
    <w:rsid w:val="00DC19A3"/>
    <w:rsid w:val="00DC19B0"/>
    <w:rsid w:val="00DC2295"/>
    <w:rsid w:val="00DC24E8"/>
    <w:rsid w:val="00DC276E"/>
    <w:rsid w:val="00DC2A29"/>
    <w:rsid w:val="00DC36C9"/>
    <w:rsid w:val="00DC3D81"/>
    <w:rsid w:val="00DC3DB3"/>
    <w:rsid w:val="00DC491A"/>
    <w:rsid w:val="00DC601E"/>
    <w:rsid w:val="00DC61F3"/>
    <w:rsid w:val="00DC6F85"/>
    <w:rsid w:val="00DC71F8"/>
    <w:rsid w:val="00DC72F8"/>
    <w:rsid w:val="00DC7919"/>
    <w:rsid w:val="00DC7A32"/>
    <w:rsid w:val="00DC7BA3"/>
    <w:rsid w:val="00DC7DA5"/>
    <w:rsid w:val="00DC7FF9"/>
    <w:rsid w:val="00DD0B86"/>
    <w:rsid w:val="00DD1422"/>
    <w:rsid w:val="00DD1463"/>
    <w:rsid w:val="00DD18A6"/>
    <w:rsid w:val="00DD1949"/>
    <w:rsid w:val="00DD21E1"/>
    <w:rsid w:val="00DD261B"/>
    <w:rsid w:val="00DD261E"/>
    <w:rsid w:val="00DD29EE"/>
    <w:rsid w:val="00DD2AC6"/>
    <w:rsid w:val="00DD2C8F"/>
    <w:rsid w:val="00DD348B"/>
    <w:rsid w:val="00DD3865"/>
    <w:rsid w:val="00DD3C54"/>
    <w:rsid w:val="00DD3C7D"/>
    <w:rsid w:val="00DD45D4"/>
    <w:rsid w:val="00DD489F"/>
    <w:rsid w:val="00DD4A21"/>
    <w:rsid w:val="00DD5343"/>
    <w:rsid w:val="00DD5A7E"/>
    <w:rsid w:val="00DD6159"/>
    <w:rsid w:val="00DD64E0"/>
    <w:rsid w:val="00DD6C14"/>
    <w:rsid w:val="00DD6CEB"/>
    <w:rsid w:val="00DD6DAB"/>
    <w:rsid w:val="00DD6FE9"/>
    <w:rsid w:val="00DD71D0"/>
    <w:rsid w:val="00DD71D8"/>
    <w:rsid w:val="00DD724C"/>
    <w:rsid w:val="00DD733B"/>
    <w:rsid w:val="00DD77EA"/>
    <w:rsid w:val="00DD785A"/>
    <w:rsid w:val="00DE02AF"/>
    <w:rsid w:val="00DE03AF"/>
    <w:rsid w:val="00DE0C86"/>
    <w:rsid w:val="00DE0CC4"/>
    <w:rsid w:val="00DE42EA"/>
    <w:rsid w:val="00DE42FC"/>
    <w:rsid w:val="00DE4BDF"/>
    <w:rsid w:val="00DE4F61"/>
    <w:rsid w:val="00DE66F5"/>
    <w:rsid w:val="00DE6874"/>
    <w:rsid w:val="00DE6B30"/>
    <w:rsid w:val="00DE6D70"/>
    <w:rsid w:val="00DE6E04"/>
    <w:rsid w:val="00DE7866"/>
    <w:rsid w:val="00DE7AA4"/>
    <w:rsid w:val="00DE7FF1"/>
    <w:rsid w:val="00DF006A"/>
    <w:rsid w:val="00DF0844"/>
    <w:rsid w:val="00DF0B87"/>
    <w:rsid w:val="00DF0F72"/>
    <w:rsid w:val="00DF1556"/>
    <w:rsid w:val="00DF16C0"/>
    <w:rsid w:val="00DF1745"/>
    <w:rsid w:val="00DF1923"/>
    <w:rsid w:val="00DF1D6F"/>
    <w:rsid w:val="00DF1F60"/>
    <w:rsid w:val="00DF2238"/>
    <w:rsid w:val="00DF2600"/>
    <w:rsid w:val="00DF26FF"/>
    <w:rsid w:val="00DF27C3"/>
    <w:rsid w:val="00DF2F37"/>
    <w:rsid w:val="00DF301B"/>
    <w:rsid w:val="00DF375F"/>
    <w:rsid w:val="00DF3960"/>
    <w:rsid w:val="00DF3B40"/>
    <w:rsid w:val="00DF3D5A"/>
    <w:rsid w:val="00DF410D"/>
    <w:rsid w:val="00DF432A"/>
    <w:rsid w:val="00DF4468"/>
    <w:rsid w:val="00DF470B"/>
    <w:rsid w:val="00DF5355"/>
    <w:rsid w:val="00DF5412"/>
    <w:rsid w:val="00DF5984"/>
    <w:rsid w:val="00DF5DF2"/>
    <w:rsid w:val="00DF66CB"/>
    <w:rsid w:val="00DF6A35"/>
    <w:rsid w:val="00DF6D1E"/>
    <w:rsid w:val="00DF7020"/>
    <w:rsid w:val="00DF70C3"/>
    <w:rsid w:val="00DF7501"/>
    <w:rsid w:val="00DF78AA"/>
    <w:rsid w:val="00DF7934"/>
    <w:rsid w:val="00DF7F8F"/>
    <w:rsid w:val="00E001CE"/>
    <w:rsid w:val="00E005DC"/>
    <w:rsid w:val="00E00C7E"/>
    <w:rsid w:val="00E00D3A"/>
    <w:rsid w:val="00E017DD"/>
    <w:rsid w:val="00E01C21"/>
    <w:rsid w:val="00E020F7"/>
    <w:rsid w:val="00E026E1"/>
    <w:rsid w:val="00E02E82"/>
    <w:rsid w:val="00E03493"/>
    <w:rsid w:val="00E035EC"/>
    <w:rsid w:val="00E03CA4"/>
    <w:rsid w:val="00E03D42"/>
    <w:rsid w:val="00E03E51"/>
    <w:rsid w:val="00E0402B"/>
    <w:rsid w:val="00E04249"/>
    <w:rsid w:val="00E043E5"/>
    <w:rsid w:val="00E045BF"/>
    <w:rsid w:val="00E046C6"/>
    <w:rsid w:val="00E047A5"/>
    <w:rsid w:val="00E04818"/>
    <w:rsid w:val="00E04A1D"/>
    <w:rsid w:val="00E04F68"/>
    <w:rsid w:val="00E05036"/>
    <w:rsid w:val="00E051CE"/>
    <w:rsid w:val="00E052C2"/>
    <w:rsid w:val="00E05553"/>
    <w:rsid w:val="00E057F7"/>
    <w:rsid w:val="00E06167"/>
    <w:rsid w:val="00E06285"/>
    <w:rsid w:val="00E06619"/>
    <w:rsid w:val="00E066AD"/>
    <w:rsid w:val="00E0685E"/>
    <w:rsid w:val="00E0711D"/>
    <w:rsid w:val="00E07969"/>
    <w:rsid w:val="00E07DD3"/>
    <w:rsid w:val="00E07F9C"/>
    <w:rsid w:val="00E10B56"/>
    <w:rsid w:val="00E11497"/>
    <w:rsid w:val="00E11F3E"/>
    <w:rsid w:val="00E11F41"/>
    <w:rsid w:val="00E11F6E"/>
    <w:rsid w:val="00E12306"/>
    <w:rsid w:val="00E124BD"/>
    <w:rsid w:val="00E1271E"/>
    <w:rsid w:val="00E137D4"/>
    <w:rsid w:val="00E13A85"/>
    <w:rsid w:val="00E14106"/>
    <w:rsid w:val="00E141C1"/>
    <w:rsid w:val="00E1483C"/>
    <w:rsid w:val="00E14B39"/>
    <w:rsid w:val="00E14D9E"/>
    <w:rsid w:val="00E14F90"/>
    <w:rsid w:val="00E1511F"/>
    <w:rsid w:val="00E1568A"/>
    <w:rsid w:val="00E15742"/>
    <w:rsid w:val="00E15AA2"/>
    <w:rsid w:val="00E165AD"/>
    <w:rsid w:val="00E165E3"/>
    <w:rsid w:val="00E171C7"/>
    <w:rsid w:val="00E17B0F"/>
    <w:rsid w:val="00E17D42"/>
    <w:rsid w:val="00E20003"/>
    <w:rsid w:val="00E200F5"/>
    <w:rsid w:val="00E2034D"/>
    <w:rsid w:val="00E21B10"/>
    <w:rsid w:val="00E21FD9"/>
    <w:rsid w:val="00E221C2"/>
    <w:rsid w:val="00E222D4"/>
    <w:rsid w:val="00E22366"/>
    <w:rsid w:val="00E225DC"/>
    <w:rsid w:val="00E22FDD"/>
    <w:rsid w:val="00E23F14"/>
    <w:rsid w:val="00E241C3"/>
    <w:rsid w:val="00E24430"/>
    <w:rsid w:val="00E24555"/>
    <w:rsid w:val="00E24969"/>
    <w:rsid w:val="00E24BFF"/>
    <w:rsid w:val="00E25609"/>
    <w:rsid w:val="00E25E3F"/>
    <w:rsid w:val="00E25F63"/>
    <w:rsid w:val="00E264C4"/>
    <w:rsid w:val="00E26896"/>
    <w:rsid w:val="00E275BE"/>
    <w:rsid w:val="00E27CCD"/>
    <w:rsid w:val="00E307FD"/>
    <w:rsid w:val="00E30899"/>
    <w:rsid w:val="00E30D8F"/>
    <w:rsid w:val="00E31FD0"/>
    <w:rsid w:val="00E3287B"/>
    <w:rsid w:val="00E32912"/>
    <w:rsid w:val="00E32F59"/>
    <w:rsid w:val="00E330A5"/>
    <w:rsid w:val="00E33393"/>
    <w:rsid w:val="00E33930"/>
    <w:rsid w:val="00E3407A"/>
    <w:rsid w:val="00E340C2"/>
    <w:rsid w:val="00E345F1"/>
    <w:rsid w:val="00E3494E"/>
    <w:rsid w:val="00E34A7D"/>
    <w:rsid w:val="00E34CE3"/>
    <w:rsid w:val="00E34F24"/>
    <w:rsid w:val="00E3527A"/>
    <w:rsid w:val="00E3576E"/>
    <w:rsid w:val="00E35873"/>
    <w:rsid w:val="00E35BF4"/>
    <w:rsid w:val="00E36A47"/>
    <w:rsid w:val="00E36AF0"/>
    <w:rsid w:val="00E36B48"/>
    <w:rsid w:val="00E3792D"/>
    <w:rsid w:val="00E37C65"/>
    <w:rsid w:val="00E40261"/>
    <w:rsid w:val="00E4032C"/>
    <w:rsid w:val="00E4036B"/>
    <w:rsid w:val="00E40967"/>
    <w:rsid w:val="00E40D65"/>
    <w:rsid w:val="00E40DE8"/>
    <w:rsid w:val="00E418A3"/>
    <w:rsid w:val="00E41B8C"/>
    <w:rsid w:val="00E422CB"/>
    <w:rsid w:val="00E4287B"/>
    <w:rsid w:val="00E42938"/>
    <w:rsid w:val="00E42A34"/>
    <w:rsid w:val="00E42DC8"/>
    <w:rsid w:val="00E432CF"/>
    <w:rsid w:val="00E4339C"/>
    <w:rsid w:val="00E43460"/>
    <w:rsid w:val="00E43494"/>
    <w:rsid w:val="00E43EC0"/>
    <w:rsid w:val="00E441A9"/>
    <w:rsid w:val="00E44463"/>
    <w:rsid w:val="00E44558"/>
    <w:rsid w:val="00E45090"/>
    <w:rsid w:val="00E4510E"/>
    <w:rsid w:val="00E4568A"/>
    <w:rsid w:val="00E45893"/>
    <w:rsid w:val="00E459F6"/>
    <w:rsid w:val="00E45F16"/>
    <w:rsid w:val="00E45F8F"/>
    <w:rsid w:val="00E469CD"/>
    <w:rsid w:val="00E4751E"/>
    <w:rsid w:val="00E47BB7"/>
    <w:rsid w:val="00E50200"/>
    <w:rsid w:val="00E504F1"/>
    <w:rsid w:val="00E5062C"/>
    <w:rsid w:val="00E50A6C"/>
    <w:rsid w:val="00E50C02"/>
    <w:rsid w:val="00E50F93"/>
    <w:rsid w:val="00E515B9"/>
    <w:rsid w:val="00E51A70"/>
    <w:rsid w:val="00E5228A"/>
    <w:rsid w:val="00E52410"/>
    <w:rsid w:val="00E52761"/>
    <w:rsid w:val="00E52CD8"/>
    <w:rsid w:val="00E530BF"/>
    <w:rsid w:val="00E5335A"/>
    <w:rsid w:val="00E53545"/>
    <w:rsid w:val="00E5357D"/>
    <w:rsid w:val="00E54212"/>
    <w:rsid w:val="00E54423"/>
    <w:rsid w:val="00E54760"/>
    <w:rsid w:val="00E5505D"/>
    <w:rsid w:val="00E5547D"/>
    <w:rsid w:val="00E55592"/>
    <w:rsid w:val="00E556AB"/>
    <w:rsid w:val="00E5596E"/>
    <w:rsid w:val="00E55C48"/>
    <w:rsid w:val="00E560DF"/>
    <w:rsid w:val="00E56108"/>
    <w:rsid w:val="00E56414"/>
    <w:rsid w:val="00E56722"/>
    <w:rsid w:val="00E568B4"/>
    <w:rsid w:val="00E56B9C"/>
    <w:rsid w:val="00E56D0A"/>
    <w:rsid w:val="00E56E0E"/>
    <w:rsid w:val="00E571B4"/>
    <w:rsid w:val="00E57482"/>
    <w:rsid w:val="00E574CA"/>
    <w:rsid w:val="00E578B5"/>
    <w:rsid w:val="00E57904"/>
    <w:rsid w:val="00E6004C"/>
    <w:rsid w:val="00E600F1"/>
    <w:rsid w:val="00E61552"/>
    <w:rsid w:val="00E6191E"/>
    <w:rsid w:val="00E61D8F"/>
    <w:rsid w:val="00E6225D"/>
    <w:rsid w:val="00E623BC"/>
    <w:rsid w:val="00E62B4B"/>
    <w:rsid w:val="00E631C9"/>
    <w:rsid w:val="00E63222"/>
    <w:rsid w:val="00E6387F"/>
    <w:rsid w:val="00E63954"/>
    <w:rsid w:val="00E63CFE"/>
    <w:rsid w:val="00E63E6B"/>
    <w:rsid w:val="00E63F03"/>
    <w:rsid w:val="00E64487"/>
    <w:rsid w:val="00E65070"/>
    <w:rsid w:val="00E659E0"/>
    <w:rsid w:val="00E66418"/>
    <w:rsid w:val="00E66618"/>
    <w:rsid w:val="00E66786"/>
    <w:rsid w:val="00E66A49"/>
    <w:rsid w:val="00E671F5"/>
    <w:rsid w:val="00E67247"/>
    <w:rsid w:val="00E67675"/>
    <w:rsid w:val="00E67B1C"/>
    <w:rsid w:val="00E70887"/>
    <w:rsid w:val="00E7089F"/>
    <w:rsid w:val="00E708B5"/>
    <w:rsid w:val="00E70B59"/>
    <w:rsid w:val="00E70CFB"/>
    <w:rsid w:val="00E718AF"/>
    <w:rsid w:val="00E718D6"/>
    <w:rsid w:val="00E71AE4"/>
    <w:rsid w:val="00E71CE9"/>
    <w:rsid w:val="00E71F85"/>
    <w:rsid w:val="00E72151"/>
    <w:rsid w:val="00E72432"/>
    <w:rsid w:val="00E72855"/>
    <w:rsid w:val="00E72A0C"/>
    <w:rsid w:val="00E73098"/>
    <w:rsid w:val="00E73365"/>
    <w:rsid w:val="00E73E95"/>
    <w:rsid w:val="00E740AB"/>
    <w:rsid w:val="00E740FB"/>
    <w:rsid w:val="00E74590"/>
    <w:rsid w:val="00E7470C"/>
    <w:rsid w:val="00E748C7"/>
    <w:rsid w:val="00E74B38"/>
    <w:rsid w:val="00E74FE2"/>
    <w:rsid w:val="00E75137"/>
    <w:rsid w:val="00E752E9"/>
    <w:rsid w:val="00E75452"/>
    <w:rsid w:val="00E75AF3"/>
    <w:rsid w:val="00E763AF"/>
    <w:rsid w:val="00E769C5"/>
    <w:rsid w:val="00E76BF2"/>
    <w:rsid w:val="00E76D1A"/>
    <w:rsid w:val="00E771B4"/>
    <w:rsid w:val="00E7739B"/>
    <w:rsid w:val="00E77450"/>
    <w:rsid w:val="00E777D9"/>
    <w:rsid w:val="00E77F76"/>
    <w:rsid w:val="00E80D30"/>
    <w:rsid w:val="00E817CF"/>
    <w:rsid w:val="00E81D9F"/>
    <w:rsid w:val="00E81FB9"/>
    <w:rsid w:val="00E82841"/>
    <w:rsid w:val="00E82B95"/>
    <w:rsid w:val="00E82EA6"/>
    <w:rsid w:val="00E83FBF"/>
    <w:rsid w:val="00E846FC"/>
    <w:rsid w:val="00E84779"/>
    <w:rsid w:val="00E847E4"/>
    <w:rsid w:val="00E84A6E"/>
    <w:rsid w:val="00E84FDC"/>
    <w:rsid w:val="00E85DA7"/>
    <w:rsid w:val="00E86C4F"/>
    <w:rsid w:val="00E86E60"/>
    <w:rsid w:val="00E86F5B"/>
    <w:rsid w:val="00E87EC5"/>
    <w:rsid w:val="00E9011B"/>
    <w:rsid w:val="00E908BE"/>
    <w:rsid w:val="00E90F5D"/>
    <w:rsid w:val="00E912AC"/>
    <w:rsid w:val="00E9137B"/>
    <w:rsid w:val="00E9275F"/>
    <w:rsid w:val="00E92E77"/>
    <w:rsid w:val="00E9333E"/>
    <w:rsid w:val="00E9366A"/>
    <w:rsid w:val="00E93AA4"/>
    <w:rsid w:val="00E94145"/>
    <w:rsid w:val="00E94C2E"/>
    <w:rsid w:val="00E9526D"/>
    <w:rsid w:val="00E95398"/>
    <w:rsid w:val="00E95552"/>
    <w:rsid w:val="00E95AC0"/>
    <w:rsid w:val="00E95FDE"/>
    <w:rsid w:val="00E9632E"/>
    <w:rsid w:val="00E96792"/>
    <w:rsid w:val="00E96F14"/>
    <w:rsid w:val="00E970A0"/>
    <w:rsid w:val="00E9719B"/>
    <w:rsid w:val="00E97422"/>
    <w:rsid w:val="00E978F9"/>
    <w:rsid w:val="00E9794D"/>
    <w:rsid w:val="00E979CC"/>
    <w:rsid w:val="00E97A25"/>
    <w:rsid w:val="00EA0290"/>
    <w:rsid w:val="00EA052A"/>
    <w:rsid w:val="00EA0A2F"/>
    <w:rsid w:val="00EA0AC2"/>
    <w:rsid w:val="00EA0BD1"/>
    <w:rsid w:val="00EA0C25"/>
    <w:rsid w:val="00EA14F1"/>
    <w:rsid w:val="00EA1C97"/>
    <w:rsid w:val="00EA1F38"/>
    <w:rsid w:val="00EA2A13"/>
    <w:rsid w:val="00EA2A83"/>
    <w:rsid w:val="00EA41CA"/>
    <w:rsid w:val="00EA45F4"/>
    <w:rsid w:val="00EA4692"/>
    <w:rsid w:val="00EA46CD"/>
    <w:rsid w:val="00EA4858"/>
    <w:rsid w:val="00EA4CA1"/>
    <w:rsid w:val="00EA5838"/>
    <w:rsid w:val="00EA5E31"/>
    <w:rsid w:val="00EA6447"/>
    <w:rsid w:val="00EA666F"/>
    <w:rsid w:val="00EA6840"/>
    <w:rsid w:val="00EA69C2"/>
    <w:rsid w:val="00EA6BD2"/>
    <w:rsid w:val="00EA7771"/>
    <w:rsid w:val="00EA7961"/>
    <w:rsid w:val="00EB0C8C"/>
    <w:rsid w:val="00EB1252"/>
    <w:rsid w:val="00EB2604"/>
    <w:rsid w:val="00EB2766"/>
    <w:rsid w:val="00EB2D35"/>
    <w:rsid w:val="00EB3529"/>
    <w:rsid w:val="00EB357C"/>
    <w:rsid w:val="00EB37E9"/>
    <w:rsid w:val="00EB39A2"/>
    <w:rsid w:val="00EB39C2"/>
    <w:rsid w:val="00EB3A94"/>
    <w:rsid w:val="00EB3B51"/>
    <w:rsid w:val="00EB3F10"/>
    <w:rsid w:val="00EB4017"/>
    <w:rsid w:val="00EB45F3"/>
    <w:rsid w:val="00EB4D29"/>
    <w:rsid w:val="00EB4E79"/>
    <w:rsid w:val="00EB51E7"/>
    <w:rsid w:val="00EB54C5"/>
    <w:rsid w:val="00EB6183"/>
    <w:rsid w:val="00EB72E4"/>
    <w:rsid w:val="00EB7DB8"/>
    <w:rsid w:val="00EC0500"/>
    <w:rsid w:val="00EC0D95"/>
    <w:rsid w:val="00EC0E85"/>
    <w:rsid w:val="00EC12A5"/>
    <w:rsid w:val="00EC14DB"/>
    <w:rsid w:val="00EC1DFC"/>
    <w:rsid w:val="00EC238A"/>
    <w:rsid w:val="00EC2409"/>
    <w:rsid w:val="00EC26BC"/>
    <w:rsid w:val="00EC2FF5"/>
    <w:rsid w:val="00EC314F"/>
    <w:rsid w:val="00EC3383"/>
    <w:rsid w:val="00EC3745"/>
    <w:rsid w:val="00EC39C2"/>
    <w:rsid w:val="00EC4241"/>
    <w:rsid w:val="00EC429A"/>
    <w:rsid w:val="00EC4361"/>
    <w:rsid w:val="00EC4618"/>
    <w:rsid w:val="00EC4A95"/>
    <w:rsid w:val="00EC5289"/>
    <w:rsid w:val="00EC6ADB"/>
    <w:rsid w:val="00EC6C33"/>
    <w:rsid w:val="00EC6ECE"/>
    <w:rsid w:val="00EC7035"/>
    <w:rsid w:val="00EC704B"/>
    <w:rsid w:val="00EC7067"/>
    <w:rsid w:val="00EC779B"/>
    <w:rsid w:val="00EC7839"/>
    <w:rsid w:val="00EC7B38"/>
    <w:rsid w:val="00EC7C96"/>
    <w:rsid w:val="00ED003E"/>
    <w:rsid w:val="00ED0760"/>
    <w:rsid w:val="00ED09F5"/>
    <w:rsid w:val="00ED15BA"/>
    <w:rsid w:val="00ED1643"/>
    <w:rsid w:val="00ED1802"/>
    <w:rsid w:val="00ED1D52"/>
    <w:rsid w:val="00ED217A"/>
    <w:rsid w:val="00ED238C"/>
    <w:rsid w:val="00ED2638"/>
    <w:rsid w:val="00ED29E7"/>
    <w:rsid w:val="00ED2D2A"/>
    <w:rsid w:val="00ED3586"/>
    <w:rsid w:val="00ED35BB"/>
    <w:rsid w:val="00ED3A70"/>
    <w:rsid w:val="00ED3BD6"/>
    <w:rsid w:val="00ED435D"/>
    <w:rsid w:val="00ED5061"/>
    <w:rsid w:val="00ED52BB"/>
    <w:rsid w:val="00ED66D8"/>
    <w:rsid w:val="00ED69C8"/>
    <w:rsid w:val="00ED6B0B"/>
    <w:rsid w:val="00ED6C59"/>
    <w:rsid w:val="00ED7238"/>
    <w:rsid w:val="00ED730E"/>
    <w:rsid w:val="00ED7B69"/>
    <w:rsid w:val="00ED7FC0"/>
    <w:rsid w:val="00EE0382"/>
    <w:rsid w:val="00EE0389"/>
    <w:rsid w:val="00EE05E5"/>
    <w:rsid w:val="00EE0A44"/>
    <w:rsid w:val="00EE0B81"/>
    <w:rsid w:val="00EE0CA9"/>
    <w:rsid w:val="00EE0DD4"/>
    <w:rsid w:val="00EE14EC"/>
    <w:rsid w:val="00EE1AEF"/>
    <w:rsid w:val="00EE1E0F"/>
    <w:rsid w:val="00EE1E9A"/>
    <w:rsid w:val="00EE2AB8"/>
    <w:rsid w:val="00EE33B8"/>
    <w:rsid w:val="00EE39E8"/>
    <w:rsid w:val="00EE4B33"/>
    <w:rsid w:val="00EE502F"/>
    <w:rsid w:val="00EE505A"/>
    <w:rsid w:val="00EE54E9"/>
    <w:rsid w:val="00EE5DA8"/>
    <w:rsid w:val="00EE62F6"/>
    <w:rsid w:val="00EE6C22"/>
    <w:rsid w:val="00EE7704"/>
    <w:rsid w:val="00EE780C"/>
    <w:rsid w:val="00EE7E7F"/>
    <w:rsid w:val="00EF0081"/>
    <w:rsid w:val="00EF01CD"/>
    <w:rsid w:val="00EF0753"/>
    <w:rsid w:val="00EF08B6"/>
    <w:rsid w:val="00EF135E"/>
    <w:rsid w:val="00EF14CF"/>
    <w:rsid w:val="00EF1D90"/>
    <w:rsid w:val="00EF3754"/>
    <w:rsid w:val="00EF3B78"/>
    <w:rsid w:val="00EF3C0A"/>
    <w:rsid w:val="00EF4691"/>
    <w:rsid w:val="00EF5199"/>
    <w:rsid w:val="00EF53B8"/>
    <w:rsid w:val="00EF57D6"/>
    <w:rsid w:val="00EF58DA"/>
    <w:rsid w:val="00EF5996"/>
    <w:rsid w:val="00EF5B66"/>
    <w:rsid w:val="00EF6EB1"/>
    <w:rsid w:val="00EF6F8D"/>
    <w:rsid w:val="00EF7740"/>
    <w:rsid w:val="00EF7A98"/>
    <w:rsid w:val="00EF7E6B"/>
    <w:rsid w:val="00F004F9"/>
    <w:rsid w:val="00F005CB"/>
    <w:rsid w:val="00F00D22"/>
    <w:rsid w:val="00F00D62"/>
    <w:rsid w:val="00F00F7A"/>
    <w:rsid w:val="00F0121A"/>
    <w:rsid w:val="00F01543"/>
    <w:rsid w:val="00F01874"/>
    <w:rsid w:val="00F01CB5"/>
    <w:rsid w:val="00F0228C"/>
    <w:rsid w:val="00F02307"/>
    <w:rsid w:val="00F0243F"/>
    <w:rsid w:val="00F02823"/>
    <w:rsid w:val="00F038CB"/>
    <w:rsid w:val="00F04D9B"/>
    <w:rsid w:val="00F055F8"/>
    <w:rsid w:val="00F05792"/>
    <w:rsid w:val="00F057E7"/>
    <w:rsid w:val="00F05873"/>
    <w:rsid w:val="00F06038"/>
    <w:rsid w:val="00F0633C"/>
    <w:rsid w:val="00F066C4"/>
    <w:rsid w:val="00F06CEE"/>
    <w:rsid w:val="00F078BC"/>
    <w:rsid w:val="00F07D68"/>
    <w:rsid w:val="00F1002D"/>
    <w:rsid w:val="00F10126"/>
    <w:rsid w:val="00F10308"/>
    <w:rsid w:val="00F110AF"/>
    <w:rsid w:val="00F110F3"/>
    <w:rsid w:val="00F112C3"/>
    <w:rsid w:val="00F11F96"/>
    <w:rsid w:val="00F1252A"/>
    <w:rsid w:val="00F12945"/>
    <w:rsid w:val="00F12E02"/>
    <w:rsid w:val="00F1325A"/>
    <w:rsid w:val="00F135D3"/>
    <w:rsid w:val="00F138B0"/>
    <w:rsid w:val="00F1395E"/>
    <w:rsid w:val="00F14DD6"/>
    <w:rsid w:val="00F15481"/>
    <w:rsid w:val="00F15882"/>
    <w:rsid w:val="00F1589E"/>
    <w:rsid w:val="00F15A8D"/>
    <w:rsid w:val="00F15E38"/>
    <w:rsid w:val="00F16B9A"/>
    <w:rsid w:val="00F16CB2"/>
    <w:rsid w:val="00F17042"/>
    <w:rsid w:val="00F17260"/>
    <w:rsid w:val="00F17D7C"/>
    <w:rsid w:val="00F17F8A"/>
    <w:rsid w:val="00F2019E"/>
    <w:rsid w:val="00F20FCF"/>
    <w:rsid w:val="00F21260"/>
    <w:rsid w:val="00F215B6"/>
    <w:rsid w:val="00F21A6D"/>
    <w:rsid w:val="00F21CB9"/>
    <w:rsid w:val="00F224C1"/>
    <w:rsid w:val="00F2279E"/>
    <w:rsid w:val="00F22F99"/>
    <w:rsid w:val="00F2304A"/>
    <w:rsid w:val="00F23109"/>
    <w:rsid w:val="00F23684"/>
    <w:rsid w:val="00F23B9C"/>
    <w:rsid w:val="00F23D9A"/>
    <w:rsid w:val="00F23F43"/>
    <w:rsid w:val="00F24BEF"/>
    <w:rsid w:val="00F253F1"/>
    <w:rsid w:val="00F25739"/>
    <w:rsid w:val="00F26203"/>
    <w:rsid w:val="00F2633A"/>
    <w:rsid w:val="00F26D62"/>
    <w:rsid w:val="00F272CD"/>
    <w:rsid w:val="00F2732F"/>
    <w:rsid w:val="00F279C6"/>
    <w:rsid w:val="00F27DDE"/>
    <w:rsid w:val="00F302DF"/>
    <w:rsid w:val="00F305C7"/>
    <w:rsid w:val="00F308D9"/>
    <w:rsid w:val="00F30EAC"/>
    <w:rsid w:val="00F3120E"/>
    <w:rsid w:val="00F31262"/>
    <w:rsid w:val="00F31998"/>
    <w:rsid w:val="00F31B3B"/>
    <w:rsid w:val="00F31B60"/>
    <w:rsid w:val="00F32091"/>
    <w:rsid w:val="00F32394"/>
    <w:rsid w:val="00F33026"/>
    <w:rsid w:val="00F332CE"/>
    <w:rsid w:val="00F3330D"/>
    <w:rsid w:val="00F335EF"/>
    <w:rsid w:val="00F33B9E"/>
    <w:rsid w:val="00F34218"/>
    <w:rsid w:val="00F345F3"/>
    <w:rsid w:val="00F34FFA"/>
    <w:rsid w:val="00F350C9"/>
    <w:rsid w:val="00F353EB"/>
    <w:rsid w:val="00F3608D"/>
    <w:rsid w:val="00F364B5"/>
    <w:rsid w:val="00F36D51"/>
    <w:rsid w:val="00F373E0"/>
    <w:rsid w:val="00F375E5"/>
    <w:rsid w:val="00F376D2"/>
    <w:rsid w:val="00F37ACE"/>
    <w:rsid w:val="00F37E1A"/>
    <w:rsid w:val="00F40637"/>
    <w:rsid w:val="00F4106A"/>
    <w:rsid w:val="00F41113"/>
    <w:rsid w:val="00F41288"/>
    <w:rsid w:val="00F415D8"/>
    <w:rsid w:val="00F41A24"/>
    <w:rsid w:val="00F41E73"/>
    <w:rsid w:val="00F42226"/>
    <w:rsid w:val="00F42DEA"/>
    <w:rsid w:val="00F42E51"/>
    <w:rsid w:val="00F42F96"/>
    <w:rsid w:val="00F4376C"/>
    <w:rsid w:val="00F43DD4"/>
    <w:rsid w:val="00F43E24"/>
    <w:rsid w:val="00F44833"/>
    <w:rsid w:val="00F44E8F"/>
    <w:rsid w:val="00F44F55"/>
    <w:rsid w:val="00F45035"/>
    <w:rsid w:val="00F453B1"/>
    <w:rsid w:val="00F456DF"/>
    <w:rsid w:val="00F457D9"/>
    <w:rsid w:val="00F459E3"/>
    <w:rsid w:val="00F45C69"/>
    <w:rsid w:val="00F462EA"/>
    <w:rsid w:val="00F46442"/>
    <w:rsid w:val="00F47242"/>
    <w:rsid w:val="00F47244"/>
    <w:rsid w:val="00F47503"/>
    <w:rsid w:val="00F47CE5"/>
    <w:rsid w:val="00F47E00"/>
    <w:rsid w:val="00F5030E"/>
    <w:rsid w:val="00F503B9"/>
    <w:rsid w:val="00F506C6"/>
    <w:rsid w:val="00F5073B"/>
    <w:rsid w:val="00F50D3F"/>
    <w:rsid w:val="00F5110D"/>
    <w:rsid w:val="00F51FE5"/>
    <w:rsid w:val="00F523B5"/>
    <w:rsid w:val="00F52630"/>
    <w:rsid w:val="00F52775"/>
    <w:rsid w:val="00F52AFA"/>
    <w:rsid w:val="00F52DCC"/>
    <w:rsid w:val="00F53B79"/>
    <w:rsid w:val="00F54243"/>
    <w:rsid w:val="00F54597"/>
    <w:rsid w:val="00F54CF9"/>
    <w:rsid w:val="00F55104"/>
    <w:rsid w:val="00F5513C"/>
    <w:rsid w:val="00F55155"/>
    <w:rsid w:val="00F5537C"/>
    <w:rsid w:val="00F556A7"/>
    <w:rsid w:val="00F55E08"/>
    <w:rsid w:val="00F56129"/>
    <w:rsid w:val="00F57042"/>
    <w:rsid w:val="00F57224"/>
    <w:rsid w:val="00F57936"/>
    <w:rsid w:val="00F57C05"/>
    <w:rsid w:val="00F57EF4"/>
    <w:rsid w:val="00F57FEE"/>
    <w:rsid w:val="00F60582"/>
    <w:rsid w:val="00F60EDC"/>
    <w:rsid w:val="00F61219"/>
    <w:rsid w:val="00F61979"/>
    <w:rsid w:val="00F61B62"/>
    <w:rsid w:val="00F61C22"/>
    <w:rsid w:val="00F62102"/>
    <w:rsid w:val="00F6264A"/>
    <w:rsid w:val="00F6278B"/>
    <w:rsid w:val="00F62C13"/>
    <w:rsid w:val="00F62C41"/>
    <w:rsid w:val="00F630FC"/>
    <w:rsid w:val="00F6335D"/>
    <w:rsid w:val="00F6350B"/>
    <w:rsid w:val="00F63A37"/>
    <w:rsid w:val="00F63CC1"/>
    <w:rsid w:val="00F640E4"/>
    <w:rsid w:val="00F64367"/>
    <w:rsid w:val="00F65130"/>
    <w:rsid w:val="00F662F8"/>
    <w:rsid w:val="00F66300"/>
    <w:rsid w:val="00F668F6"/>
    <w:rsid w:val="00F670B8"/>
    <w:rsid w:val="00F6710B"/>
    <w:rsid w:val="00F6723B"/>
    <w:rsid w:val="00F67BFF"/>
    <w:rsid w:val="00F67CE0"/>
    <w:rsid w:val="00F67DF5"/>
    <w:rsid w:val="00F67E41"/>
    <w:rsid w:val="00F67ECD"/>
    <w:rsid w:val="00F7003F"/>
    <w:rsid w:val="00F701F0"/>
    <w:rsid w:val="00F7062F"/>
    <w:rsid w:val="00F710CE"/>
    <w:rsid w:val="00F7160D"/>
    <w:rsid w:val="00F71BAC"/>
    <w:rsid w:val="00F71CD9"/>
    <w:rsid w:val="00F7264B"/>
    <w:rsid w:val="00F72F88"/>
    <w:rsid w:val="00F736A3"/>
    <w:rsid w:val="00F73B06"/>
    <w:rsid w:val="00F74055"/>
    <w:rsid w:val="00F742C3"/>
    <w:rsid w:val="00F74E7F"/>
    <w:rsid w:val="00F75568"/>
    <w:rsid w:val="00F75E5D"/>
    <w:rsid w:val="00F76394"/>
    <w:rsid w:val="00F76CB1"/>
    <w:rsid w:val="00F76FB9"/>
    <w:rsid w:val="00F77294"/>
    <w:rsid w:val="00F7782D"/>
    <w:rsid w:val="00F77A75"/>
    <w:rsid w:val="00F77F5A"/>
    <w:rsid w:val="00F804E3"/>
    <w:rsid w:val="00F80683"/>
    <w:rsid w:val="00F80E84"/>
    <w:rsid w:val="00F810DC"/>
    <w:rsid w:val="00F82203"/>
    <w:rsid w:val="00F824F2"/>
    <w:rsid w:val="00F82B69"/>
    <w:rsid w:val="00F82DDE"/>
    <w:rsid w:val="00F82DEB"/>
    <w:rsid w:val="00F82DFE"/>
    <w:rsid w:val="00F836EB"/>
    <w:rsid w:val="00F83EE1"/>
    <w:rsid w:val="00F83F94"/>
    <w:rsid w:val="00F8427A"/>
    <w:rsid w:val="00F8478F"/>
    <w:rsid w:val="00F847D9"/>
    <w:rsid w:val="00F84968"/>
    <w:rsid w:val="00F851A5"/>
    <w:rsid w:val="00F85C64"/>
    <w:rsid w:val="00F861CF"/>
    <w:rsid w:val="00F86BA0"/>
    <w:rsid w:val="00F8708F"/>
    <w:rsid w:val="00F87A5F"/>
    <w:rsid w:val="00F87FC0"/>
    <w:rsid w:val="00F90092"/>
    <w:rsid w:val="00F902B5"/>
    <w:rsid w:val="00F908EE"/>
    <w:rsid w:val="00F90A59"/>
    <w:rsid w:val="00F90CE3"/>
    <w:rsid w:val="00F9136B"/>
    <w:rsid w:val="00F91506"/>
    <w:rsid w:val="00F9192E"/>
    <w:rsid w:val="00F9194A"/>
    <w:rsid w:val="00F9199D"/>
    <w:rsid w:val="00F91B27"/>
    <w:rsid w:val="00F91C2B"/>
    <w:rsid w:val="00F91D87"/>
    <w:rsid w:val="00F92397"/>
    <w:rsid w:val="00F92846"/>
    <w:rsid w:val="00F92FC4"/>
    <w:rsid w:val="00F93465"/>
    <w:rsid w:val="00F9362D"/>
    <w:rsid w:val="00F93664"/>
    <w:rsid w:val="00F9383F"/>
    <w:rsid w:val="00F944CA"/>
    <w:rsid w:val="00F94E05"/>
    <w:rsid w:val="00F95109"/>
    <w:rsid w:val="00F95972"/>
    <w:rsid w:val="00F96593"/>
    <w:rsid w:val="00F96C80"/>
    <w:rsid w:val="00F96D89"/>
    <w:rsid w:val="00F9732D"/>
    <w:rsid w:val="00F9776D"/>
    <w:rsid w:val="00F979C1"/>
    <w:rsid w:val="00FA024C"/>
    <w:rsid w:val="00FA036C"/>
    <w:rsid w:val="00FA0C6B"/>
    <w:rsid w:val="00FA1C95"/>
    <w:rsid w:val="00FA2110"/>
    <w:rsid w:val="00FA25BD"/>
    <w:rsid w:val="00FA281A"/>
    <w:rsid w:val="00FA2DA2"/>
    <w:rsid w:val="00FA3ADA"/>
    <w:rsid w:val="00FA3CC2"/>
    <w:rsid w:val="00FA3DDA"/>
    <w:rsid w:val="00FA3F53"/>
    <w:rsid w:val="00FA453E"/>
    <w:rsid w:val="00FA4AFD"/>
    <w:rsid w:val="00FA4CB2"/>
    <w:rsid w:val="00FA5344"/>
    <w:rsid w:val="00FA55C0"/>
    <w:rsid w:val="00FA56E2"/>
    <w:rsid w:val="00FA57C3"/>
    <w:rsid w:val="00FA5BB4"/>
    <w:rsid w:val="00FA64E7"/>
    <w:rsid w:val="00FA6841"/>
    <w:rsid w:val="00FA6E33"/>
    <w:rsid w:val="00FA6E92"/>
    <w:rsid w:val="00FA770C"/>
    <w:rsid w:val="00FA780A"/>
    <w:rsid w:val="00FA7B6F"/>
    <w:rsid w:val="00FB096D"/>
    <w:rsid w:val="00FB0D82"/>
    <w:rsid w:val="00FB1820"/>
    <w:rsid w:val="00FB1BA0"/>
    <w:rsid w:val="00FB1C95"/>
    <w:rsid w:val="00FB348F"/>
    <w:rsid w:val="00FB3543"/>
    <w:rsid w:val="00FB381E"/>
    <w:rsid w:val="00FB39E2"/>
    <w:rsid w:val="00FB3D41"/>
    <w:rsid w:val="00FB5858"/>
    <w:rsid w:val="00FB58BA"/>
    <w:rsid w:val="00FB5D49"/>
    <w:rsid w:val="00FB74E7"/>
    <w:rsid w:val="00FB7D53"/>
    <w:rsid w:val="00FC0035"/>
    <w:rsid w:val="00FC0263"/>
    <w:rsid w:val="00FC1127"/>
    <w:rsid w:val="00FC140B"/>
    <w:rsid w:val="00FC1E6C"/>
    <w:rsid w:val="00FC1EA6"/>
    <w:rsid w:val="00FC2A54"/>
    <w:rsid w:val="00FC2D99"/>
    <w:rsid w:val="00FC32B8"/>
    <w:rsid w:val="00FC38C6"/>
    <w:rsid w:val="00FC38D8"/>
    <w:rsid w:val="00FC3C1C"/>
    <w:rsid w:val="00FC44C2"/>
    <w:rsid w:val="00FC50DC"/>
    <w:rsid w:val="00FC5552"/>
    <w:rsid w:val="00FC5B64"/>
    <w:rsid w:val="00FC6108"/>
    <w:rsid w:val="00FC672E"/>
    <w:rsid w:val="00FC6811"/>
    <w:rsid w:val="00FC6914"/>
    <w:rsid w:val="00FC6A57"/>
    <w:rsid w:val="00FC6C07"/>
    <w:rsid w:val="00FC761F"/>
    <w:rsid w:val="00FD0715"/>
    <w:rsid w:val="00FD0A5E"/>
    <w:rsid w:val="00FD1639"/>
    <w:rsid w:val="00FD18B9"/>
    <w:rsid w:val="00FD1B83"/>
    <w:rsid w:val="00FD26F8"/>
    <w:rsid w:val="00FD280C"/>
    <w:rsid w:val="00FD291C"/>
    <w:rsid w:val="00FD2AB7"/>
    <w:rsid w:val="00FD2FAE"/>
    <w:rsid w:val="00FD2FF7"/>
    <w:rsid w:val="00FD3F63"/>
    <w:rsid w:val="00FD468F"/>
    <w:rsid w:val="00FD55FC"/>
    <w:rsid w:val="00FD60A0"/>
    <w:rsid w:val="00FD6ABE"/>
    <w:rsid w:val="00FD6B98"/>
    <w:rsid w:val="00FD707A"/>
    <w:rsid w:val="00FD72C4"/>
    <w:rsid w:val="00FD7324"/>
    <w:rsid w:val="00FD7662"/>
    <w:rsid w:val="00FD7B1B"/>
    <w:rsid w:val="00FD7CF5"/>
    <w:rsid w:val="00FD7E5C"/>
    <w:rsid w:val="00FE0649"/>
    <w:rsid w:val="00FE090C"/>
    <w:rsid w:val="00FE091E"/>
    <w:rsid w:val="00FE0FE0"/>
    <w:rsid w:val="00FE1046"/>
    <w:rsid w:val="00FE1D08"/>
    <w:rsid w:val="00FE1E2B"/>
    <w:rsid w:val="00FE1F4A"/>
    <w:rsid w:val="00FE24FE"/>
    <w:rsid w:val="00FE27F5"/>
    <w:rsid w:val="00FE3309"/>
    <w:rsid w:val="00FE34BE"/>
    <w:rsid w:val="00FE393F"/>
    <w:rsid w:val="00FE3EE0"/>
    <w:rsid w:val="00FE44C1"/>
    <w:rsid w:val="00FE4C48"/>
    <w:rsid w:val="00FE4CCE"/>
    <w:rsid w:val="00FE4E33"/>
    <w:rsid w:val="00FE5456"/>
    <w:rsid w:val="00FE5E8A"/>
    <w:rsid w:val="00FE6533"/>
    <w:rsid w:val="00FE6FB8"/>
    <w:rsid w:val="00FE7492"/>
    <w:rsid w:val="00FE76D8"/>
    <w:rsid w:val="00FE7B1D"/>
    <w:rsid w:val="00FE7D78"/>
    <w:rsid w:val="00FE7E1E"/>
    <w:rsid w:val="00FF02DB"/>
    <w:rsid w:val="00FF079B"/>
    <w:rsid w:val="00FF0BF6"/>
    <w:rsid w:val="00FF0C66"/>
    <w:rsid w:val="00FF0EA1"/>
    <w:rsid w:val="00FF107B"/>
    <w:rsid w:val="00FF1247"/>
    <w:rsid w:val="00FF1343"/>
    <w:rsid w:val="00FF1378"/>
    <w:rsid w:val="00FF1696"/>
    <w:rsid w:val="00FF1949"/>
    <w:rsid w:val="00FF1CAF"/>
    <w:rsid w:val="00FF2072"/>
    <w:rsid w:val="00FF3773"/>
    <w:rsid w:val="00FF397B"/>
    <w:rsid w:val="00FF4283"/>
    <w:rsid w:val="00FF44AB"/>
    <w:rsid w:val="00FF4B9C"/>
    <w:rsid w:val="00FF5209"/>
    <w:rsid w:val="00FF5615"/>
    <w:rsid w:val="00FF5A00"/>
    <w:rsid w:val="00FF5EF1"/>
    <w:rsid w:val="00FF6124"/>
    <w:rsid w:val="00FF6738"/>
    <w:rsid w:val="00FF67F2"/>
    <w:rsid w:val="00FF6C4E"/>
    <w:rsid w:val="00FF6D57"/>
    <w:rsid w:val="00FF6D82"/>
    <w:rsid w:val="00FF6F90"/>
    <w:rsid w:val="00FF7E50"/>
    <w:rsid w:val="016C149F"/>
    <w:rsid w:val="016D12BD"/>
    <w:rsid w:val="01986BB7"/>
    <w:rsid w:val="01D81989"/>
    <w:rsid w:val="023B0CDD"/>
    <w:rsid w:val="02975E70"/>
    <w:rsid w:val="02B97127"/>
    <w:rsid w:val="02E014C4"/>
    <w:rsid w:val="042D690E"/>
    <w:rsid w:val="05826837"/>
    <w:rsid w:val="06585F98"/>
    <w:rsid w:val="068A2597"/>
    <w:rsid w:val="07252C82"/>
    <w:rsid w:val="078C3715"/>
    <w:rsid w:val="07A124CB"/>
    <w:rsid w:val="0802168C"/>
    <w:rsid w:val="0858227F"/>
    <w:rsid w:val="0912248E"/>
    <w:rsid w:val="09C92999"/>
    <w:rsid w:val="0A3835EE"/>
    <w:rsid w:val="0A9F4BAA"/>
    <w:rsid w:val="0B1F538D"/>
    <w:rsid w:val="0B6E1DBA"/>
    <w:rsid w:val="0C436DA2"/>
    <w:rsid w:val="0CAD0AD3"/>
    <w:rsid w:val="0E8C12B4"/>
    <w:rsid w:val="0EA440B9"/>
    <w:rsid w:val="0F4C0664"/>
    <w:rsid w:val="0FAE78E9"/>
    <w:rsid w:val="0FDB6689"/>
    <w:rsid w:val="0FDE1ED5"/>
    <w:rsid w:val="10C82B7E"/>
    <w:rsid w:val="10EB73E2"/>
    <w:rsid w:val="113325A7"/>
    <w:rsid w:val="117935DC"/>
    <w:rsid w:val="117A258A"/>
    <w:rsid w:val="12844C8E"/>
    <w:rsid w:val="12FF6A44"/>
    <w:rsid w:val="1342407F"/>
    <w:rsid w:val="13BA6263"/>
    <w:rsid w:val="147D4F20"/>
    <w:rsid w:val="15466E0A"/>
    <w:rsid w:val="161B5FE6"/>
    <w:rsid w:val="163039B7"/>
    <w:rsid w:val="1674297A"/>
    <w:rsid w:val="17484128"/>
    <w:rsid w:val="174E3053"/>
    <w:rsid w:val="17B33EF9"/>
    <w:rsid w:val="17D51E48"/>
    <w:rsid w:val="182061EA"/>
    <w:rsid w:val="189D26BD"/>
    <w:rsid w:val="18B5302B"/>
    <w:rsid w:val="18EF6677"/>
    <w:rsid w:val="18FE3E08"/>
    <w:rsid w:val="19322CFD"/>
    <w:rsid w:val="1934516B"/>
    <w:rsid w:val="19614D0C"/>
    <w:rsid w:val="196D57DE"/>
    <w:rsid w:val="19742C91"/>
    <w:rsid w:val="1A1158BE"/>
    <w:rsid w:val="1A391827"/>
    <w:rsid w:val="1A5724B6"/>
    <w:rsid w:val="1AC92B69"/>
    <w:rsid w:val="1B102C0F"/>
    <w:rsid w:val="1B5B2A1B"/>
    <w:rsid w:val="1B6A60FA"/>
    <w:rsid w:val="1B8D3B96"/>
    <w:rsid w:val="1BB70603"/>
    <w:rsid w:val="1C3F6064"/>
    <w:rsid w:val="1C79238B"/>
    <w:rsid w:val="1CF23A7E"/>
    <w:rsid w:val="1D294F39"/>
    <w:rsid w:val="1E816369"/>
    <w:rsid w:val="1EAA5DC4"/>
    <w:rsid w:val="1EC04283"/>
    <w:rsid w:val="1EEC0BCC"/>
    <w:rsid w:val="1FDE1BC5"/>
    <w:rsid w:val="201B51F2"/>
    <w:rsid w:val="2090190F"/>
    <w:rsid w:val="2096601E"/>
    <w:rsid w:val="20983709"/>
    <w:rsid w:val="20AA343C"/>
    <w:rsid w:val="218B2455"/>
    <w:rsid w:val="21CB5F62"/>
    <w:rsid w:val="21E870F0"/>
    <w:rsid w:val="22035778"/>
    <w:rsid w:val="22F32E79"/>
    <w:rsid w:val="2315606A"/>
    <w:rsid w:val="231E15DF"/>
    <w:rsid w:val="233A4D87"/>
    <w:rsid w:val="23713D9D"/>
    <w:rsid w:val="23B86870"/>
    <w:rsid w:val="2415322B"/>
    <w:rsid w:val="24BC5F54"/>
    <w:rsid w:val="24E25AE6"/>
    <w:rsid w:val="250255F5"/>
    <w:rsid w:val="25076E4C"/>
    <w:rsid w:val="25D97F69"/>
    <w:rsid w:val="260B672B"/>
    <w:rsid w:val="26957257"/>
    <w:rsid w:val="2700615C"/>
    <w:rsid w:val="281A7BE7"/>
    <w:rsid w:val="289F389F"/>
    <w:rsid w:val="293C1E40"/>
    <w:rsid w:val="29BC5867"/>
    <w:rsid w:val="2A0D0CC4"/>
    <w:rsid w:val="2AE37E8F"/>
    <w:rsid w:val="2B47039E"/>
    <w:rsid w:val="2B5B6857"/>
    <w:rsid w:val="2BD0470D"/>
    <w:rsid w:val="2BF21975"/>
    <w:rsid w:val="2BFE6050"/>
    <w:rsid w:val="2C925CC1"/>
    <w:rsid w:val="2D090FB1"/>
    <w:rsid w:val="2D2768A0"/>
    <w:rsid w:val="2E2E03CF"/>
    <w:rsid w:val="2E67296D"/>
    <w:rsid w:val="2ED25694"/>
    <w:rsid w:val="2F872D05"/>
    <w:rsid w:val="2F936BE2"/>
    <w:rsid w:val="2FEF5A05"/>
    <w:rsid w:val="30BA774B"/>
    <w:rsid w:val="314450F4"/>
    <w:rsid w:val="315363EE"/>
    <w:rsid w:val="31C8654E"/>
    <w:rsid w:val="323B47BC"/>
    <w:rsid w:val="330864CC"/>
    <w:rsid w:val="333E2521"/>
    <w:rsid w:val="336B7118"/>
    <w:rsid w:val="336F7299"/>
    <w:rsid w:val="33A238CF"/>
    <w:rsid w:val="33C365BE"/>
    <w:rsid w:val="34230A89"/>
    <w:rsid w:val="34670A86"/>
    <w:rsid w:val="34D10B40"/>
    <w:rsid w:val="3511718E"/>
    <w:rsid w:val="355B4C59"/>
    <w:rsid w:val="358B30A8"/>
    <w:rsid w:val="35E3774B"/>
    <w:rsid w:val="36254176"/>
    <w:rsid w:val="366E29F9"/>
    <w:rsid w:val="36D546CB"/>
    <w:rsid w:val="370B4A0A"/>
    <w:rsid w:val="373F3870"/>
    <w:rsid w:val="37BC5AD7"/>
    <w:rsid w:val="37D526F5"/>
    <w:rsid w:val="37DC6E3D"/>
    <w:rsid w:val="387D344D"/>
    <w:rsid w:val="39887E98"/>
    <w:rsid w:val="3A912F3D"/>
    <w:rsid w:val="3AD604B2"/>
    <w:rsid w:val="3AD97201"/>
    <w:rsid w:val="3ADD6E62"/>
    <w:rsid w:val="3BF71AD3"/>
    <w:rsid w:val="3C0A60C7"/>
    <w:rsid w:val="3E3C050B"/>
    <w:rsid w:val="3EB56515"/>
    <w:rsid w:val="3ECF7A14"/>
    <w:rsid w:val="3ECF7E9E"/>
    <w:rsid w:val="3EE92B85"/>
    <w:rsid w:val="3F1D09D6"/>
    <w:rsid w:val="3F984734"/>
    <w:rsid w:val="3FEE25A6"/>
    <w:rsid w:val="40E57E4D"/>
    <w:rsid w:val="41221AFC"/>
    <w:rsid w:val="414C3A28"/>
    <w:rsid w:val="417E56E6"/>
    <w:rsid w:val="41E40104"/>
    <w:rsid w:val="426C648E"/>
    <w:rsid w:val="43332A55"/>
    <w:rsid w:val="44627009"/>
    <w:rsid w:val="449D459A"/>
    <w:rsid w:val="44BA339E"/>
    <w:rsid w:val="45C05B98"/>
    <w:rsid w:val="45CA5962"/>
    <w:rsid w:val="460A2C37"/>
    <w:rsid w:val="469E42B7"/>
    <w:rsid w:val="46F8292A"/>
    <w:rsid w:val="474E2A4A"/>
    <w:rsid w:val="475073D7"/>
    <w:rsid w:val="476A6F48"/>
    <w:rsid w:val="47FC62B3"/>
    <w:rsid w:val="48FC4BA1"/>
    <w:rsid w:val="49170DBF"/>
    <w:rsid w:val="4A0330F2"/>
    <w:rsid w:val="4DE67456"/>
    <w:rsid w:val="4DED4BFE"/>
    <w:rsid w:val="4E7C606C"/>
    <w:rsid w:val="4EE96D5A"/>
    <w:rsid w:val="4FA21499"/>
    <w:rsid w:val="50054F04"/>
    <w:rsid w:val="5081797E"/>
    <w:rsid w:val="50831453"/>
    <w:rsid w:val="51246169"/>
    <w:rsid w:val="530E3233"/>
    <w:rsid w:val="5328385D"/>
    <w:rsid w:val="539D0113"/>
    <w:rsid w:val="53FF2B7C"/>
    <w:rsid w:val="55821CB6"/>
    <w:rsid w:val="55FA0F78"/>
    <w:rsid w:val="5642399D"/>
    <w:rsid w:val="56582A17"/>
    <w:rsid w:val="568858A1"/>
    <w:rsid w:val="56B17B49"/>
    <w:rsid w:val="56FE4B7A"/>
    <w:rsid w:val="57014E5D"/>
    <w:rsid w:val="57201787"/>
    <w:rsid w:val="573E39BB"/>
    <w:rsid w:val="57AE1946"/>
    <w:rsid w:val="589A4FB7"/>
    <w:rsid w:val="5AA64FB1"/>
    <w:rsid w:val="5ACC7530"/>
    <w:rsid w:val="5AE60603"/>
    <w:rsid w:val="5AFD7032"/>
    <w:rsid w:val="5B594AA1"/>
    <w:rsid w:val="5B726329"/>
    <w:rsid w:val="5BED7519"/>
    <w:rsid w:val="5C291E52"/>
    <w:rsid w:val="5CA63FF0"/>
    <w:rsid w:val="5CDC6150"/>
    <w:rsid w:val="5D52333C"/>
    <w:rsid w:val="5DD15513"/>
    <w:rsid w:val="5DE134B3"/>
    <w:rsid w:val="5E3B0FF8"/>
    <w:rsid w:val="5ED52822"/>
    <w:rsid w:val="5F3F29C6"/>
    <w:rsid w:val="5F43353F"/>
    <w:rsid w:val="5FB30413"/>
    <w:rsid w:val="5FBC1D61"/>
    <w:rsid w:val="60745FCF"/>
    <w:rsid w:val="60C303AB"/>
    <w:rsid w:val="61F03F10"/>
    <w:rsid w:val="622B3A2F"/>
    <w:rsid w:val="62776FDD"/>
    <w:rsid w:val="62BD6C53"/>
    <w:rsid w:val="63340FEE"/>
    <w:rsid w:val="63570A5E"/>
    <w:rsid w:val="635A009E"/>
    <w:rsid w:val="644D6598"/>
    <w:rsid w:val="656C4A50"/>
    <w:rsid w:val="65703BA0"/>
    <w:rsid w:val="65A05841"/>
    <w:rsid w:val="666524F6"/>
    <w:rsid w:val="676034DA"/>
    <w:rsid w:val="67B04461"/>
    <w:rsid w:val="67E1286C"/>
    <w:rsid w:val="67F5622B"/>
    <w:rsid w:val="689D2817"/>
    <w:rsid w:val="68B72869"/>
    <w:rsid w:val="68C44151"/>
    <w:rsid w:val="68DF1890"/>
    <w:rsid w:val="690D5A96"/>
    <w:rsid w:val="694C0369"/>
    <w:rsid w:val="69561038"/>
    <w:rsid w:val="69723E62"/>
    <w:rsid w:val="69737081"/>
    <w:rsid w:val="6A944210"/>
    <w:rsid w:val="6B6C4B43"/>
    <w:rsid w:val="6C450AD1"/>
    <w:rsid w:val="6C9C691F"/>
    <w:rsid w:val="6D3B3907"/>
    <w:rsid w:val="6D412271"/>
    <w:rsid w:val="6D485F0B"/>
    <w:rsid w:val="6D803D7F"/>
    <w:rsid w:val="6D88219D"/>
    <w:rsid w:val="6EC151A6"/>
    <w:rsid w:val="6EF2300D"/>
    <w:rsid w:val="6F12651B"/>
    <w:rsid w:val="6FA759AE"/>
    <w:rsid w:val="6FB913A1"/>
    <w:rsid w:val="708225EA"/>
    <w:rsid w:val="70F25AEA"/>
    <w:rsid w:val="717C2696"/>
    <w:rsid w:val="722E55ED"/>
    <w:rsid w:val="722F5F63"/>
    <w:rsid w:val="724E32AE"/>
    <w:rsid w:val="72814A9F"/>
    <w:rsid w:val="72B8066E"/>
    <w:rsid w:val="7318089E"/>
    <w:rsid w:val="733A4DDF"/>
    <w:rsid w:val="7476733B"/>
    <w:rsid w:val="74D13624"/>
    <w:rsid w:val="75161A3A"/>
    <w:rsid w:val="75713487"/>
    <w:rsid w:val="765D7381"/>
    <w:rsid w:val="77307E7F"/>
    <w:rsid w:val="77435EA1"/>
    <w:rsid w:val="78087C62"/>
    <w:rsid w:val="78C85655"/>
    <w:rsid w:val="78DD498A"/>
    <w:rsid w:val="791533EA"/>
    <w:rsid w:val="798F3370"/>
    <w:rsid w:val="79E85CDC"/>
    <w:rsid w:val="7B6D18D9"/>
    <w:rsid w:val="7B821570"/>
    <w:rsid w:val="7BC462D5"/>
    <w:rsid w:val="7BD75A39"/>
    <w:rsid w:val="7C5A74C6"/>
    <w:rsid w:val="7C5B5D8E"/>
    <w:rsid w:val="7D17267D"/>
    <w:rsid w:val="7D2A0467"/>
    <w:rsid w:val="7D2B7277"/>
    <w:rsid w:val="7DFD1577"/>
    <w:rsid w:val="7E3E5080"/>
    <w:rsid w:val="7EA2206E"/>
    <w:rsid w:val="7FA47945"/>
    <w:rsid w:val="FEFD8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39" w:semiHidden="0" w:name="toc 4"/>
    <w:lsdException w:unhideWhenUsed="0" w:uiPriority="39" w:semiHidden="0" w:name="toc 5"/>
    <w:lsdException w:unhideWhenUsed="0" w:uiPriority="39" w:semiHidden="0" w:name="toc 6"/>
    <w:lsdException w:unhideWhenUsed="0" w:uiPriority="39" w:semiHidden="0" w:name="toc 7"/>
    <w:lsdException w:unhideWhenUsed="0" w:uiPriority="39" w:semiHidden="0" w:name="toc 8"/>
    <w:lsdException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7"/>
    <w:qFormat/>
    <w:uiPriority w:val="0"/>
    <w:pPr>
      <w:keepNext/>
      <w:keepLines/>
      <w:spacing w:before="340" w:after="330" w:line="578" w:lineRule="auto"/>
      <w:outlineLvl w:val="0"/>
    </w:pPr>
    <w:rPr>
      <w:b/>
      <w:bCs/>
      <w:kern w:val="44"/>
      <w:sz w:val="44"/>
      <w:szCs w:val="44"/>
      <w:lang w:val="zh-CN"/>
    </w:rPr>
  </w:style>
  <w:style w:type="paragraph" w:styleId="3">
    <w:name w:val="heading 2"/>
    <w:basedOn w:val="1"/>
    <w:next w:val="1"/>
    <w:link w:val="48"/>
    <w:qFormat/>
    <w:uiPriority w:val="0"/>
    <w:pPr>
      <w:keepNext/>
      <w:keepLines/>
      <w:spacing w:before="260" w:after="260" w:line="480" w:lineRule="exact"/>
      <w:jc w:val="center"/>
      <w:outlineLvl w:val="1"/>
    </w:pPr>
    <w:rPr>
      <w:rFonts w:ascii="宋体" w:hAnsi="宋体" w:eastAsia="黑体"/>
      <w:bCs/>
      <w:i/>
      <w:iCs/>
      <w:sz w:val="24"/>
      <w:szCs w:val="20"/>
      <w:lang w:val="zh-CN"/>
    </w:rPr>
  </w:style>
  <w:style w:type="paragraph" w:styleId="4">
    <w:name w:val="heading 3"/>
    <w:basedOn w:val="1"/>
    <w:next w:val="1"/>
    <w:link w:val="49"/>
    <w:qFormat/>
    <w:uiPriority w:val="0"/>
    <w:pPr>
      <w:keepNext/>
      <w:keepLines/>
      <w:widowControl/>
      <w:spacing w:before="120" w:after="120" w:line="360" w:lineRule="auto"/>
      <w:jc w:val="center"/>
      <w:outlineLvl w:val="2"/>
    </w:pPr>
    <w:rPr>
      <w:b/>
      <w:kern w:val="0"/>
      <w:sz w:val="32"/>
      <w:szCs w:val="20"/>
      <w:lang w:val="zh-CN"/>
    </w:rPr>
  </w:style>
  <w:style w:type="paragraph" w:styleId="5">
    <w:name w:val="heading 4"/>
    <w:basedOn w:val="1"/>
    <w:next w:val="6"/>
    <w:link w:val="50"/>
    <w:qFormat/>
    <w:uiPriority w:val="0"/>
    <w:pPr>
      <w:keepNext/>
      <w:adjustRightInd w:val="0"/>
      <w:spacing w:line="420" w:lineRule="atLeast"/>
      <w:ind w:firstLine="454"/>
      <w:jc w:val="center"/>
      <w:textAlignment w:val="baseline"/>
      <w:outlineLvl w:val="3"/>
    </w:pPr>
    <w:rPr>
      <w:i/>
      <w:kern w:val="0"/>
      <w:szCs w:val="20"/>
    </w:rPr>
  </w:style>
  <w:style w:type="paragraph" w:styleId="7">
    <w:name w:val="heading 5"/>
    <w:basedOn w:val="1"/>
    <w:next w:val="1"/>
    <w:link w:val="51"/>
    <w:qFormat/>
    <w:uiPriority w:val="99"/>
    <w:pPr>
      <w:keepNext/>
      <w:keepLines/>
      <w:spacing w:before="280" w:after="290" w:line="376" w:lineRule="auto"/>
      <w:outlineLvl w:val="4"/>
    </w:pPr>
    <w:rPr>
      <w:rFonts w:ascii="Calibri" w:hAnsi="Calibri"/>
      <w:b/>
      <w:bCs/>
      <w:sz w:val="28"/>
      <w:szCs w:val="28"/>
    </w:rPr>
  </w:style>
  <w:style w:type="paragraph" w:styleId="8">
    <w:name w:val="heading 6"/>
    <w:basedOn w:val="1"/>
    <w:next w:val="1"/>
    <w:link w:val="52"/>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9">
    <w:name w:val="heading 7"/>
    <w:basedOn w:val="1"/>
    <w:next w:val="1"/>
    <w:link w:val="53"/>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10">
    <w:name w:val="heading 8"/>
    <w:basedOn w:val="1"/>
    <w:next w:val="1"/>
    <w:link w:val="54"/>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1">
    <w:name w:val="heading 9"/>
    <w:basedOn w:val="1"/>
    <w:next w:val="1"/>
    <w:link w:val="55"/>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197"/>
    <w:qFormat/>
    <w:uiPriority w:val="0"/>
    <w:pPr>
      <w:ind w:firstLine="420" w:firstLineChars="200"/>
    </w:pPr>
  </w:style>
  <w:style w:type="paragraph" w:styleId="12">
    <w:name w:val="caption"/>
    <w:basedOn w:val="1"/>
    <w:next w:val="1"/>
    <w:qFormat/>
    <w:uiPriority w:val="0"/>
    <w:rPr>
      <w:rFonts w:ascii="Arial" w:hAnsi="Arial" w:eastAsia="黑体" w:cs="Arial"/>
      <w:sz w:val="20"/>
      <w:szCs w:val="20"/>
    </w:rPr>
  </w:style>
  <w:style w:type="paragraph" w:styleId="13">
    <w:name w:val="Document Map"/>
    <w:basedOn w:val="1"/>
    <w:link w:val="95"/>
    <w:qFormat/>
    <w:uiPriority w:val="0"/>
    <w:rPr>
      <w:rFonts w:ascii="宋体"/>
      <w:sz w:val="18"/>
      <w:szCs w:val="18"/>
      <w:lang w:val="zh-CN"/>
    </w:rPr>
  </w:style>
  <w:style w:type="paragraph" w:styleId="14">
    <w:name w:val="annotation text"/>
    <w:basedOn w:val="1"/>
    <w:link w:val="62"/>
    <w:qFormat/>
    <w:uiPriority w:val="0"/>
    <w:pPr>
      <w:jc w:val="left"/>
    </w:pPr>
  </w:style>
  <w:style w:type="paragraph" w:styleId="15">
    <w:name w:val="Body Text 3"/>
    <w:basedOn w:val="1"/>
    <w:link w:val="56"/>
    <w:qFormat/>
    <w:uiPriority w:val="0"/>
    <w:rPr>
      <w:rFonts w:ascii="宋体"/>
      <w:sz w:val="24"/>
      <w:szCs w:val="20"/>
    </w:rPr>
  </w:style>
  <w:style w:type="paragraph" w:styleId="16">
    <w:name w:val="Body Text"/>
    <w:basedOn w:val="1"/>
    <w:link w:val="65"/>
    <w:qFormat/>
    <w:uiPriority w:val="0"/>
    <w:pPr>
      <w:spacing w:after="120"/>
    </w:pPr>
  </w:style>
  <w:style w:type="paragraph" w:styleId="17">
    <w:name w:val="Body Text Indent"/>
    <w:basedOn w:val="1"/>
    <w:link w:val="57"/>
    <w:qFormat/>
    <w:uiPriority w:val="0"/>
    <w:pPr>
      <w:spacing w:after="120"/>
      <w:ind w:left="420" w:leftChars="200"/>
    </w:pPr>
  </w:style>
  <w:style w:type="paragraph" w:styleId="18">
    <w:name w:val="toc 3"/>
    <w:basedOn w:val="1"/>
    <w:next w:val="1"/>
    <w:qFormat/>
    <w:uiPriority w:val="0"/>
    <w:pPr>
      <w:autoSpaceDE w:val="0"/>
      <w:autoSpaceDN w:val="0"/>
      <w:spacing w:line="280" w:lineRule="atLeast"/>
      <w:jc w:val="center"/>
    </w:pPr>
    <w:rPr>
      <w:sz w:val="24"/>
      <w:szCs w:val="20"/>
    </w:rPr>
  </w:style>
  <w:style w:type="paragraph" w:styleId="19">
    <w:name w:val="Plain Text"/>
    <w:basedOn w:val="1"/>
    <w:link w:val="82"/>
    <w:qFormat/>
    <w:uiPriority w:val="0"/>
    <w:rPr>
      <w:rFonts w:ascii="宋体" w:hAnsi="Courier New"/>
      <w:szCs w:val="20"/>
    </w:rPr>
  </w:style>
  <w:style w:type="paragraph" w:styleId="20">
    <w:name w:val="Date"/>
    <w:basedOn w:val="1"/>
    <w:next w:val="1"/>
    <w:link w:val="68"/>
    <w:qFormat/>
    <w:uiPriority w:val="0"/>
    <w:rPr>
      <w:sz w:val="24"/>
      <w:szCs w:val="20"/>
    </w:rPr>
  </w:style>
  <w:style w:type="paragraph" w:styleId="21">
    <w:name w:val="Body Text Indent 2"/>
    <w:basedOn w:val="1"/>
    <w:link w:val="71"/>
    <w:qFormat/>
    <w:uiPriority w:val="0"/>
    <w:pPr>
      <w:spacing w:line="500" w:lineRule="exact"/>
      <w:ind w:firstLine="540" w:firstLineChars="200"/>
    </w:pPr>
    <w:rPr>
      <w:rFonts w:ascii="宋体" w:hAnsi="宋体"/>
      <w:sz w:val="27"/>
      <w:szCs w:val="27"/>
    </w:rPr>
  </w:style>
  <w:style w:type="paragraph" w:styleId="22">
    <w:name w:val="endnote text"/>
    <w:basedOn w:val="1"/>
    <w:link w:val="91"/>
    <w:semiHidden/>
    <w:qFormat/>
    <w:uiPriority w:val="0"/>
    <w:pPr>
      <w:snapToGrid w:val="0"/>
      <w:jc w:val="left"/>
    </w:pPr>
  </w:style>
  <w:style w:type="paragraph" w:styleId="23">
    <w:name w:val="Balloon Text"/>
    <w:basedOn w:val="1"/>
    <w:link w:val="72"/>
    <w:qFormat/>
    <w:uiPriority w:val="0"/>
    <w:rPr>
      <w:sz w:val="18"/>
      <w:szCs w:val="18"/>
    </w:rPr>
  </w:style>
  <w:style w:type="paragraph" w:styleId="24">
    <w:name w:val="footer"/>
    <w:basedOn w:val="1"/>
    <w:link w:val="60"/>
    <w:qFormat/>
    <w:uiPriority w:val="0"/>
    <w:pPr>
      <w:tabs>
        <w:tab w:val="center" w:pos="4153"/>
        <w:tab w:val="right" w:pos="8306"/>
      </w:tabs>
      <w:snapToGrid w:val="0"/>
      <w:jc w:val="left"/>
    </w:pPr>
    <w:rPr>
      <w:sz w:val="18"/>
      <w:szCs w:val="18"/>
    </w:rPr>
  </w:style>
  <w:style w:type="paragraph" w:styleId="25">
    <w:name w:val="header"/>
    <w:basedOn w:val="1"/>
    <w:link w:val="59"/>
    <w:qFormat/>
    <w:uiPriority w:val="0"/>
    <w:pPr>
      <w:tabs>
        <w:tab w:val="center" w:pos="4153"/>
        <w:tab w:val="right" w:pos="8306"/>
      </w:tabs>
      <w:snapToGrid w:val="0"/>
      <w:jc w:val="center"/>
    </w:pPr>
    <w:rPr>
      <w:sz w:val="18"/>
      <w:szCs w:val="18"/>
    </w:rPr>
  </w:style>
  <w:style w:type="paragraph" w:styleId="26">
    <w:name w:val="toc 1"/>
    <w:basedOn w:val="1"/>
    <w:next w:val="1"/>
    <w:qFormat/>
    <w:uiPriority w:val="39"/>
  </w:style>
  <w:style w:type="paragraph" w:styleId="27">
    <w:name w:val="footnote text"/>
    <w:basedOn w:val="1"/>
    <w:link w:val="83"/>
    <w:qFormat/>
    <w:uiPriority w:val="0"/>
    <w:pPr>
      <w:adjustRightInd w:val="0"/>
      <w:snapToGrid w:val="0"/>
      <w:spacing w:line="420" w:lineRule="atLeast"/>
      <w:ind w:firstLine="454"/>
      <w:jc w:val="left"/>
      <w:textAlignment w:val="baseline"/>
    </w:pPr>
    <w:rPr>
      <w:kern w:val="0"/>
      <w:sz w:val="18"/>
      <w:szCs w:val="20"/>
      <w:lang w:val="zh-CN"/>
    </w:rPr>
  </w:style>
  <w:style w:type="paragraph" w:styleId="28">
    <w:name w:val="Body Text Indent 3"/>
    <w:basedOn w:val="1"/>
    <w:link w:val="58"/>
    <w:qFormat/>
    <w:uiPriority w:val="0"/>
    <w:pPr>
      <w:spacing w:after="120"/>
      <w:ind w:left="420" w:leftChars="200"/>
    </w:pPr>
    <w:rPr>
      <w:sz w:val="16"/>
      <w:szCs w:val="16"/>
    </w:rPr>
  </w:style>
  <w:style w:type="paragraph" w:styleId="29">
    <w:name w:val="toc 2"/>
    <w:basedOn w:val="1"/>
    <w:next w:val="1"/>
    <w:qFormat/>
    <w:uiPriority w:val="39"/>
    <w:pPr>
      <w:ind w:left="420" w:leftChars="200"/>
    </w:pPr>
  </w:style>
  <w:style w:type="paragraph" w:styleId="30">
    <w:name w:val="Body Text 2"/>
    <w:basedOn w:val="1"/>
    <w:link w:val="85"/>
    <w:qFormat/>
    <w:uiPriority w:val="0"/>
    <w:pPr>
      <w:spacing w:after="120" w:line="480" w:lineRule="auto"/>
    </w:pPr>
  </w:style>
  <w:style w:type="paragraph" w:styleId="3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2">
    <w:name w:val="index 1"/>
    <w:basedOn w:val="1"/>
    <w:next w:val="1"/>
    <w:semiHidden/>
    <w:qFormat/>
    <w:uiPriority w:val="0"/>
    <w:pPr>
      <w:spacing w:line="220" w:lineRule="exact"/>
      <w:jc w:val="center"/>
    </w:pPr>
    <w:rPr>
      <w:rFonts w:ascii="仿宋_GB2312" w:eastAsia="仿宋_GB2312"/>
      <w:szCs w:val="21"/>
    </w:rPr>
  </w:style>
  <w:style w:type="paragraph" w:styleId="33">
    <w:name w:val="Title"/>
    <w:basedOn w:val="1"/>
    <w:link w:val="66"/>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34">
    <w:name w:val="annotation subject"/>
    <w:basedOn w:val="14"/>
    <w:next w:val="14"/>
    <w:link w:val="88"/>
    <w:qFormat/>
    <w:uiPriority w:val="0"/>
    <w:rPr>
      <w:b/>
      <w:bCs/>
      <w:lang w:val="zh-CN"/>
    </w:rPr>
  </w:style>
  <w:style w:type="paragraph" w:styleId="35">
    <w:name w:val="Body Text First Indent"/>
    <w:basedOn w:val="1"/>
    <w:link w:val="139"/>
    <w:unhideWhenUsed/>
    <w:qFormat/>
    <w:uiPriority w:val="0"/>
    <w:pPr>
      <w:spacing w:line="312" w:lineRule="auto"/>
      <w:ind w:firstLine="420"/>
    </w:pPr>
  </w:style>
  <w:style w:type="paragraph" w:styleId="36">
    <w:name w:val="Body Text First Indent 2"/>
    <w:basedOn w:val="17"/>
    <w:link w:val="186"/>
    <w:qFormat/>
    <w:uiPriority w:val="0"/>
    <w:pPr>
      <w:ind w:firstLine="420" w:firstLineChars="200"/>
    </w:pPr>
  </w:style>
  <w:style w:type="table" w:styleId="38">
    <w:name w:val="Table Grid"/>
    <w:basedOn w:val="3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endnote reference"/>
    <w:semiHidden/>
    <w:qFormat/>
    <w:uiPriority w:val="0"/>
    <w:rPr>
      <w:vertAlign w:val="superscript"/>
    </w:rPr>
  </w:style>
  <w:style w:type="character" w:styleId="41">
    <w:name w:val="page number"/>
    <w:basedOn w:val="39"/>
    <w:qFormat/>
    <w:uiPriority w:val="0"/>
  </w:style>
  <w:style w:type="character" w:styleId="42">
    <w:name w:val="FollowedHyperlink"/>
    <w:basedOn w:val="39"/>
    <w:qFormat/>
    <w:uiPriority w:val="0"/>
    <w:rPr>
      <w:color w:val="0033CC"/>
      <w:u w:val="single"/>
    </w:rPr>
  </w:style>
  <w:style w:type="character" w:styleId="43">
    <w:name w:val="Hyperlink"/>
    <w:basedOn w:val="39"/>
    <w:qFormat/>
    <w:uiPriority w:val="99"/>
    <w:rPr>
      <w:color w:val="0033CC"/>
      <w:u w:val="single"/>
    </w:rPr>
  </w:style>
  <w:style w:type="character" w:styleId="44">
    <w:name w:val="annotation reference"/>
    <w:qFormat/>
    <w:uiPriority w:val="0"/>
    <w:rPr>
      <w:sz w:val="21"/>
      <w:szCs w:val="21"/>
    </w:rPr>
  </w:style>
  <w:style w:type="character" w:styleId="45">
    <w:name w:val="footnote reference"/>
    <w:qFormat/>
    <w:uiPriority w:val="0"/>
    <w:rPr>
      <w:vertAlign w:val="superscript"/>
    </w:rPr>
  </w:style>
  <w:style w:type="character" w:customStyle="1" w:styleId="46">
    <w:name w:val="脚注文本 字符"/>
    <w:qFormat/>
    <w:uiPriority w:val="0"/>
    <w:rPr>
      <w:sz w:val="18"/>
    </w:rPr>
  </w:style>
  <w:style w:type="character" w:customStyle="1" w:styleId="47">
    <w:name w:val="标题 1 字符1"/>
    <w:link w:val="2"/>
    <w:qFormat/>
    <w:uiPriority w:val="0"/>
    <w:rPr>
      <w:b/>
      <w:bCs/>
      <w:kern w:val="44"/>
      <w:sz w:val="44"/>
      <w:szCs w:val="44"/>
    </w:rPr>
  </w:style>
  <w:style w:type="character" w:customStyle="1" w:styleId="48">
    <w:name w:val="标题 2 字符1"/>
    <w:link w:val="3"/>
    <w:qFormat/>
    <w:uiPriority w:val="0"/>
    <w:rPr>
      <w:rFonts w:ascii="宋体" w:hAnsi="宋体" w:eastAsia="黑体"/>
      <w:bCs/>
      <w:i/>
      <w:iCs/>
      <w:kern w:val="2"/>
      <w:sz w:val="24"/>
    </w:rPr>
  </w:style>
  <w:style w:type="character" w:customStyle="1" w:styleId="49">
    <w:name w:val="标题 3 字符1"/>
    <w:link w:val="4"/>
    <w:qFormat/>
    <w:uiPriority w:val="0"/>
    <w:rPr>
      <w:b/>
      <w:sz w:val="32"/>
    </w:rPr>
  </w:style>
  <w:style w:type="character" w:customStyle="1" w:styleId="50">
    <w:name w:val="标题 4 字符"/>
    <w:link w:val="5"/>
    <w:qFormat/>
    <w:locked/>
    <w:uiPriority w:val="0"/>
    <w:rPr>
      <w:i/>
      <w:sz w:val="21"/>
    </w:rPr>
  </w:style>
  <w:style w:type="character" w:customStyle="1" w:styleId="51">
    <w:name w:val="标题 5 字符"/>
    <w:link w:val="7"/>
    <w:qFormat/>
    <w:uiPriority w:val="99"/>
    <w:rPr>
      <w:rFonts w:ascii="Calibri" w:hAnsi="Calibri"/>
      <w:b/>
      <w:bCs/>
      <w:kern w:val="2"/>
      <w:sz w:val="28"/>
      <w:szCs w:val="28"/>
    </w:rPr>
  </w:style>
  <w:style w:type="character" w:customStyle="1" w:styleId="52">
    <w:name w:val="标题 6 字符"/>
    <w:link w:val="8"/>
    <w:qFormat/>
    <w:uiPriority w:val="0"/>
    <w:rPr>
      <w:rFonts w:ascii="Arial" w:hAnsi="Arial" w:eastAsia="黑体"/>
      <w:b/>
      <w:bCs/>
      <w:sz w:val="24"/>
      <w:szCs w:val="24"/>
    </w:rPr>
  </w:style>
  <w:style w:type="character" w:customStyle="1" w:styleId="53">
    <w:name w:val="标题 7 字符"/>
    <w:link w:val="9"/>
    <w:qFormat/>
    <w:uiPriority w:val="0"/>
    <w:rPr>
      <w:b/>
      <w:bCs/>
      <w:sz w:val="24"/>
      <w:szCs w:val="24"/>
    </w:rPr>
  </w:style>
  <w:style w:type="character" w:customStyle="1" w:styleId="54">
    <w:name w:val="标题 8 字符"/>
    <w:link w:val="10"/>
    <w:qFormat/>
    <w:uiPriority w:val="0"/>
    <w:rPr>
      <w:rFonts w:ascii="Arial" w:hAnsi="Arial" w:eastAsia="黑体"/>
      <w:sz w:val="24"/>
      <w:szCs w:val="24"/>
    </w:rPr>
  </w:style>
  <w:style w:type="character" w:customStyle="1" w:styleId="55">
    <w:name w:val="标题 9 字符"/>
    <w:link w:val="11"/>
    <w:qFormat/>
    <w:uiPriority w:val="0"/>
    <w:rPr>
      <w:rFonts w:ascii="Arial" w:hAnsi="Arial" w:eastAsia="黑体"/>
      <w:sz w:val="21"/>
      <w:szCs w:val="21"/>
    </w:rPr>
  </w:style>
  <w:style w:type="character" w:customStyle="1" w:styleId="56">
    <w:name w:val="正文文本 3 字符1"/>
    <w:link w:val="15"/>
    <w:qFormat/>
    <w:uiPriority w:val="0"/>
    <w:rPr>
      <w:rFonts w:ascii="宋体"/>
      <w:kern w:val="2"/>
      <w:sz w:val="24"/>
    </w:rPr>
  </w:style>
  <w:style w:type="character" w:customStyle="1" w:styleId="57">
    <w:name w:val="正文文本缩进 字符1"/>
    <w:link w:val="17"/>
    <w:qFormat/>
    <w:uiPriority w:val="0"/>
    <w:rPr>
      <w:kern w:val="2"/>
      <w:sz w:val="21"/>
      <w:szCs w:val="24"/>
    </w:rPr>
  </w:style>
  <w:style w:type="character" w:customStyle="1" w:styleId="58">
    <w:name w:val="正文文本缩进 3 字符1"/>
    <w:link w:val="28"/>
    <w:qFormat/>
    <w:locked/>
    <w:uiPriority w:val="0"/>
    <w:rPr>
      <w:kern w:val="2"/>
      <w:sz w:val="16"/>
      <w:szCs w:val="16"/>
    </w:rPr>
  </w:style>
  <w:style w:type="character" w:customStyle="1" w:styleId="59">
    <w:name w:val="页眉 字符1"/>
    <w:link w:val="25"/>
    <w:qFormat/>
    <w:uiPriority w:val="0"/>
    <w:rPr>
      <w:kern w:val="2"/>
      <w:sz w:val="18"/>
      <w:szCs w:val="18"/>
    </w:rPr>
  </w:style>
  <w:style w:type="character" w:customStyle="1" w:styleId="60">
    <w:name w:val="页脚 字符1"/>
    <w:link w:val="24"/>
    <w:qFormat/>
    <w:uiPriority w:val="0"/>
    <w:rPr>
      <w:rFonts w:eastAsia="宋体"/>
      <w:kern w:val="2"/>
      <w:sz w:val="18"/>
      <w:szCs w:val="18"/>
      <w:lang w:val="en-US" w:eastAsia="zh-CN" w:bidi="ar-SA"/>
    </w:rPr>
  </w:style>
  <w:style w:type="paragraph" w:customStyle="1" w:styleId="61">
    <w:name w:val="1"/>
    <w:basedOn w:val="1"/>
    <w:qFormat/>
    <w:uiPriority w:val="0"/>
  </w:style>
  <w:style w:type="character" w:customStyle="1" w:styleId="62">
    <w:name w:val="批注文字 字符2"/>
    <w:link w:val="14"/>
    <w:qFormat/>
    <w:uiPriority w:val="0"/>
    <w:rPr>
      <w:kern w:val="2"/>
      <w:sz w:val="21"/>
      <w:szCs w:val="24"/>
    </w:rPr>
  </w:style>
  <w:style w:type="paragraph" w:customStyle="1" w:styleId="63">
    <w:name w:val="目录 11"/>
    <w:basedOn w:val="1"/>
    <w:next w:val="1"/>
    <w:qFormat/>
    <w:uiPriority w:val="39"/>
    <w:pPr>
      <w:tabs>
        <w:tab w:val="left" w:pos="425"/>
        <w:tab w:val="right" w:leader="dot" w:pos="8805"/>
      </w:tabs>
      <w:spacing w:line="440" w:lineRule="exact"/>
      <w:jc w:val="center"/>
    </w:pPr>
    <w:rPr>
      <w:color w:val="000000"/>
      <w:sz w:val="20"/>
      <w:szCs w:val="20"/>
    </w:rPr>
  </w:style>
  <w:style w:type="character" w:customStyle="1" w:styleId="64">
    <w:name w:val="font161"/>
    <w:qFormat/>
    <w:uiPriority w:val="0"/>
    <w:rPr>
      <w:b/>
      <w:bCs/>
      <w:sz w:val="32"/>
      <w:szCs w:val="32"/>
    </w:rPr>
  </w:style>
  <w:style w:type="character" w:customStyle="1" w:styleId="65">
    <w:name w:val="正文文本 字符1"/>
    <w:link w:val="16"/>
    <w:qFormat/>
    <w:uiPriority w:val="0"/>
    <w:rPr>
      <w:kern w:val="2"/>
      <w:sz w:val="21"/>
      <w:szCs w:val="24"/>
    </w:rPr>
  </w:style>
  <w:style w:type="character" w:customStyle="1" w:styleId="66">
    <w:name w:val="标题 字符1"/>
    <w:link w:val="33"/>
    <w:qFormat/>
    <w:uiPriority w:val="0"/>
    <w:rPr>
      <w:rFonts w:ascii="Arial" w:hAnsi="Arial" w:eastAsia="宋体"/>
      <w:b/>
      <w:sz w:val="32"/>
      <w:lang w:val="en-US" w:eastAsia="zh-CN" w:bidi="ar-SA"/>
    </w:rPr>
  </w:style>
  <w:style w:type="paragraph" w:customStyle="1" w:styleId="67">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character" w:customStyle="1" w:styleId="68">
    <w:name w:val="日期 字符"/>
    <w:link w:val="20"/>
    <w:qFormat/>
    <w:uiPriority w:val="0"/>
    <w:rPr>
      <w:kern w:val="2"/>
      <w:sz w:val="24"/>
    </w:rPr>
  </w:style>
  <w:style w:type="paragraph" w:customStyle="1" w:styleId="69">
    <w:name w:val="表格"/>
    <w:basedOn w:val="1"/>
    <w:qFormat/>
    <w:uiPriority w:val="0"/>
    <w:pPr>
      <w:jc w:val="center"/>
      <w:textAlignment w:val="center"/>
    </w:pPr>
    <w:rPr>
      <w:rFonts w:ascii="华文细黑" w:hAnsi="华文细黑"/>
      <w:kern w:val="0"/>
      <w:szCs w:val="20"/>
    </w:rPr>
  </w:style>
  <w:style w:type="paragraph" w:customStyle="1" w:styleId="70">
    <w:name w:val="表格文字"/>
    <w:basedOn w:val="1"/>
    <w:qFormat/>
    <w:uiPriority w:val="0"/>
    <w:pPr>
      <w:adjustRightInd w:val="0"/>
      <w:spacing w:line="420" w:lineRule="atLeast"/>
      <w:jc w:val="left"/>
      <w:textAlignment w:val="baseline"/>
    </w:pPr>
    <w:rPr>
      <w:kern w:val="0"/>
      <w:szCs w:val="20"/>
    </w:rPr>
  </w:style>
  <w:style w:type="character" w:customStyle="1" w:styleId="71">
    <w:name w:val="正文文本缩进 2 字符"/>
    <w:link w:val="21"/>
    <w:qFormat/>
    <w:locked/>
    <w:uiPriority w:val="0"/>
    <w:rPr>
      <w:rFonts w:ascii="宋体" w:hAnsi="宋体"/>
      <w:kern w:val="2"/>
      <w:sz w:val="27"/>
      <w:szCs w:val="27"/>
    </w:rPr>
  </w:style>
  <w:style w:type="character" w:customStyle="1" w:styleId="72">
    <w:name w:val="批注框文本 字符"/>
    <w:link w:val="23"/>
    <w:qFormat/>
    <w:locked/>
    <w:uiPriority w:val="0"/>
    <w:rPr>
      <w:kern w:val="2"/>
      <w:sz w:val="18"/>
      <w:szCs w:val="18"/>
    </w:rPr>
  </w:style>
  <w:style w:type="paragraph" w:customStyle="1" w:styleId="73">
    <w:name w:val="表格方字"/>
    <w:basedOn w:val="1"/>
    <w:qFormat/>
    <w:uiPriority w:val="0"/>
    <w:pPr>
      <w:adjustRightInd w:val="0"/>
      <w:spacing w:before="60" w:after="60" w:line="420" w:lineRule="atLeast"/>
      <w:jc w:val="left"/>
      <w:textAlignment w:val="baseline"/>
    </w:pPr>
    <w:rPr>
      <w:kern w:val="0"/>
      <w:szCs w:val="20"/>
    </w:rPr>
  </w:style>
  <w:style w:type="paragraph" w:customStyle="1" w:styleId="74">
    <w:name w:val="表头"/>
    <w:basedOn w:val="73"/>
    <w:qFormat/>
    <w:uiPriority w:val="0"/>
    <w:rPr>
      <w:rFonts w:ascii="黑体" w:eastAsia="黑体"/>
      <w:b/>
    </w:rPr>
  </w:style>
  <w:style w:type="paragraph" w:customStyle="1" w:styleId="75">
    <w:name w:val="表格1"/>
    <w:basedOn w:val="1"/>
    <w:qFormat/>
    <w:uiPriority w:val="0"/>
    <w:pPr>
      <w:adjustRightInd w:val="0"/>
      <w:spacing w:line="420" w:lineRule="atLeast"/>
      <w:ind w:left="284"/>
      <w:textAlignment w:val="baseline"/>
    </w:pPr>
    <w:rPr>
      <w:kern w:val="0"/>
      <w:szCs w:val="20"/>
    </w:rPr>
  </w:style>
  <w:style w:type="paragraph" w:customStyle="1" w:styleId="76">
    <w:name w:val="表格3"/>
    <w:basedOn w:val="1"/>
    <w:qFormat/>
    <w:uiPriority w:val="0"/>
    <w:pPr>
      <w:adjustRightInd w:val="0"/>
      <w:spacing w:line="420" w:lineRule="atLeast"/>
      <w:textAlignment w:val="baseline"/>
    </w:pPr>
    <w:rPr>
      <w:rFonts w:eastAsia="楷体"/>
      <w:kern w:val="0"/>
      <w:szCs w:val="20"/>
    </w:rPr>
  </w:style>
  <w:style w:type="character" w:customStyle="1" w:styleId="77">
    <w:name w:val="数字"/>
    <w:qFormat/>
    <w:uiPriority w:val="0"/>
    <w:rPr>
      <w:rFonts w:eastAsia="黑体"/>
      <w:b/>
      <w:sz w:val="21"/>
    </w:rPr>
  </w:style>
  <w:style w:type="paragraph" w:customStyle="1" w:styleId="78">
    <w:name w:val="表格5"/>
    <w:basedOn w:val="79"/>
    <w:qFormat/>
    <w:uiPriority w:val="0"/>
    <w:pPr>
      <w:ind w:left="1021" w:hanging="284"/>
    </w:pPr>
    <w:rPr>
      <w:rFonts w:ascii="宋体"/>
    </w:rPr>
  </w:style>
  <w:style w:type="paragraph" w:customStyle="1" w:styleId="79">
    <w:name w:val="表格2"/>
    <w:basedOn w:val="1"/>
    <w:qFormat/>
    <w:uiPriority w:val="0"/>
    <w:pPr>
      <w:adjustRightInd w:val="0"/>
      <w:spacing w:line="420" w:lineRule="atLeast"/>
      <w:ind w:left="284" w:firstLine="454"/>
      <w:textAlignment w:val="baseline"/>
    </w:pPr>
    <w:rPr>
      <w:kern w:val="0"/>
      <w:szCs w:val="20"/>
    </w:rPr>
  </w:style>
  <w:style w:type="paragraph" w:customStyle="1" w:styleId="80">
    <w:name w:val="表格4"/>
    <w:basedOn w:val="1"/>
    <w:qFormat/>
    <w:uiPriority w:val="0"/>
    <w:pPr>
      <w:adjustRightInd w:val="0"/>
      <w:spacing w:line="420" w:lineRule="atLeast"/>
      <w:ind w:left="1021"/>
      <w:textAlignment w:val="baseline"/>
    </w:pPr>
    <w:rPr>
      <w:kern w:val="0"/>
      <w:szCs w:val="20"/>
    </w:rPr>
  </w:style>
  <w:style w:type="paragraph" w:customStyle="1" w:styleId="81">
    <w:name w:val="表格6"/>
    <w:basedOn w:val="78"/>
    <w:qFormat/>
    <w:uiPriority w:val="0"/>
    <w:pPr>
      <w:ind w:left="737" w:firstLine="0"/>
    </w:pPr>
  </w:style>
  <w:style w:type="character" w:customStyle="1" w:styleId="82">
    <w:name w:val="纯文本 字符1"/>
    <w:link w:val="19"/>
    <w:qFormat/>
    <w:uiPriority w:val="0"/>
    <w:rPr>
      <w:rFonts w:ascii="宋体" w:hAnsi="Courier New" w:eastAsia="宋体"/>
      <w:kern w:val="2"/>
      <w:sz w:val="21"/>
      <w:lang w:val="en-US" w:eastAsia="zh-CN" w:bidi="ar-SA"/>
    </w:rPr>
  </w:style>
  <w:style w:type="character" w:customStyle="1" w:styleId="83">
    <w:name w:val="脚注文本 字符2"/>
    <w:link w:val="27"/>
    <w:qFormat/>
    <w:uiPriority w:val="0"/>
    <w:rPr>
      <w:sz w:val="18"/>
    </w:rPr>
  </w:style>
  <w:style w:type="paragraph" w:customStyle="1" w:styleId="84">
    <w:name w:val="2"/>
    <w:basedOn w:val="1"/>
    <w:qFormat/>
    <w:uiPriority w:val="0"/>
    <w:pPr>
      <w:adjustRightInd w:val="0"/>
      <w:spacing w:line="420" w:lineRule="atLeast"/>
      <w:ind w:left="1134" w:hanging="227"/>
      <w:textAlignment w:val="baseline"/>
    </w:pPr>
    <w:rPr>
      <w:kern w:val="0"/>
      <w:szCs w:val="20"/>
    </w:rPr>
  </w:style>
  <w:style w:type="character" w:customStyle="1" w:styleId="85">
    <w:name w:val="正文文本 2 字符"/>
    <w:link w:val="30"/>
    <w:qFormat/>
    <w:uiPriority w:val="0"/>
    <w:rPr>
      <w:kern w:val="2"/>
      <w:sz w:val="21"/>
      <w:szCs w:val="24"/>
    </w:rPr>
  </w:style>
  <w:style w:type="paragraph" w:customStyle="1" w:styleId="86">
    <w:name w:val="表中"/>
    <w:basedOn w:val="1"/>
    <w:qFormat/>
    <w:uiPriority w:val="0"/>
    <w:pPr>
      <w:adjustRightInd w:val="0"/>
      <w:spacing w:line="360" w:lineRule="atLeast"/>
      <w:jc w:val="center"/>
      <w:textAlignment w:val="baseline"/>
    </w:pPr>
    <w:rPr>
      <w:kern w:val="0"/>
      <w:szCs w:val="20"/>
    </w:rPr>
  </w:style>
  <w:style w:type="paragraph" w:customStyle="1" w:styleId="87">
    <w:name w:val="af15hichaf0dbchf15cgrid"/>
    <w:qFormat/>
    <w:uiPriority w:val="0"/>
    <w:pPr>
      <w:widowControl w:val="0"/>
      <w:tabs>
        <w:tab w:val="center" w:pos="4320"/>
        <w:tab w:val="right" w:pos="8640"/>
      </w:tabs>
      <w:adjustRightInd w:val="0"/>
      <w:spacing w:line="315" w:lineRule="atLeast"/>
      <w:jc w:val="both"/>
      <w:textAlignment w:val="baseline"/>
    </w:pPr>
    <w:rPr>
      <w:rFonts w:ascii="宋体" w:hAnsi="Times New Roman" w:eastAsia="宋体" w:cs="Times New Roman"/>
      <w:sz w:val="21"/>
      <w:lang w:val="en-US" w:eastAsia="zh-CN" w:bidi="ar-SA"/>
    </w:rPr>
  </w:style>
  <w:style w:type="character" w:customStyle="1" w:styleId="88">
    <w:name w:val="批注主题 字符1"/>
    <w:link w:val="34"/>
    <w:qFormat/>
    <w:uiPriority w:val="0"/>
    <w:rPr>
      <w:b/>
      <w:bCs/>
      <w:kern w:val="2"/>
      <w:sz w:val="21"/>
      <w:szCs w:val="24"/>
    </w:rPr>
  </w:style>
  <w:style w:type="paragraph" w:customStyle="1" w:styleId="89">
    <w:name w:val="Char Char Char Char Char Char"/>
    <w:basedOn w:val="1"/>
    <w:qFormat/>
    <w:uiPriority w:val="0"/>
  </w:style>
  <w:style w:type="paragraph" w:customStyle="1" w:styleId="90">
    <w:name w:val="Char"/>
    <w:basedOn w:val="1"/>
    <w:qFormat/>
    <w:uiPriority w:val="0"/>
  </w:style>
  <w:style w:type="character" w:customStyle="1" w:styleId="91">
    <w:name w:val="尾注文本 字符"/>
    <w:link w:val="22"/>
    <w:semiHidden/>
    <w:qFormat/>
    <w:uiPriority w:val="0"/>
    <w:rPr>
      <w:kern w:val="2"/>
      <w:sz w:val="21"/>
      <w:szCs w:val="24"/>
    </w:rPr>
  </w:style>
  <w:style w:type="paragraph" w:customStyle="1" w:styleId="92">
    <w:name w:val="Char1"/>
    <w:basedOn w:val="1"/>
    <w:qFormat/>
    <w:uiPriority w:val="0"/>
  </w:style>
  <w:style w:type="paragraph" w:customStyle="1" w:styleId="93">
    <w:name w:val="Char211"/>
    <w:basedOn w:val="1"/>
    <w:qFormat/>
    <w:uiPriority w:val="0"/>
  </w:style>
  <w:style w:type="paragraph" w:customStyle="1" w:styleId="94">
    <w:name w:val="Char Char Char Char Char Char Char Char Char Char Char Char Char Char Char Char Char Char1 Char Char Char Char"/>
    <w:basedOn w:val="1"/>
    <w:qFormat/>
    <w:uiPriority w:val="0"/>
  </w:style>
  <w:style w:type="character" w:customStyle="1" w:styleId="95">
    <w:name w:val="文档结构图 字符1"/>
    <w:link w:val="13"/>
    <w:qFormat/>
    <w:uiPriority w:val="0"/>
    <w:rPr>
      <w:rFonts w:ascii="宋体"/>
      <w:kern w:val="2"/>
      <w:sz w:val="18"/>
      <w:szCs w:val="18"/>
    </w:rPr>
  </w:style>
  <w:style w:type="paragraph" w:customStyle="1" w:styleId="96">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97">
    <w:name w:val="目录 21"/>
    <w:basedOn w:val="1"/>
    <w:next w:val="1"/>
    <w:qFormat/>
    <w:uiPriority w:val="39"/>
    <w:pPr>
      <w:ind w:left="420" w:leftChars="200"/>
    </w:pPr>
  </w:style>
  <w:style w:type="paragraph" w:customStyle="1" w:styleId="98">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99">
    <w:name w:val="目录 31"/>
    <w:basedOn w:val="1"/>
    <w:next w:val="1"/>
    <w:unhideWhenUsed/>
    <w:qFormat/>
    <w:uiPriority w:val="39"/>
    <w:pPr>
      <w:widowControl/>
      <w:spacing w:after="100" w:line="276" w:lineRule="auto"/>
      <w:ind w:left="440"/>
      <w:jc w:val="left"/>
    </w:pPr>
    <w:rPr>
      <w:rFonts w:ascii="Calibri" w:hAnsi="Calibri"/>
      <w:kern w:val="0"/>
      <w:sz w:val="22"/>
      <w:szCs w:val="22"/>
    </w:rPr>
  </w:style>
  <w:style w:type="paragraph" w:customStyle="1" w:styleId="100">
    <w:name w:val="Char Char Char"/>
    <w:basedOn w:val="1"/>
    <w:qFormat/>
    <w:uiPriority w:val="0"/>
    <w:rPr>
      <w:szCs w:val="20"/>
    </w:rPr>
  </w:style>
  <w:style w:type="paragraph" w:customStyle="1" w:styleId="101">
    <w:name w:val="Char Char Char11"/>
    <w:basedOn w:val="1"/>
    <w:qFormat/>
    <w:uiPriority w:val="0"/>
    <w:rPr>
      <w:szCs w:val="20"/>
    </w:rPr>
  </w:style>
  <w:style w:type="character" w:customStyle="1" w:styleId="102">
    <w:name w:val="H001 Char"/>
    <w:link w:val="103"/>
    <w:qFormat/>
    <w:uiPriority w:val="0"/>
    <w:rPr>
      <w:rFonts w:eastAsia="黑体"/>
      <w:bCs/>
      <w:kern w:val="44"/>
      <w:sz w:val="24"/>
      <w:szCs w:val="44"/>
    </w:rPr>
  </w:style>
  <w:style w:type="paragraph" w:customStyle="1" w:styleId="103">
    <w:name w:val="H001"/>
    <w:basedOn w:val="2"/>
    <w:link w:val="102"/>
    <w:qFormat/>
    <w:uiPriority w:val="0"/>
    <w:pPr>
      <w:spacing w:before="240" w:after="240" w:line="240" w:lineRule="exact"/>
    </w:pPr>
    <w:rPr>
      <w:rFonts w:eastAsia="黑体"/>
      <w:b w:val="0"/>
      <w:sz w:val="24"/>
    </w:rPr>
  </w:style>
  <w:style w:type="paragraph" w:customStyle="1" w:styleId="104">
    <w:name w:val="目录 41"/>
    <w:basedOn w:val="1"/>
    <w:next w:val="1"/>
    <w:unhideWhenUsed/>
    <w:qFormat/>
    <w:uiPriority w:val="39"/>
    <w:pPr>
      <w:ind w:left="1260" w:leftChars="600"/>
    </w:pPr>
    <w:rPr>
      <w:rFonts w:ascii="Calibri" w:hAnsi="Calibri"/>
      <w:szCs w:val="22"/>
    </w:rPr>
  </w:style>
  <w:style w:type="paragraph" w:customStyle="1" w:styleId="105">
    <w:name w:val="目录 51"/>
    <w:basedOn w:val="1"/>
    <w:next w:val="1"/>
    <w:unhideWhenUsed/>
    <w:qFormat/>
    <w:uiPriority w:val="39"/>
    <w:pPr>
      <w:ind w:left="1680" w:leftChars="800"/>
    </w:pPr>
    <w:rPr>
      <w:rFonts w:ascii="Calibri" w:hAnsi="Calibri"/>
      <w:szCs w:val="22"/>
    </w:rPr>
  </w:style>
  <w:style w:type="paragraph" w:customStyle="1" w:styleId="106">
    <w:name w:val="目录 61"/>
    <w:basedOn w:val="1"/>
    <w:next w:val="1"/>
    <w:unhideWhenUsed/>
    <w:qFormat/>
    <w:uiPriority w:val="39"/>
    <w:pPr>
      <w:ind w:left="2100" w:leftChars="1000"/>
    </w:pPr>
    <w:rPr>
      <w:rFonts w:ascii="Calibri" w:hAnsi="Calibri"/>
      <w:szCs w:val="22"/>
    </w:rPr>
  </w:style>
  <w:style w:type="paragraph" w:customStyle="1" w:styleId="107">
    <w:name w:val="目录 71"/>
    <w:basedOn w:val="1"/>
    <w:next w:val="1"/>
    <w:unhideWhenUsed/>
    <w:qFormat/>
    <w:uiPriority w:val="39"/>
    <w:pPr>
      <w:ind w:left="2520" w:leftChars="1200"/>
    </w:pPr>
    <w:rPr>
      <w:rFonts w:ascii="Calibri" w:hAnsi="Calibri"/>
      <w:szCs w:val="22"/>
    </w:rPr>
  </w:style>
  <w:style w:type="paragraph" w:customStyle="1" w:styleId="108">
    <w:name w:val="目录 81"/>
    <w:basedOn w:val="1"/>
    <w:next w:val="1"/>
    <w:unhideWhenUsed/>
    <w:qFormat/>
    <w:uiPriority w:val="39"/>
    <w:pPr>
      <w:ind w:left="2940" w:leftChars="1400"/>
    </w:pPr>
    <w:rPr>
      <w:rFonts w:ascii="Calibri" w:hAnsi="Calibri"/>
      <w:szCs w:val="22"/>
    </w:rPr>
  </w:style>
  <w:style w:type="paragraph" w:customStyle="1" w:styleId="109">
    <w:name w:val="目录 91"/>
    <w:basedOn w:val="1"/>
    <w:next w:val="1"/>
    <w:unhideWhenUsed/>
    <w:qFormat/>
    <w:uiPriority w:val="39"/>
    <w:pPr>
      <w:ind w:left="3360" w:leftChars="1600"/>
    </w:pPr>
    <w:rPr>
      <w:rFonts w:ascii="Calibri" w:hAnsi="Calibri"/>
      <w:szCs w:val="22"/>
    </w:rPr>
  </w:style>
  <w:style w:type="character" w:customStyle="1" w:styleId="110">
    <w:name w:val="脚注文本 字符1"/>
    <w:qFormat/>
    <w:locked/>
    <w:uiPriority w:val="0"/>
    <w:rPr>
      <w:kern w:val="2"/>
      <w:sz w:val="18"/>
      <w:szCs w:val="18"/>
      <w:lang w:val="zh-CN" w:eastAsia="zh-CN"/>
    </w:rPr>
  </w:style>
  <w:style w:type="character" w:customStyle="1" w:styleId="111">
    <w:name w:val="未处理的提及1"/>
    <w:semiHidden/>
    <w:unhideWhenUsed/>
    <w:qFormat/>
    <w:uiPriority w:val="99"/>
    <w:rPr>
      <w:color w:val="808080"/>
      <w:shd w:val="clear" w:color="auto" w:fill="E6E6E6"/>
    </w:rPr>
  </w:style>
  <w:style w:type="character" w:customStyle="1" w:styleId="112">
    <w:name w:val="正文文本 3 字符"/>
    <w:qFormat/>
    <w:uiPriority w:val="0"/>
    <w:rPr>
      <w:rFonts w:ascii="宋体"/>
      <w:kern w:val="2"/>
      <w:sz w:val="24"/>
    </w:rPr>
  </w:style>
  <w:style w:type="character" w:customStyle="1" w:styleId="113">
    <w:name w:val="标题 1 字符"/>
    <w:qFormat/>
    <w:uiPriority w:val="0"/>
    <w:rPr>
      <w:b/>
      <w:bCs/>
      <w:kern w:val="44"/>
      <w:sz w:val="44"/>
      <w:szCs w:val="44"/>
    </w:rPr>
  </w:style>
  <w:style w:type="character" w:customStyle="1" w:styleId="114">
    <w:name w:val="标题 2 字符"/>
    <w:qFormat/>
    <w:uiPriority w:val="0"/>
    <w:rPr>
      <w:rFonts w:ascii="宋体" w:hAnsi="宋体" w:eastAsia="黑体"/>
      <w:bCs/>
      <w:iCs/>
      <w:kern w:val="2"/>
      <w:sz w:val="28"/>
    </w:rPr>
  </w:style>
  <w:style w:type="character" w:customStyle="1" w:styleId="115">
    <w:name w:val="标题 3 字符"/>
    <w:qFormat/>
    <w:uiPriority w:val="0"/>
    <w:rPr>
      <w:b/>
      <w:sz w:val="32"/>
    </w:rPr>
  </w:style>
  <w:style w:type="character" w:customStyle="1" w:styleId="116">
    <w:name w:val="正文文本缩进 字符"/>
    <w:qFormat/>
    <w:locked/>
    <w:uiPriority w:val="0"/>
    <w:rPr>
      <w:kern w:val="2"/>
      <w:sz w:val="21"/>
      <w:szCs w:val="24"/>
    </w:rPr>
  </w:style>
  <w:style w:type="character" w:customStyle="1" w:styleId="117">
    <w:name w:val="页眉 字符"/>
    <w:qFormat/>
    <w:uiPriority w:val="99"/>
    <w:rPr>
      <w:kern w:val="2"/>
      <w:sz w:val="18"/>
      <w:szCs w:val="18"/>
    </w:rPr>
  </w:style>
  <w:style w:type="character" w:customStyle="1" w:styleId="118">
    <w:name w:val="页脚 字符"/>
    <w:qFormat/>
    <w:uiPriority w:val="0"/>
    <w:rPr>
      <w:rFonts w:eastAsia="宋体"/>
      <w:kern w:val="2"/>
      <w:sz w:val="18"/>
      <w:szCs w:val="18"/>
      <w:lang w:val="en-US" w:eastAsia="zh-CN" w:bidi="ar-SA"/>
    </w:rPr>
  </w:style>
  <w:style w:type="character" w:customStyle="1" w:styleId="119">
    <w:name w:val="批注文字 字符"/>
    <w:qFormat/>
    <w:uiPriority w:val="99"/>
    <w:rPr>
      <w:kern w:val="2"/>
      <w:sz w:val="21"/>
      <w:szCs w:val="24"/>
    </w:rPr>
  </w:style>
  <w:style w:type="character" w:customStyle="1" w:styleId="120">
    <w:name w:val="正文文本 字符"/>
    <w:qFormat/>
    <w:locked/>
    <w:uiPriority w:val="0"/>
    <w:rPr>
      <w:kern w:val="2"/>
      <w:sz w:val="21"/>
      <w:szCs w:val="24"/>
    </w:rPr>
  </w:style>
  <w:style w:type="character" w:customStyle="1" w:styleId="121">
    <w:name w:val="标题 字符"/>
    <w:qFormat/>
    <w:uiPriority w:val="0"/>
    <w:rPr>
      <w:rFonts w:ascii="Arial" w:hAnsi="Arial" w:eastAsia="宋体"/>
      <w:b/>
      <w:sz w:val="32"/>
      <w:lang w:val="en-US" w:eastAsia="zh-CN" w:bidi="ar-SA"/>
    </w:rPr>
  </w:style>
  <w:style w:type="character" w:customStyle="1" w:styleId="122">
    <w:name w:val="纯文本 字符"/>
    <w:qFormat/>
    <w:uiPriority w:val="0"/>
    <w:rPr>
      <w:rFonts w:ascii="宋体" w:hAnsi="Courier New" w:eastAsia="宋体"/>
      <w:kern w:val="2"/>
      <w:sz w:val="21"/>
      <w:lang w:val="en-US" w:eastAsia="zh-CN" w:bidi="ar-SA"/>
    </w:rPr>
  </w:style>
  <w:style w:type="character" w:customStyle="1" w:styleId="123">
    <w:name w:val="批注主题 字符"/>
    <w:qFormat/>
    <w:uiPriority w:val="99"/>
    <w:rPr>
      <w:b/>
      <w:bCs/>
      <w:kern w:val="2"/>
      <w:sz w:val="21"/>
      <w:szCs w:val="24"/>
    </w:rPr>
  </w:style>
  <w:style w:type="paragraph" w:customStyle="1" w:styleId="124">
    <w:name w:val="Char Char Char Char Char Char11"/>
    <w:basedOn w:val="1"/>
    <w:qFormat/>
    <w:uiPriority w:val="0"/>
  </w:style>
  <w:style w:type="paragraph" w:customStyle="1" w:styleId="125">
    <w:name w:val="Char111"/>
    <w:basedOn w:val="1"/>
    <w:qFormat/>
    <w:uiPriority w:val="0"/>
  </w:style>
  <w:style w:type="paragraph" w:customStyle="1" w:styleId="126">
    <w:name w:val="Char Char Char Char Char Char Char Char Char Char Char Char Char Char Char Char Char Char1 Char Char Char Char11"/>
    <w:basedOn w:val="1"/>
    <w:qFormat/>
    <w:uiPriority w:val="0"/>
  </w:style>
  <w:style w:type="character" w:customStyle="1" w:styleId="127">
    <w:name w:val="文档结构图 字符"/>
    <w:qFormat/>
    <w:uiPriority w:val="0"/>
    <w:rPr>
      <w:rFonts w:ascii="宋体"/>
      <w:kern w:val="2"/>
      <w:sz w:val="18"/>
      <w:szCs w:val="18"/>
    </w:rPr>
  </w:style>
  <w:style w:type="character" w:customStyle="1" w:styleId="128">
    <w:name w:val="附件正文ffff Char"/>
    <w:link w:val="129"/>
    <w:qFormat/>
    <w:locked/>
    <w:uiPriority w:val="0"/>
    <w:rPr>
      <w:rFonts w:ascii="方正宋三简体" w:eastAsia="方正宋三简体"/>
      <w:spacing w:val="4"/>
      <w:kern w:val="2"/>
      <w:sz w:val="21"/>
    </w:rPr>
  </w:style>
  <w:style w:type="paragraph" w:customStyle="1" w:styleId="129">
    <w:name w:val="附件正文ffff"/>
    <w:basedOn w:val="1"/>
    <w:link w:val="128"/>
    <w:qFormat/>
    <w:uiPriority w:val="0"/>
    <w:pPr>
      <w:spacing w:line="340" w:lineRule="exact"/>
      <w:ind w:firstLine="436" w:firstLineChars="200"/>
    </w:pPr>
    <w:rPr>
      <w:rFonts w:ascii="方正宋三简体" w:eastAsia="方正宋三简体"/>
      <w:spacing w:val="4"/>
      <w:szCs w:val="20"/>
    </w:rPr>
  </w:style>
  <w:style w:type="paragraph" w:customStyle="1" w:styleId="130">
    <w:name w:val="Default"/>
    <w:link w:val="193"/>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131">
    <w:name w:val="正文文本 (2) + 10 pt37"/>
    <w:qFormat/>
    <w:uiPriority w:val="99"/>
    <w:rPr>
      <w:rFonts w:ascii="MingLiU" w:eastAsia="MingLiU" w:cs="MingLiU"/>
      <w:spacing w:val="0"/>
      <w:sz w:val="20"/>
      <w:szCs w:val="20"/>
      <w:u w:val="none"/>
    </w:rPr>
  </w:style>
  <w:style w:type="character" w:customStyle="1" w:styleId="132">
    <w:name w:val="脚注文本 Char1"/>
    <w:qFormat/>
    <w:uiPriority w:val="0"/>
    <w:rPr>
      <w:rFonts w:ascii="Times New Roman" w:hAnsi="Times New Roman" w:eastAsia="宋体"/>
      <w:sz w:val="18"/>
      <w:szCs w:val="20"/>
    </w:rPr>
  </w:style>
  <w:style w:type="character" w:customStyle="1" w:styleId="133">
    <w:name w:val="纯文本 Char1"/>
    <w:qFormat/>
    <w:locked/>
    <w:uiPriority w:val="0"/>
    <w:rPr>
      <w:rFonts w:ascii="宋体" w:hAnsi="Courier New"/>
    </w:rPr>
  </w:style>
  <w:style w:type="character" w:customStyle="1" w:styleId="134">
    <w:name w:val="Chapter head"/>
    <w:qFormat/>
    <w:uiPriority w:val="99"/>
    <w:rPr>
      <w:b/>
      <w:sz w:val="36"/>
    </w:rPr>
  </w:style>
  <w:style w:type="paragraph" w:customStyle="1" w:styleId="135">
    <w:name w:val="样式 13"/>
    <w:basedOn w:val="1"/>
    <w:qFormat/>
    <w:uiPriority w:val="99"/>
    <w:pPr>
      <w:spacing w:line="500" w:lineRule="exact"/>
      <w:ind w:firstLine="520" w:firstLineChars="200"/>
    </w:pPr>
    <w:rPr>
      <w:rFonts w:ascii="Calibri" w:hAnsi="Calibri"/>
      <w:sz w:val="26"/>
      <w:szCs w:val="20"/>
    </w:rPr>
  </w:style>
  <w:style w:type="paragraph" w:customStyle="1" w:styleId="136">
    <w:name w:val="_Style 25"/>
    <w:basedOn w:val="1"/>
    <w:qFormat/>
    <w:uiPriority w:val="99"/>
    <w:pPr>
      <w:ind w:firstLine="420" w:firstLineChars="200"/>
    </w:pPr>
    <w:rPr>
      <w:rFonts w:ascii="Calibri" w:hAnsi="Calibri"/>
      <w:szCs w:val="22"/>
    </w:rPr>
  </w:style>
  <w:style w:type="paragraph" w:customStyle="1" w:styleId="137">
    <w:name w:val="列出段落1"/>
    <w:basedOn w:val="1"/>
    <w:qFormat/>
    <w:uiPriority w:val="99"/>
    <w:pPr>
      <w:ind w:firstLine="420" w:firstLineChars="200"/>
    </w:pPr>
    <w:rPr>
      <w:rFonts w:ascii="Calibri" w:hAnsi="Calibri"/>
    </w:rPr>
  </w:style>
  <w:style w:type="character" w:customStyle="1" w:styleId="138">
    <w:name w:val="正文文本 Char1"/>
    <w:qFormat/>
    <w:uiPriority w:val="0"/>
    <w:rPr>
      <w:kern w:val="2"/>
      <w:sz w:val="21"/>
      <w:szCs w:val="24"/>
    </w:rPr>
  </w:style>
  <w:style w:type="character" w:customStyle="1" w:styleId="139">
    <w:name w:val="正文文本首行缩进 字符"/>
    <w:basedOn w:val="65"/>
    <w:link w:val="35"/>
    <w:qFormat/>
    <w:uiPriority w:val="0"/>
    <w:rPr>
      <w:kern w:val="2"/>
      <w:sz w:val="21"/>
      <w:szCs w:val="24"/>
    </w:rPr>
  </w:style>
  <w:style w:type="paragraph" w:customStyle="1" w:styleId="140">
    <w:name w:val="样式2"/>
    <w:basedOn w:val="4"/>
    <w:qFormat/>
    <w:uiPriority w:val="0"/>
    <w:pPr>
      <w:widowControl w:val="0"/>
      <w:tabs>
        <w:tab w:val="left" w:pos="3229"/>
      </w:tabs>
      <w:spacing w:before="260" w:after="260" w:line="412" w:lineRule="auto"/>
      <w:ind w:firstLine="137" w:firstLineChars="49"/>
      <w:jc w:val="both"/>
    </w:pPr>
    <w:rPr>
      <w:rFonts w:ascii="黑体" w:hAnsi="宋体" w:eastAsia="黑体"/>
      <w:b w:val="0"/>
      <w:bCs/>
      <w:i/>
      <w:kern w:val="2"/>
      <w:sz w:val="28"/>
      <w:szCs w:val="28"/>
      <w:lang w:val="en-US"/>
    </w:rPr>
  </w:style>
  <w:style w:type="paragraph" w:customStyle="1" w:styleId="141">
    <w:name w:val="样式 标题 3 + (中文) 黑体 小四 非加粗 段前: 7.8 磅 段后: 0 磅 行距: 固定值 20 磅"/>
    <w:basedOn w:val="4"/>
    <w:qFormat/>
    <w:uiPriority w:val="0"/>
    <w:pPr>
      <w:widowControl w:val="0"/>
      <w:tabs>
        <w:tab w:val="left" w:pos="3229"/>
      </w:tabs>
      <w:spacing w:before="0" w:after="0" w:line="400" w:lineRule="exact"/>
      <w:ind w:firstLine="137" w:firstLineChars="49"/>
      <w:jc w:val="both"/>
    </w:pPr>
    <w:rPr>
      <w:rFonts w:ascii="黑体" w:hAnsi="宋体" w:eastAsia="黑体" w:cs="宋体"/>
      <w:b w:val="0"/>
      <w:kern w:val="2"/>
      <w:sz w:val="24"/>
      <w:lang w:val="en-US"/>
    </w:rPr>
  </w:style>
  <w:style w:type="paragraph" w:customStyle="1" w:styleId="142">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lang w:val="en-US"/>
    </w:rPr>
  </w:style>
  <w:style w:type="paragraph" w:customStyle="1" w:styleId="143">
    <w:name w:val="样式 标题 2 + Times New Roman 四号 非加粗 段前: 5 磅 段后: 0 磅 行距: 固定值 20..."/>
    <w:basedOn w:val="3"/>
    <w:qFormat/>
    <w:uiPriority w:val="0"/>
    <w:pPr>
      <w:spacing w:before="100" w:after="0" w:line="400" w:lineRule="exact"/>
      <w:jc w:val="both"/>
    </w:pPr>
    <w:rPr>
      <w:rFonts w:ascii="Times New Roman" w:hAnsi="Times New Roman" w:cs="宋体"/>
      <w:bCs w:val="0"/>
      <w:i w:val="0"/>
      <w:iCs w:val="0"/>
      <w:sz w:val="28"/>
      <w:lang w:val="en-US"/>
    </w:rPr>
  </w:style>
  <w:style w:type="paragraph" w:customStyle="1" w:styleId="144">
    <w:name w:val="Char12"/>
    <w:basedOn w:val="1"/>
    <w:qFormat/>
    <w:uiPriority w:val="0"/>
    <w:rPr>
      <w:szCs w:val="21"/>
    </w:rPr>
  </w:style>
  <w:style w:type="paragraph" w:customStyle="1" w:styleId="145">
    <w:name w:val="表1"/>
    <w:basedOn w:val="1"/>
    <w:qFormat/>
    <w:uiPriority w:val="0"/>
    <w:pPr>
      <w:tabs>
        <w:tab w:val="left" w:pos="360"/>
      </w:tabs>
      <w:overflowPunct w:val="0"/>
      <w:autoSpaceDE w:val="0"/>
      <w:autoSpaceDN w:val="0"/>
      <w:adjustRightInd w:val="0"/>
      <w:spacing w:before="200" w:line="320" w:lineRule="atLeast"/>
    </w:pPr>
    <w:rPr>
      <w:kern w:val="0"/>
      <w:sz w:val="24"/>
      <w:szCs w:val="20"/>
    </w:rPr>
  </w:style>
  <w:style w:type="paragraph" w:customStyle="1" w:styleId="146">
    <w:name w:val="xl27"/>
    <w:basedOn w:val="1"/>
    <w:qFormat/>
    <w:uiPriority w:val="0"/>
    <w:pPr>
      <w:widowControl/>
      <w:spacing w:before="100" w:beforeAutospacing="1" w:after="100" w:afterAutospacing="1"/>
      <w:jc w:val="center"/>
    </w:pPr>
    <w:rPr>
      <w:rFonts w:ascii="Arial Unicode MS" w:hAnsi="Arial Unicode MS" w:eastAsia="Arial Unicode MS"/>
      <w:kern w:val="0"/>
      <w:sz w:val="24"/>
      <w:szCs w:val="20"/>
    </w:rPr>
  </w:style>
  <w:style w:type="paragraph" w:customStyle="1" w:styleId="147">
    <w:name w:val="A1居中 小标"/>
    <w:basedOn w:val="2"/>
    <w:qFormat/>
    <w:uiPriority w:val="0"/>
    <w:pPr>
      <w:keepNext w:val="0"/>
      <w:keepLines w:val="0"/>
      <w:adjustRightInd w:val="0"/>
      <w:spacing w:before="120" w:after="360" w:line="720" w:lineRule="atLeast"/>
      <w:jc w:val="center"/>
    </w:pPr>
    <w:rPr>
      <w:rFonts w:eastAsia="黑体"/>
      <w:kern w:val="0"/>
      <w:sz w:val="30"/>
      <w:szCs w:val="20"/>
      <w:lang w:val="en-US"/>
    </w:rPr>
  </w:style>
  <w:style w:type="paragraph" w:customStyle="1" w:styleId="148">
    <w:name w:val="Char2"/>
    <w:basedOn w:val="1"/>
    <w:qFormat/>
    <w:uiPriority w:val="0"/>
  </w:style>
  <w:style w:type="paragraph" w:customStyle="1" w:styleId="149">
    <w:name w:val="p0"/>
    <w:basedOn w:val="1"/>
    <w:qFormat/>
    <w:uiPriority w:val="0"/>
    <w:pPr>
      <w:widowControl/>
    </w:pPr>
    <w:rPr>
      <w:kern w:val="0"/>
      <w:szCs w:val="21"/>
    </w:rPr>
  </w:style>
  <w:style w:type="character" w:customStyle="1" w:styleId="150">
    <w:name w:val="B小节序号"/>
    <w:qFormat/>
    <w:uiPriority w:val="0"/>
    <w:rPr>
      <w:sz w:val="28"/>
    </w:rPr>
  </w:style>
  <w:style w:type="paragraph" w:styleId="151">
    <w:name w:val="List Paragraph"/>
    <w:basedOn w:val="1"/>
    <w:qFormat/>
    <w:uiPriority w:val="34"/>
    <w:pPr>
      <w:ind w:firstLine="420" w:firstLineChars="200"/>
    </w:pPr>
  </w:style>
  <w:style w:type="character" w:customStyle="1" w:styleId="152">
    <w:name w:val="标题 4 Char"/>
    <w:qFormat/>
    <w:locked/>
    <w:uiPriority w:val="0"/>
    <w:rPr>
      <w:i/>
      <w:sz w:val="21"/>
    </w:rPr>
  </w:style>
  <w:style w:type="character" w:customStyle="1" w:styleId="153">
    <w:name w:val="标题 5 Char"/>
    <w:qFormat/>
    <w:uiPriority w:val="99"/>
    <w:rPr>
      <w:rFonts w:ascii="Calibri" w:hAnsi="Calibri"/>
      <w:b/>
      <w:bCs/>
      <w:kern w:val="2"/>
      <w:sz w:val="28"/>
      <w:szCs w:val="28"/>
    </w:rPr>
  </w:style>
  <w:style w:type="character" w:customStyle="1" w:styleId="154">
    <w:name w:val="标题 6 Char"/>
    <w:qFormat/>
    <w:uiPriority w:val="0"/>
    <w:rPr>
      <w:rFonts w:ascii="Arial" w:hAnsi="Arial" w:eastAsia="黑体"/>
      <w:b/>
      <w:bCs/>
      <w:sz w:val="24"/>
      <w:szCs w:val="24"/>
    </w:rPr>
  </w:style>
  <w:style w:type="character" w:customStyle="1" w:styleId="155">
    <w:name w:val="标题 7 Char"/>
    <w:qFormat/>
    <w:uiPriority w:val="0"/>
    <w:rPr>
      <w:b/>
      <w:bCs/>
      <w:sz w:val="24"/>
      <w:szCs w:val="24"/>
    </w:rPr>
  </w:style>
  <w:style w:type="character" w:customStyle="1" w:styleId="156">
    <w:name w:val="标题 8 Char"/>
    <w:qFormat/>
    <w:uiPriority w:val="0"/>
    <w:rPr>
      <w:rFonts w:ascii="Arial" w:hAnsi="Arial" w:eastAsia="黑体"/>
      <w:sz w:val="24"/>
      <w:szCs w:val="24"/>
    </w:rPr>
  </w:style>
  <w:style w:type="character" w:customStyle="1" w:styleId="157">
    <w:name w:val="标题 9 Char"/>
    <w:qFormat/>
    <w:uiPriority w:val="0"/>
    <w:rPr>
      <w:rFonts w:ascii="Arial" w:hAnsi="Arial" w:eastAsia="黑体"/>
      <w:sz w:val="21"/>
      <w:szCs w:val="21"/>
    </w:rPr>
  </w:style>
  <w:style w:type="character" w:customStyle="1" w:styleId="158">
    <w:name w:val="正文文本缩进 Char"/>
    <w:qFormat/>
    <w:locked/>
    <w:uiPriority w:val="0"/>
    <w:rPr>
      <w:kern w:val="2"/>
      <w:sz w:val="21"/>
      <w:szCs w:val="24"/>
    </w:rPr>
  </w:style>
  <w:style w:type="character" w:customStyle="1" w:styleId="159">
    <w:name w:val="正文文本缩进 3 Char"/>
    <w:qFormat/>
    <w:locked/>
    <w:uiPriority w:val="0"/>
    <w:rPr>
      <w:kern w:val="2"/>
      <w:sz w:val="16"/>
      <w:szCs w:val="16"/>
    </w:rPr>
  </w:style>
  <w:style w:type="character" w:customStyle="1" w:styleId="160">
    <w:name w:val="正文文本 Char"/>
    <w:qFormat/>
    <w:locked/>
    <w:uiPriority w:val="0"/>
    <w:rPr>
      <w:kern w:val="2"/>
      <w:sz w:val="21"/>
      <w:szCs w:val="24"/>
    </w:rPr>
  </w:style>
  <w:style w:type="character" w:customStyle="1" w:styleId="161">
    <w:name w:val="日期 Char"/>
    <w:qFormat/>
    <w:uiPriority w:val="0"/>
    <w:rPr>
      <w:kern w:val="2"/>
      <w:sz w:val="24"/>
    </w:rPr>
  </w:style>
  <w:style w:type="character" w:customStyle="1" w:styleId="162">
    <w:name w:val="正文文本缩进 2 Char"/>
    <w:qFormat/>
    <w:locked/>
    <w:uiPriority w:val="0"/>
    <w:rPr>
      <w:rFonts w:ascii="宋体" w:hAnsi="宋体"/>
      <w:kern w:val="2"/>
      <w:sz w:val="27"/>
      <w:szCs w:val="27"/>
    </w:rPr>
  </w:style>
  <w:style w:type="character" w:customStyle="1" w:styleId="163">
    <w:name w:val="批注框文本 Char"/>
    <w:qFormat/>
    <w:locked/>
    <w:uiPriority w:val="0"/>
    <w:rPr>
      <w:kern w:val="2"/>
      <w:sz w:val="18"/>
      <w:szCs w:val="18"/>
    </w:rPr>
  </w:style>
  <w:style w:type="character" w:customStyle="1" w:styleId="164">
    <w:name w:val="正文文本 2 Char"/>
    <w:qFormat/>
    <w:uiPriority w:val="0"/>
    <w:rPr>
      <w:kern w:val="2"/>
      <w:sz w:val="21"/>
      <w:szCs w:val="24"/>
    </w:rPr>
  </w:style>
  <w:style w:type="character" w:customStyle="1" w:styleId="165">
    <w:name w:val="正文首行缩进 Char"/>
    <w:qFormat/>
    <w:uiPriority w:val="0"/>
  </w:style>
  <w:style w:type="paragraph" w:customStyle="1" w:styleId="166">
    <w:name w:val="标题 21"/>
    <w:basedOn w:val="1"/>
    <w:qFormat/>
    <w:uiPriority w:val="1"/>
    <w:pPr>
      <w:autoSpaceDE w:val="0"/>
      <w:autoSpaceDN w:val="0"/>
      <w:spacing w:before="41"/>
      <w:ind w:left="2661"/>
      <w:jc w:val="left"/>
      <w:outlineLvl w:val="2"/>
    </w:pPr>
    <w:rPr>
      <w:rFonts w:ascii="黑体" w:hAnsi="黑体" w:eastAsia="黑体" w:cs="黑体"/>
      <w:kern w:val="0"/>
      <w:sz w:val="42"/>
      <w:szCs w:val="42"/>
      <w:lang w:val="zh-CN" w:bidi="zh-CN"/>
    </w:rPr>
  </w:style>
  <w:style w:type="paragraph" w:customStyle="1" w:styleId="167">
    <w:name w:val="标题 11"/>
    <w:basedOn w:val="1"/>
    <w:qFormat/>
    <w:uiPriority w:val="1"/>
    <w:pPr>
      <w:autoSpaceDE w:val="0"/>
      <w:autoSpaceDN w:val="0"/>
      <w:spacing w:before="169"/>
      <w:jc w:val="left"/>
      <w:outlineLvl w:val="1"/>
    </w:pPr>
    <w:rPr>
      <w:rFonts w:ascii="黑体" w:hAnsi="黑体" w:eastAsia="黑体" w:cs="黑体"/>
      <w:kern w:val="0"/>
      <w:sz w:val="56"/>
      <w:szCs w:val="56"/>
      <w:lang w:val="zh-CN" w:bidi="zh-CN"/>
    </w:rPr>
  </w:style>
  <w:style w:type="paragraph" w:customStyle="1" w:styleId="168">
    <w:name w:val="标题 31"/>
    <w:basedOn w:val="1"/>
    <w:qFormat/>
    <w:uiPriority w:val="1"/>
    <w:pPr>
      <w:autoSpaceDE w:val="0"/>
      <w:autoSpaceDN w:val="0"/>
      <w:spacing w:before="45"/>
      <w:ind w:left="1881"/>
      <w:jc w:val="left"/>
      <w:outlineLvl w:val="3"/>
    </w:pPr>
    <w:rPr>
      <w:rFonts w:ascii="黑体" w:hAnsi="黑体" w:eastAsia="黑体" w:cs="黑体"/>
      <w:kern w:val="0"/>
      <w:sz w:val="40"/>
      <w:szCs w:val="40"/>
      <w:lang w:val="zh-CN" w:bidi="zh-CN"/>
    </w:rPr>
  </w:style>
  <w:style w:type="paragraph" w:customStyle="1" w:styleId="169">
    <w:name w:val="标题 41"/>
    <w:basedOn w:val="1"/>
    <w:qFormat/>
    <w:uiPriority w:val="1"/>
    <w:pPr>
      <w:autoSpaceDE w:val="0"/>
      <w:autoSpaceDN w:val="0"/>
      <w:spacing w:before="30"/>
      <w:ind w:left="359" w:right="347"/>
      <w:jc w:val="center"/>
      <w:outlineLvl w:val="4"/>
    </w:pPr>
    <w:rPr>
      <w:rFonts w:ascii="宋体" w:hAnsi="宋体" w:cs="宋体"/>
      <w:b/>
      <w:bCs/>
      <w:kern w:val="0"/>
      <w:sz w:val="38"/>
      <w:szCs w:val="38"/>
      <w:lang w:val="zh-CN" w:bidi="zh-CN"/>
    </w:rPr>
  </w:style>
  <w:style w:type="paragraph" w:customStyle="1" w:styleId="170">
    <w:name w:val="标题 51"/>
    <w:basedOn w:val="1"/>
    <w:qFormat/>
    <w:uiPriority w:val="1"/>
    <w:pPr>
      <w:autoSpaceDE w:val="0"/>
      <w:autoSpaceDN w:val="0"/>
      <w:ind w:left="42"/>
      <w:jc w:val="center"/>
      <w:outlineLvl w:val="5"/>
    </w:pPr>
    <w:rPr>
      <w:rFonts w:ascii="黑体" w:hAnsi="黑体" w:eastAsia="黑体" w:cs="黑体"/>
      <w:kern w:val="0"/>
      <w:sz w:val="36"/>
      <w:szCs w:val="36"/>
      <w:lang w:val="zh-CN" w:bidi="zh-CN"/>
    </w:rPr>
  </w:style>
  <w:style w:type="paragraph" w:customStyle="1" w:styleId="171">
    <w:name w:val="标题 61"/>
    <w:basedOn w:val="1"/>
    <w:qFormat/>
    <w:uiPriority w:val="1"/>
    <w:pPr>
      <w:autoSpaceDE w:val="0"/>
      <w:autoSpaceDN w:val="0"/>
      <w:spacing w:before="55"/>
      <w:jc w:val="left"/>
      <w:outlineLvl w:val="6"/>
    </w:pPr>
    <w:rPr>
      <w:rFonts w:ascii="黑体" w:hAnsi="黑体" w:eastAsia="黑体" w:cs="黑体"/>
      <w:kern w:val="0"/>
      <w:sz w:val="32"/>
      <w:szCs w:val="32"/>
      <w:lang w:val="zh-CN" w:bidi="zh-CN"/>
    </w:rPr>
  </w:style>
  <w:style w:type="paragraph" w:customStyle="1" w:styleId="172">
    <w:name w:val="标题 71"/>
    <w:basedOn w:val="1"/>
    <w:qFormat/>
    <w:uiPriority w:val="1"/>
    <w:pPr>
      <w:autoSpaceDE w:val="0"/>
      <w:autoSpaceDN w:val="0"/>
      <w:spacing w:before="66"/>
      <w:ind w:left="1199"/>
      <w:jc w:val="left"/>
      <w:outlineLvl w:val="7"/>
    </w:pPr>
    <w:rPr>
      <w:rFonts w:ascii="黑体" w:hAnsi="黑体" w:eastAsia="黑体" w:cs="黑体"/>
      <w:kern w:val="0"/>
      <w:sz w:val="31"/>
      <w:szCs w:val="31"/>
      <w:u w:val="single" w:color="000000"/>
      <w:lang w:val="zh-CN" w:bidi="zh-CN"/>
    </w:rPr>
  </w:style>
  <w:style w:type="paragraph" w:customStyle="1" w:styleId="173">
    <w:name w:val="标题 81"/>
    <w:basedOn w:val="1"/>
    <w:qFormat/>
    <w:uiPriority w:val="1"/>
    <w:pPr>
      <w:autoSpaceDE w:val="0"/>
      <w:autoSpaceDN w:val="0"/>
      <w:spacing w:before="200"/>
      <w:ind w:left="3999"/>
      <w:jc w:val="left"/>
      <w:outlineLvl w:val="8"/>
    </w:pPr>
    <w:rPr>
      <w:rFonts w:ascii="黑体" w:hAnsi="黑体" w:eastAsia="黑体" w:cs="黑体"/>
      <w:b/>
      <w:bCs/>
      <w:kern w:val="0"/>
      <w:sz w:val="30"/>
      <w:szCs w:val="30"/>
      <w:lang w:val="zh-CN" w:bidi="zh-CN"/>
    </w:rPr>
  </w:style>
  <w:style w:type="paragraph" w:customStyle="1" w:styleId="174">
    <w:name w:val="标题 91"/>
    <w:basedOn w:val="1"/>
    <w:qFormat/>
    <w:uiPriority w:val="1"/>
    <w:pPr>
      <w:autoSpaceDE w:val="0"/>
      <w:autoSpaceDN w:val="0"/>
      <w:ind w:right="1061"/>
      <w:jc w:val="center"/>
    </w:pPr>
    <w:rPr>
      <w:rFonts w:ascii="黑体" w:hAnsi="黑体" w:eastAsia="黑体" w:cs="黑体"/>
      <w:kern w:val="0"/>
      <w:sz w:val="30"/>
      <w:szCs w:val="30"/>
      <w:lang w:val="zh-CN" w:bidi="zh-CN"/>
    </w:rPr>
  </w:style>
  <w:style w:type="paragraph" w:customStyle="1" w:styleId="175">
    <w:name w:val="Table Paragraph"/>
    <w:basedOn w:val="1"/>
    <w:qFormat/>
    <w:uiPriority w:val="1"/>
    <w:pPr>
      <w:autoSpaceDE w:val="0"/>
      <w:autoSpaceDN w:val="0"/>
      <w:jc w:val="left"/>
    </w:pPr>
    <w:rPr>
      <w:rFonts w:ascii="宋体" w:hAnsi="宋体" w:cs="宋体"/>
      <w:kern w:val="0"/>
      <w:sz w:val="22"/>
      <w:szCs w:val="22"/>
      <w:lang w:val="zh-CN" w:bidi="zh-CN"/>
    </w:rPr>
  </w:style>
  <w:style w:type="character" w:customStyle="1" w:styleId="176">
    <w:name w:val="未处理的提及2"/>
    <w:unhideWhenUsed/>
    <w:qFormat/>
    <w:uiPriority w:val="99"/>
    <w:rPr>
      <w:color w:val="808080"/>
      <w:shd w:val="clear" w:color="auto" w:fill="E6E6E6"/>
    </w:rPr>
  </w:style>
  <w:style w:type="character" w:customStyle="1" w:styleId="177">
    <w:name w:val="font01"/>
    <w:qFormat/>
    <w:uiPriority w:val="0"/>
    <w:rPr>
      <w:rFonts w:hint="eastAsia" w:ascii="宋体" w:hAnsi="宋体" w:eastAsia="宋体" w:cs="宋体"/>
      <w:color w:val="000000"/>
      <w:sz w:val="20"/>
      <w:szCs w:val="20"/>
      <w:u w:val="none"/>
    </w:rPr>
  </w:style>
  <w:style w:type="paragraph" w:customStyle="1" w:styleId="178">
    <w:name w:val="Char Char Char Char Char Char Char Char Char Char Char Char Char Char Char Char Char Char1 Char Char Char Char1"/>
    <w:basedOn w:val="1"/>
    <w:qFormat/>
    <w:uiPriority w:val="0"/>
  </w:style>
  <w:style w:type="paragraph" w:customStyle="1" w:styleId="179">
    <w:name w:val="TOC 标题1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80">
    <w:name w:val="Char21"/>
    <w:basedOn w:val="1"/>
    <w:qFormat/>
    <w:uiPriority w:val="0"/>
  </w:style>
  <w:style w:type="paragraph" w:customStyle="1" w:styleId="181">
    <w:name w:val="Char Char Char Char Char Char1"/>
    <w:basedOn w:val="1"/>
    <w:qFormat/>
    <w:uiPriority w:val="0"/>
  </w:style>
  <w:style w:type="paragraph" w:customStyle="1" w:styleId="182">
    <w:name w:val="Char Char Char1"/>
    <w:basedOn w:val="1"/>
    <w:qFormat/>
    <w:uiPriority w:val="0"/>
    <w:rPr>
      <w:szCs w:val="20"/>
    </w:rPr>
  </w:style>
  <w:style w:type="paragraph" w:customStyle="1" w:styleId="183">
    <w:name w:val="Char11"/>
    <w:basedOn w:val="1"/>
    <w:qFormat/>
    <w:uiPriority w:val="0"/>
  </w:style>
  <w:style w:type="paragraph" w:customStyle="1" w:styleId="184">
    <w:name w:val="wb"/>
    <w:basedOn w:val="1"/>
    <w:qFormat/>
    <w:uiPriority w:val="99"/>
    <w:pPr>
      <w:widowControl/>
      <w:spacing w:before="100" w:beforeAutospacing="1" w:after="100" w:afterAutospacing="1"/>
      <w:jc w:val="left"/>
    </w:pPr>
    <w:rPr>
      <w:rFonts w:ascii="??" w:hAnsi="??" w:cs="宋体"/>
      <w:color w:val="000000"/>
      <w:kern w:val="0"/>
      <w:sz w:val="24"/>
    </w:rPr>
  </w:style>
  <w:style w:type="character" w:customStyle="1" w:styleId="185">
    <w:name w:val="正文首行缩进 2 Char"/>
    <w:qFormat/>
    <w:uiPriority w:val="0"/>
  </w:style>
  <w:style w:type="character" w:customStyle="1" w:styleId="186">
    <w:name w:val="正文文本首行缩进 2 字符"/>
    <w:basedOn w:val="57"/>
    <w:link w:val="36"/>
    <w:qFormat/>
    <w:uiPriority w:val="0"/>
    <w:rPr>
      <w:kern w:val="2"/>
      <w:sz w:val="21"/>
      <w:szCs w:val="24"/>
    </w:rPr>
  </w:style>
  <w:style w:type="character" w:customStyle="1" w:styleId="187">
    <w:name w:val="未处理的提及3"/>
    <w:basedOn w:val="39"/>
    <w:semiHidden/>
    <w:unhideWhenUsed/>
    <w:qFormat/>
    <w:uiPriority w:val="99"/>
    <w:rPr>
      <w:color w:val="605E5C"/>
      <w:shd w:val="clear" w:color="auto" w:fill="E1DFDD"/>
    </w:rPr>
  </w:style>
  <w:style w:type="character" w:customStyle="1" w:styleId="188">
    <w:name w:val="批注文字 字符1"/>
    <w:qFormat/>
    <w:uiPriority w:val="0"/>
    <w:rPr>
      <w:kern w:val="2"/>
      <w:sz w:val="21"/>
      <w:szCs w:val="24"/>
    </w:rPr>
  </w:style>
  <w:style w:type="character" w:customStyle="1" w:styleId="189">
    <w:name w:val="正文文本缩进 3 字符"/>
    <w:qFormat/>
    <w:locked/>
    <w:uiPriority w:val="0"/>
    <w:rPr>
      <w:kern w:val="2"/>
      <w:sz w:val="16"/>
      <w:szCs w:val="16"/>
    </w:rPr>
  </w:style>
  <w:style w:type="character" w:customStyle="1" w:styleId="190">
    <w:name w:val="Unresolved Mention"/>
    <w:basedOn w:val="39"/>
    <w:semiHidden/>
    <w:unhideWhenUsed/>
    <w:qFormat/>
    <w:uiPriority w:val="99"/>
    <w:rPr>
      <w:color w:val="605E5C"/>
      <w:shd w:val="clear" w:color="auto" w:fill="E1DFDD"/>
    </w:rPr>
  </w:style>
  <w:style w:type="paragraph" w:customStyle="1" w:styleId="191">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192">
    <w:name w:val="脚注文本 Char"/>
    <w:qFormat/>
    <w:uiPriority w:val="0"/>
    <w:rPr>
      <w:sz w:val="18"/>
    </w:rPr>
  </w:style>
  <w:style w:type="character" w:customStyle="1" w:styleId="193">
    <w:name w:val="Default Char"/>
    <w:link w:val="130"/>
    <w:qFormat/>
    <w:uiPriority w:val="99"/>
    <w:rPr>
      <w:rFonts w:ascii="宋体" w:hAnsi="Calibri" w:cs="宋体"/>
      <w:color w:val="000000"/>
      <w:sz w:val="24"/>
      <w:szCs w:val="24"/>
    </w:rPr>
  </w:style>
  <w:style w:type="character" w:customStyle="1" w:styleId="194">
    <w:name w:val="标题 1 Char"/>
    <w:qFormat/>
    <w:uiPriority w:val="0"/>
    <w:rPr>
      <w:b/>
      <w:bCs/>
      <w:kern w:val="44"/>
      <w:sz w:val="44"/>
      <w:szCs w:val="44"/>
    </w:rPr>
  </w:style>
  <w:style w:type="paragraph" w:customStyle="1" w:styleId="195">
    <w:name w:val="Normal_45_0"/>
    <w:qFormat/>
    <w:uiPriority w:val="0"/>
    <w:pPr>
      <w:spacing w:before="120" w:after="240"/>
      <w:jc w:val="both"/>
    </w:pPr>
    <w:rPr>
      <w:rFonts w:ascii="Calibri" w:hAnsi="Calibri" w:eastAsia="Calibri" w:cs="Times New Roman"/>
      <w:sz w:val="22"/>
      <w:szCs w:val="22"/>
      <w:lang w:val="en-US" w:eastAsia="en-US" w:bidi="ar-SA"/>
    </w:rPr>
  </w:style>
  <w:style w:type="paragraph" w:customStyle="1" w:styleId="196">
    <w:name w:val="Normal_9"/>
    <w:qFormat/>
    <w:uiPriority w:val="0"/>
    <w:pPr>
      <w:spacing w:before="120" w:after="240"/>
      <w:jc w:val="both"/>
    </w:pPr>
    <w:rPr>
      <w:rFonts w:ascii="Calibri" w:hAnsi="Calibri" w:eastAsia="Calibri" w:cs="Times New Roman"/>
      <w:sz w:val="22"/>
      <w:szCs w:val="22"/>
      <w:lang w:val="en-US" w:eastAsia="en-US" w:bidi="ar-SA"/>
    </w:rPr>
  </w:style>
  <w:style w:type="character" w:customStyle="1" w:styleId="197">
    <w:name w:val="正文缩进 字符"/>
    <w:basedOn w:val="39"/>
    <w:link w:val="6"/>
    <w:qFormat/>
    <w:uiPriority w:val="0"/>
    <w:rPr>
      <w:kern w:val="2"/>
      <w:sz w:val="21"/>
      <w:szCs w:val="24"/>
    </w:rPr>
  </w:style>
  <w:style w:type="paragraph" w:customStyle="1" w:styleId="198">
    <w:name w:val="WPSOffice手动目录 1"/>
    <w:qFormat/>
    <w:uiPriority w:val="0"/>
    <w:pPr>
      <w:ind w:leftChars="0"/>
    </w:pPr>
    <w:rPr>
      <w:rFonts w:ascii="Times New Roman" w:hAnsi="Times New Roman" w:eastAsia="宋体" w:cs="Times New Roman"/>
      <w:sz w:val="20"/>
      <w:szCs w:val="20"/>
    </w:rPr>
  </w:style>
  <w:style w:type="paragraph" w:customStyle="1" w:styleId="199">
    <w:name w:val="WPSOffice手动目录 2"/>
    <w:qFormat/>
    <w:uiPriority w:val="0"/>
    <w:pPr>
      <w:ind w:leftChars="200"/>
    </w:pPr>
    <w:rPr>
      <w:rFonts w:ascii="Times New Roman" w:hAnsi="Times New Roman" w:eastAsia="宋体" w:cs="Times New Roman"/>
      <w:sz w:val="20"/>
      <w:szCs w:val="20"/>
    </w:rPr>
  </w:style>
  <w:style w:type="character" w:customStyle="1" w:styleId="200">
    <w:name w:val="font21"/>
    <w:basedOn w:val="39"/>
    <w:qFormat/>
    <w:uiPriority w:val="0"/>
    <w:rPr>
      <w:rFonts w:hint="default" w:ascii="Times New Roman" w:hAnsi="Times New Roman" w:cs="Times New Roman"/>
      <w:color w:val="000000"/>
      <w:sz w:val="24"/>
      <w:szCs w:val="24"/>
      <w:u w:val="none"/>
    </w:rPr>
  </w:style>
  <w:style w:type="character" w:customStyle="1" w:styleId="201">
    <w:name w:val="font11"/>
    <w:basedOn w:val="3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2.xml"/><Relationship Id="rId60" Type="http://schemas.openxmlformats.org/officeDocument/2006/relationships/fontTable" Target="fontTable.xml"/><Relationship Id="rId6" Type="http://schemas.openxmlformats.org/officeDocument/2006/relationships/footer" Target="footer2.xml"/><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theme" Target="theme/theme1.xml"/><Relationship Id="rId56" Type="http://schemas.openxmlformats.org/officeDocument/2006/relationships/header" Target="header20.xml"/><Relationship Id="rId55" Type="http://schemas.openxmlformats.org/officeDocument/2006/relationships/footer" Target="footer33.xml"/><Relationship Id="rId54" Type="http://schemas.openxmlformats.org/officeDocument/2006/relationships/footer" Target="footer32.xml"/><Relationship Id="rId53" Type="http://schemas.openxmlformats.org/officeDocument/2006/relationships/footer" Target="footer31.xml"/><Relationship Id="rId52" Type="http://schemas.openxmlformats.org/officeDocument/2006/relationships/footer" Target="footer30.xml"/><Relationship Id="rId51" Type="http://schemas.openxmlformats.org/officeDocument/2006/relationships/footer" Target="footer29.xml"/><Relationship Id="rId50" Type="http://schemas.openxmlformats.org/officeDocument/2006/relationships/header" Target="header19.xml"/><Relationship Id="rId5" Type="http://schemas.openxmlformats.org/officeDocument/2006/relationships/footer" Target="footer1.xml"/><Relationship Id="rId49" Type="http://schemas.openxmlformats.org/officeDocument/2006/relationships/header" Target="header18.xml"/><Relationship Id="rId48" Type="http://schemas.openxmlformats.org/officeDocument/2006/relationships/footer" Target="footer28.xml"/><Relationship Id="rId47" Type="http://schemas.openxmlformats.org/officeDocument/2006/relationships/footer" Target="footer27.xml"/><Relationship Id="rId46" Type="http://schemas.openxmlformats.org/officeDocument/2006/relationships/header" Target="header17.xml"/><Relationship Id="rId45" Type="http://schemas.openxmlformats.org/officeDocument/2006/relationships/footer" Target="footer26.xml"/><Relationship Id="rId44" Type="http://schemas.openxmlformats.org/officeDocument/2006/relationships/footer" Target="footer25.xml"/><Relationship Id="rId43" Type="http://schemas.openxmlformats.org/officeDocument/2006/relationships/header" Target="header16.xml"/><Relationship Id="rId42" Type="http://schemas.openxmlformats.org/officeDocument/2006/relationships/footer" Target="footer24.xml"/><Relationship Id="rId41" Type="http://schemas.openxmlformats.org/officeDocument/2006/relationships/footer" Target="footer23.xml"/><Relationship Id="rId40" Type="http://schemas.openxmlformats.org/officeDocument/2006/relationships/header" Target="header15.xml"/><Relationship Id="rId4" Type="http://schemas.openxmlformats.org/officeDocument/2006/relationships/header" Target="header1.xml"/><Relationship Id="rId39" Type="http://schemas.openxmlformats.org/officeDocument/2006/relationships/footer" Target="footer22.xml"/><Relationship Id="rId38" Type="http://schemas.openxmlformats.org/officeDocument/2006/relationships/footer" Target="footer21.xml"/><Relationship Id="rId37" Type="http://schemas.openxmlformats.org/officeDocument/2006/relationships/header" Target="header14.xml"/><Relationship Id="rId36" Type="http://schemas.openxmlformats.org/officeDocument/2006/relationships/footer" Target="footer20.xml"/><Relationship Id="rId35" Type="http://schemas.openxmlformats.org/officeDocument/2006/relationships/footer" Target="footer19.xml"/><Relationship Id="rId34" Type="http://schemas.openxmlformats.org/officeDocument/2006/relationships/footer" Target="footer18.xml"/><Relationship Id="rId33" Type="http://schemas.openxmlformats.org/officeDocument/2006/relationships/header" Target="header13.xml"/><Relationship Id="rId32" Type="http://schemas.openxmlformats.org/officeDocument/2006/relationships/footer" Target="footer17.xml"/><Relationship Id="rId31" Type="http://schemas.openxmlformats.org/officeDocument/2006/relationships/footer" Target="footer16.xml"/><Relationship Id="rId30" Type="http://schemas.openxmlformats.org/officeDocument/2006/relationships/header" Target="header12.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header" Target="header11.xml"/><Relationship Id="rId26" Type="http://schemas.openxmlformats.org/officeDocument/2006/relationships/footer" Target="footer13.xml"/><Relationship Id="rId25" Type="http://schemas.openxmlformats.org/officeDocument/2006/relationships/footer" Target="footer12.xml"/><Relationship Id="rId24" Type="http://schemas.openxmlformats.org/officeDocument/2006/relationships/header" Target="header10.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5.xml"/><Relationship Id="rId12" Type="http://schemas.openxmlformats.org/officeDocument/2006/relationships/footer" Target="foot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283</Pages>
  <Words>4846</Words>
  <Characters>5254</Characters>
  <Lines>1224</Lines>
  <Paragraphs>344</Paragraphs>
  <TotalTime>9</TotalTime>
  <ScaleCrop>false</ScaleCrop>
  <LinksUpToDate>false</LinksUpToDate>
  <CharactersWithSpaces>6733</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2019-11-30T15:09:00Z</dcterms:created>
  <dc:creator>袁静</dc:creator>
  <cp:lastModifiedBy>user</cp:lastModifiedBy>
  <cp:lastPrinted>2025-09-16T09:20:00Z</cp:lastPrinted>
  <dcterms:modified xsi:type="dcterms:W3CDTF">2025-09-26T10:48:00Z</dcterms:modified>
  <dc:title>公路工程标准施工招标文件</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1B1B951DF7AE4308BAE707EC57BBF38B_13</vt:lpwstr>
  </property>
  <property fmtid="{D5CDD505-2E9C-101B-9397-08002B2CF9AE}" pid="4" name="KSOTemplateDocerSaveRecord">
    <vt:lpwstr>eyJoZGlkIjoiYmNkOGExYmZlNzhjZTIxZmIzNDQwZGI4MTdlZGJjZmYiLCJ1c2VySWQiOiIzNDI1MDgzOTUifQ==</vt:lpwstr>
  </property>
</Properties>
</file>