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sz w:val="44"/>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-565150</wp:posOffset>
                </wp:positionV>
                <wp:extent cx="960120" cy="539750"/>
                <wp:effectExtent l="0" t="0" r="11430" b="12700"/>
                <wp:wrapNone/>
                <wp:docPr id="1" name="文本框 2"/>
                <wp:cNvGraphicFramePr/>
                <a:graphic xmlns:a="http://schemas.openxmlformats.org/drawingml/2006/main">
                  <a:graphicData uri="http://schemas.microsoft.com/office/word/2010/wordprocessingShape">
                    <wps:wsp>
                      <wps:cNvSpPr txBox="1"/>
                      <wps:spPr>
                        <a:xfrm>
                          <a:off x="0" y="0"/>
                          <a:ext cx="960120" cy="539750"/>
                        </a:xfrm>
                        <a:prstGeom prst="rect">
                          <a:avLst/>
                        </a:prstGeom>
                        <a:gradFill rotWithShape="0">
                          <a:gsLst>
                            <a:gs pos="0">
                              <a:srgbClr val="FFFFFF"/>
                            </a:gs>
                            <a:gs pos="100000">
                              <a:srgbClr val="FFFFFF"/>
                            </a:gs>
                          </a:gsLst>
                          <a:lin ang="0"/>
                          <a:tileRect/>
                        </a:gradFill>
                        <a:ln w="15875">
                          <a:noFill/>
                        </a:ln>
                      </wps:spPr>
                      <wps:txbx>
                        <w:txbxContent>
                          <w:p>
                            <w:r>
                              <w:rPr>
                                <w:rFonts w:hint="eastAsia" w:ascii="黑体" w:hAnsi="黑体" w:eastAsia="黑体" w:cs="黑体"/>
                                <w:b w:val="0"/>
                                <w:bCs w:val="0"/>
                                <w:sz w:val="32"/>
                                <w:szCs w:val="32"/>
                                <w:lang w:val="en-US" w:eastAsia="zh-CN"/>
                              </w:rPr>
                              <w:t>附件</w:t>
                            </w:r>
                          </w:p>
                        </w:txbxContent>
                      </wps:txbx>
                      <wps:bodyPr upright="1"/>
                    </wps:wsp>
                  </a:graphicData>
                </a:graphic>
              </wp:anchor>
            </w:drawing>
          </mc:Choice>
          <mc:Fallback>
            <w:pict>
              <v:shape id="文本框 2" o:spid="_x0000_s1026" o:spt="202" type="#_x0000_t202" style="position:absolute;left:0pt;margin-left:-2.95pt;margin-top:-44.5pt;height:42.5pt;width:75.6pt;z-index:251658240;mso-width-relative:page;mso-height-relative:page;" fillcolor="#FFFFFF" filled="t" stroked="f" coordsize="21600,21600" o:gfxdata="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VvZE7YAAAACQEA&#10;AA8AAAAAAAAAAQAgAAAAIgAAAGRycy9kb3ducmV2LnhtbFBLAQIUABQAAAAIAIdO4kAQhE+O4QEA&#10;ALkDAAAOAAAAAAAAAAEAIAAAACcBAABkcnMvZTJvRG9jLnhtbFBLBQYAAAAABgAGAFkBAAB6BQAA&#10;AAA=&#10;">
                <v:path/>
                <v:fill type="gradient" on="t" color2="#FFFFFF" angle="90" focus="0%" focussize="0f,0f" focusposition="0f,0f">
                  <o:fill type="gradientUnscaled" v:ext="backwardCompatible"/>
                </v:fill>
                <v:stroke on="f" weight="1.25pt"/>
                <v:imagedata o:title=""/>
                <o:lock v:ext="edit" aspectratio="f"/>
                <v:textbox>
                  <w:txbxContent>
                    <w:p>
                      <w:r>
                        <w:rPr>
                          <w:rFonts w:hint="eastAsia" w:ascii="黑体" w:hAnsi="黑体" w:eastAsia="黑体" w:cs="黑体"/>
                          <w:b w:val="0"/>
                          <w:bCs w:val="0"/>
                          <w:sz w:val="32"/>
                          <w:szCs w:val="32"/>
                          <w:lang w:val="en-US" w:eastAsia="zh-CN"/>
                        </w:rPr>
                        <w:t>附件</w:t>
                      </w:r>
                    </w:p>
                  </w:txbxContent>
                </v:textbox>
              </v:shape>
            </w:pict>
          </mc:Fallback>
        </mc:AlternateContent>
      </w:r>
      <w:r>
        <w:rPr>
          <w:rFonts w:hint="eastAsia" w:ascii="方正小标宋简体" w:hAnsi="方正小标宋简体" w:eastAsia="方正小标宋简体" w:cs="方正小标宋简体"/>
          <w:b w:val="0"/>
          <w:bCs w:val="0"/>
          <w:sz w:val="44"/>
          <w:szCs w:val="44"/>
          <w:lang w:val="en-US" w:eastAsia="zh-CN"/>
        </w:rPr>
        <w:t>辽宁省交通运输厅废止的行政规范性文件</w:t>
      </w:r>
    </w:p>
    <w:tbl>
      <w:tblPr>
        <w:tblStyle w:val="4"/>
        <w:tblW w:w="8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305"/>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top"/>
          </w:tcPr>
          <w:p>
            <w:pPr>
              <w:jc w:val="cente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4305" w:type="dxa"/>
            <w:vAlign w:val="center"/>
          </w:tcPr>
          <w:p>
            <w:pPr>
              <w:jc w:val="cente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文件名称</w:t>
            </w:r>
          </w:p>
        </w:tc>
        <w:tc>
          <w:tcPr>
            <w:tcW w:w="3150" w:type="dxa"/>
            <w:vAlign w:val="center"/>
          </w:tcPr>
          <w:p>
            <w:pPr>
              <w:jc w:val="center"/>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 w:eastAsia="zh-CN"/>
              </w:rPr>
              <w:t>辽宁省交通厅科技项目管理办法</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辽交技发〔2014〕466号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辽宁省促进汽车维修业转型升级提升服务质量的指导意见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pacing w:val="-17"/>
                <w:kern w:val="2"/>
                <w:sz w:val="28"/>
                <w:szCs w:val="28"/>
                <w:highlight w:val="none"/>
                <w:vertAlign w:val="baseline"/>
                <w:lang w:val="en-US" w:eastAsia="zh-CN" w:bidi="ar-SA"/>
              </w:rPr>
            </w:pPr>
            <w:r>
              <w:rPr>
                <w:rFonts w:hint="eastAsia" w:ascii="仿宋_GB2312" w:hAnsi="仿宋_GB2312" w:eastAsia="仿宋_GB2312" w:cs="仿宋_GB2312"/>
                <w:spacing w:val="-17"/>
                <w:sz w:val="28"/>
                <w:szCs w:val="28"/>
                <w:highlight w:val="none"/>
                <w:vertAlign w:val="baseline"/>
                <w:lang w:val="en-US" w:eastAsia="zh-CN"/>
              </w:rPr>
              <w:t>辽交运管发〔2017〕192号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highlight w:val="green"/>
                <w:vertAlign w:val="baseline"/>
                <w:lang w:val="en-US" w:eastAsia="zh-CN" w:bidi="ar-SA"/>
              </w:rPr>
            </w:pPr>
            <w:r>
              <w:rPr>
                <w:rFonts w:hint="eastAsia" w:ascii="仿宋_GB2312" w:hAnsi="仿宋_GB2312" w:eastAsia="仿宋_GB2312" w:cs="仿宋_GB2312"/>
                <w:sz w:val="28"/>
                <w:szCs w:val="28"/>
                <w:vertAlign w:val="baseline"/>
                <w:lang w:val="en-US" w:eastAsia="zh-CN"/>
              </w:rPr>
              <w:t>关于稳步推进城乡交通运输一体化 提升公共服务水平的实施意见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pacing w:val="-17"/>
                <w:kern w:val="2"/>
                <w:sz w:val="28"/>
                <w:szCs w:val="28"/>
                <w:highlight w:val="green"/>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辽交运管发〔2017〕316号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 w:eastAsia="zh-CN"/>
              </w:rPr>
              <w:t>辽宁省“四好农村路”督导考评办法（修订）</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 w:eastAsia="zh-CN"/>
              </w:rPr>
              <w:t>辽交公路发〔2018〕95号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辽宁省农村客运候车亭建设与养护管理办法</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辽交运管发〔2018〕203号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辽宁省普通国省干线公路养护工程管理实施细则</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辽交办〔2019〕23号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辽宁省港口设施保安符合证书管理暂行办法</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辽交行审〔2019〕167号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辽宁省港口危险货物从业人员资质能力精准化管理实施意见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辽交服务发〔2019〕241号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辽宁省交通运输厅关于加强普通干线公路建设养护工程项目招标工作的若干意见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辽交公水规〔2020〕7号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关于加强全省港口行政管理部门危险货物应急管理实操工作的指导意见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辽交服务规〔2020〕9号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辽宁省普通国省干线公路日常养护管理办法</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辽交公水规〔2020〕13号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辽宁省国省干线公路路政巡查管理规定（试行）</w:t>
            </w:r>
          </w:p>
        </w:tc>
        <w:tc>
          <w:tcPr>
            <w:tcW w:w="315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kern w:val="2"/>
                <w:sz w:val="28"/>
                <w:szCs w:val="28"/>
                <w:vertAlign w:val="baseline"/>
                <w:lang w:val="en-US" w:eastAsia="zh-CN" w:bidi="ar-SA"/>
              </w:rPr>
              <w:t>辽交行审规〔2020〕14号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辽宁省国省干线公路路政管理工作考核评价办法（试行）</w:t>
            </w:r>
          </w:p>
        </w:tc>
        <w:tc>
          <w:tcPr>
            <w:tcW w:w="31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辽宁省交通运输厅关于进一步优化我省大件运输审批服务的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实施意见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highlight w:val="none"/>
                <w:vertAlign w:val="baseline"/>
                <w:lang w:val="en-US" w:eastAsia="zh-CN" w:bidi="ar-SA"/>
              </w:rPr>
            </w:pPr>
            <w:r>
              <w:rPr>
                <w:rFonts w:hint="eastAsia" w:ascii="仿宋_GB2312" w:hAnsi="仿宋_GB2312" w:eastAsia="仿宋_GB2312" w:cs="仿宋_GB2312"/>
                <w:spacing w:val="-17"/>
                <w:kern w:val="2"/>
                <w:sz w:val="28"/>
                <w:szCs w:val="28"/>
                <w:highlight w:val="none"/>
                <w:vertAlign w:val="baseline"/>
                <w:lang w:val="en-US" w:eastAsia="zh-CN" w:bidi="ar-SA"/>
              </w:rPr>
              <w:t>辽交行审发〔2020〕151号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辽宁省交通运输厅安全生产约谈办法</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lang w:val="en-US" w:eastAsia="zh-CN" w:bidi="ar-SA"/>
              </w:rPr>
            </w:pPr>
            <w:r>
              <w:rPr>
                <w:rFonts w:hint="eastAsia" w:ascii="仿宋_GB2312" w:hAnsi="仿宋_GB2312" w:eastAsia="仿宋_GB2312" w:cs="仿宋_GB2312"/>
                <w:spacing w:val="-17"/>
                <w:sz w:val="28"/>
                <w:szCs w:val="28"/>
                <w:lang w:val="en-US" w:eastAsia="zh-CN"/>
              </w:rPr>
              <w:t>辽交安质发〔2020〕220号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辽宁省交通运输厅关于进一步加快电力接入工程穿跨越公路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涉路施工许可审批的指导意见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kern w:val="2"/>
                <w:sz w:val="28"/>
                <w:szCs w:val="28"/>
                <w:vertAlign w:val="baseline"/>
                <w:lang w:val="en-US" w:eastAsia="zh-CN" w:bidi="ar-SA"/>
              </w:rPr>
              <w:t>辽交行审规〔2021〕1号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交通运输“证照分离”改革行政审批告知承诺工作规则</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辽交行审规〔2021〕5号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关于在交通运输领域推行包容免罚监管机制的实施意见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辽交行审发〔2021〕65号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43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center"/>
              <w:textAlignment w:val="auto"/>
              <w:rPr>
                <w:rFonts w:hint="default"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
              </w:rPr>
              <w:t>辽宁省公路养护作业单位资质管理实施细则</w:t>
            </w:r>
          </w:p>
        </w:tc>
        <w:tc>
          <w:tcPr>
            <w:tcW w:w="31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center"/>
              <w:textAlignment w:val="auto"/>
              <w:rPr>
                <w:rFonts w:hint="default" w:ascii="仿宋_GB2312" w:hAnsi="Calibri" w:eastAsia="仿宋_GB2312" w:cs="仿宋_GB2312"/>
                <w:spacing w:val="-17"/>
                <w:kern w:val="2"/>
                <w:sz w:val="28"/>
                <w:szCs w:val="28"/>
                <w:lang w:val="en-US" w:eastAsia="zh-CN" w:bidi="ar-SA"/>
              </w:rPr>
            </w:pPr>
            <w:r>
              <w:rPr>
                <w:rFonts w:hint="eastAsia" w:ascii="仿宋_GB2312" w:hAnsi="Calibri" w:eastAsia="仿宋_GB2312" w:cs="仿宋_GB2312"/>
                <w:spacing w:val="-17"/>
                <w:kern w:val="2"/>
                <w:sz w:val="28"/>
                <w:szCs w:val="28"/>
                <w:lang w:val="en-US" w:eastAsia="zh-CN" w:bidi="ar"/>
              </w:rPr>
              <w:t>辽交公水规〔2022〕1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43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center"/>
              <w:textAlignment w:val="auto"/>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 w:eastAsia="zh-CN" w:bidi="ar"/>
              </w:rPr>
              <w:t>辽宁省支持道路货运企业和货车司机纾困发展的若干措施</w:t>
            </w:r>
          </w:p>
        </w:tc>
        <w:tc>
          <w:tcPr>
            <w:tcW w:w="31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center"/>
              <w:textAlignment w:val="auto"/>
              <w:rPr>
                <w:rFonts w:hint="default" w:ascii="仿宋_GB2312" w:hAnsi="Calibri" w:eastAsia="仿宋_GB2312" w:cs="仿宋_GB2312"/>
                <w:spacing w:val="-17"/>
                <w:kern w:val="2"/>
                <w:sz w:val="28"/>
                <w:szCs w:val="28"/>
                <w:lang w:val="en-US" w:eastAsia="zh-CN" w:bidi="ar"/>
              </w:rPr>
            </w:pPr>
            <w:r>
              <w:rPr>
                <w:rFonts w:hint="eastAsia" w:ascii="仿宋_GB2312" w:hAnsi="Calibri" w:eastAsia="仿宋_GB2312" w:cs="仿宋_GB2312"/>
                <w:spacing w:val="-17"/>
                <w:kern w:val="2"/>
                <w:sz w:val="28"/>
                <w:szCs w:val="28"/>
                <w:lang w:val="en" w:eastAsia="zh-CN" w:bidi="ar"/>
              </w:rPr>
              <w:t>辽交财审发</w:t>
            </w:r>
            <w:r>
              <w:rPr>
                <w:rFonts w:hint="eastAsia" w:ascii="仿宋_GB2312" w:hAnsi="Calibri" w:eastAsia="仿宋_GB2312" w:cs="仿宋_GB2312"/>
                <w:spacing w:val="-17"/>
                <w:kern w:val="2"/>
                <w:sz w:val="28"/>
                <w:szCs w:val="28"/>
                <w:lang w:val="en-US" w:eastAsia="zh-CN" w:bidi="ar"/>
              </w:rPr>
              <w:t>〔2022〕39号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辽宁省交通运输行政处罚自由裁量权基准（道路运输部分）</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辽交执监规〔2023〕1号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4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关于进一步规范全省公路工程招标投标活动的意见</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pacing w:val="-17"/>
                <w:kern w:val="2"/>
                <w:sz w:val="28"/>
                <w:szCs w:val="28"/>
                <w:vertAlign w:val="baseline"/>
                <w:lang w:val="en-US" w:eastAsia="zh-CN" w:bidi="ar-SA"/>
              </w:rPr>
            </w:pPr>
            <w:r>
              <w:rPr>
                <w:rFonts w:hint="eastAsia" w:ascii="仿宋_GB2312" w:hAnsi="仿宋_GB2312" w:eastAsia="仿宋_GB2312" w:cs="仿宋_GB2312"/>
                <w:spacing w:val="-17"/>
                <w:sz w:val="28"/>
                <w:szCs w:val="28"/>
                <w:vertAlign w:val="baseline"/>
                <w:lang w:val="en-US" w:eastAsia="zh-CN"/>
              </w:rPr>
              <w:t>辽交公水规〔2024〕11号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姚体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66C52"/>
    <w:rsid w:val="0D166C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省交通厅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2026-07-21T03:09:00Z</dcterms:created>
  <dc:creator>Administrator</dc:creator>
  <cp:lastModifiedBy>Administrator</cp:lastModifiedBy>
  <dcterms:modified xsi:type="dcterms:W3CDTF">2026-07-21T03:09:51Z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