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kinsoku/>
        <w:autoSpaceDE/>
        <w:autoSpaceDN w:val="0"/>
        <w:adjustRightInd/>
        <w:snapToGrid/>
        <w:spacing w:before="0" w:beforeAutospacing="0" w:after="0" w:afterAutospacing="0"/>
        <w:ind w:left="0" w:right="0"/>
        <w:jc w:val="both"/>
        <w:rPr>
          <w:rFonts w:hint="eastAsia" w:ascii="黑体" w:hAnsi="宋体" w:eastAsia="黑体" w:cs="宋体"/>
          <w:sz w:val="32"/>
          <w:szCs w:val="32"/>
          <w:lang w:val="en-US" w:eastAsia="zh-CN"/>
        </w:rPr>
      </w:pPr>
      <w:r>
        <w:rPr>
          <w:rFonts w:hint="eastAsia" w:ascii="黑体" w:hAnsi="宋体" w:eastAsia="黑体" w:cs="宋体"/>
          <w:snapToGrid/>
          <w:color w:val="000000"/>
          <w:kern w:val="0"/>
          <w:sz w:val="32"/>
          <w:szCs w:val="32"/>
          <w:lang w:val="en-US" w:eastAsia="zh-CN" w:bidi="ar"/>
        </w:rPr>
        <w:t>附件</w:t>
      </w:r>
    </w:p>
    <w:p>
      <w:pPr>
        <w:keepNext w:val="0"/>
        <w:keepLines w:val="0"/>
        <w:widowControl w:val="0"/>
        <w:suppressLineNumbers w:val="0"/>
        <w:kinsoku/>
        <w:autoSpaceDE/>
        <w:autoSpaceDN w:val="0"/>
        <w:adjustRightInd/>
        <w:snapToGrid/>
        <w:spacing w:before="0" w:beforeAutospacing="0" w:after="0" w:afterAutospacing="0"/>
        <w:ind w:left="0" w:right="0"/>
        <w:jc w:val="center"/>
        <w:rPr>
          <w:rFonts w:hint="eastAsia" w:ascii="宋体" w:hAnsi="宋体" w:eastAsia="Arial" w:cs="宋体"/>
          <w:sz w:val="24"/>
          <w:szCs w:val="21"/>
          <w:lang w:val="en-US" w:eastAsia="zh-CN"/>
        </w:rPr>
      </w:pPr>
      <w:r>
        <w:rPr>
          <w:rFonts w:hint="eastAsia" w:ascii="黑体" w:hAnsi="宋体" w:eastAsia="黑体" w:cs="宋体"/>
          <w:snapToGrid/>
          <w:color w:val="000000"/>
          <w:kern w:val="0"/>
          <w:sz w:val="32"/>
          <w:szCs w:val="32"/>
          <w:lang w:val="en-US" w:eastAsia="zh-CN" w:bidi="ar"/>
        </w:rPr>
        <w:t>辽宁省公路水运工程质量检测机构“双随机”专项行政检查表</w:t>
      </w:r>
    </w:p>
    <w:tbl>
      <w:tblPr>
        <w:tblStyle w:val="4"/>
        <w:tblW w:w="14662" w:type="dxa"/>
        <w:jc w:val="center"/>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302"/>
        <w:gridCol w:w="1254"/>
        <w:gridCol w:w="1320"/>
        <w:gridCol w:w="8276"/>
        <w:gridCol w:w="2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658" w:hRule="atLeast"/>
          <w:tblHeader/>
          <w:jc w:val="center"/>
        </w:trPr>
        <w:tc>
          <w:tcPr>
            <w:tcW w:w="130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黑体" w:hAnsi="宋体" w:eastAsia="黑体" w:cs="宋体"/>
                <w:bCs/>
                <w:sz w:val="24"/>
                <w:szCs w:val="24"/>
                <w:bdr w:val="none" w:color="auto" w:sz="0" w:space="0"/>
                <w:lang w:val="en-US" w:eastAsia="zh-CN"/>
              </w:rPr>
            </w:pPr>
            <w:r>
              <w:rPr>
                <w:rFonts w:hint="eastAsia" w:ascii="黑体" w:hAnsi="宋体" w:eastAsia="黑体" w:cs="宋体"/>
                <w:bCs/>
                <w:snapToGrid/>
                <w:color w:val="000000"/>
                <w:kern w:val="0"/>
                <w:sz w:val="24"/>
                <w:szCs w:val="24"/>
                <w:bdr w:val="none" w:color="auto" w:sz="0" w:space="0"/>
                <w:lang w:val="en-US" w:eastAsia="zh-CN" w:bidi="ar"/>
              </w:rPr>
              <w:t>行政检查事项</w:t>
            </w:r>
          </w:p>
        </w:tc>
        <w:tc>
          <w:tcPr>
            <w:tcW w:w="125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黑体" w:hAnsi="宋体" w:eastAsia="黑体" w:cs="宋体"/>
                <w:bCs/>
                <w:sz w:val="24"/>
                <w:szCs w:val="24"/>
                <w:bdr w:val="none" w:color="auto" w:sz="0" w:space="0"/>
                <w:lang w:val="en-US" w:eastAsia="zh-CN"/>
              </w:rPr>
            </w:pPr>
            <w:r>
              <w:rPr>
                <w:rFonts w:hint="eastAsia" w:ascii="黑体" w:hAnsi="宋体" w:eastAsia="黑体" w:cs="宋体"/>
                <w:bCs/>
                <w:snapToGrid/>
                <w:color w:val="000000"/>
                <w:kern w:val="0"/>
                <w:sz w:val="24"/>
                <w:szCs w:val="24"/>
                <w:bdr w:val="none" w:color="auto" w:sz="0" w:space="0"/>
                <w:lang w:val="en-US" w:eastAsia="zh-CN" w:bidi="ar"/>
              </w:rPr>
              <w:t>行政检查内容</w:t>
            </w:r>
          </w:p>
        </w:tc>
        <w:tc>
          <w:tcPr>
            <w:tcW w:w="132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黑体" w:hAnsi="宋体" w:eastAsia="黑体" w:cs="宋体"/>
                <w:bCs/>
                <w:sz w:val="24"/>
                <w:szCs w:val="24"/>
                <w:bdr w:val="none" w:color="auto" w:sz="0" w:space="0"/>
                <w:lang w:val="en-US" w:eastAsia="zh-CN"/>
              </w:rPr>
            </w:pPr>
            <w:r>
              <w:rPr>
                <w:rFonts w:hint="eastAsia" w:ascii="黑体" w:hAnsi="宋体" w:eastAsia="黑体" w:cs="宋体"/>
                <w:bCs/>
                <w:snapToGrid/>
                <w:color w:val="000000"/>
                <w:kern w:val="0"/>
                <w:sz w:val="24"/>
                <w:szCs w:val="24"/>
                <w:bdr w:val="none" w:color="auto" w:sz="0" w:space="0"/>
                <w:lang w:val="en-US" w:eastAsia="zh-CN" w:bidi="ar"/>
              </w:rPr>
              <w:t>行政检查项目</w:t>
            </w:r>
          </w:p>
        </w:tc>
        <w:tc>
          <w:tcPr>
            <w:tcW w:w="8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黑体" w:hAnsi="宋体" w:eastAsia="黑体" w:cs="宋体"/>
                <w:bCs/>
                <w:sz w:val="24"/>
                <w:szCs w:val="24"/>
                <w:bdr w:val="none" w:color="auto" w:sz="0" w:space="0"/>
                <w:lang w:val="en-US" w:eastAsia="zh-CN"/>
              </w:rPr>
            </w:pPr>
            <w:r>
              <w:rPr>
                <w:rFonts w:hint="eastAsia" w:ascii="黑体" w:hAnsi="宋体" w:eastAsia="黑体" w:cs="宋体"/>
                <w:bCs/>
                <w:snapToGrid/>
                <w:color w:val="000000"/>
                <w:kern w:val="0"/>
                <w:sz w:val="24"/>
                <w:szCs w:val="24"/>
                <w:bdr w:val="none" w:color="auto" w:sz="0" w:space="0"/>
                <w:lang w:val="en-US" w:eastAsia="zh-CN" w:bidi="ar"/>
              </w:rPr>
              <w:t>行政检查标准及检查资料</w:t>
            </w:r>
          </w:p>
        </w:tc>
        <w:tc>
          <w:tcPr>
            <w:tcW w:w="251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黑体" w:hAnsi="宋体" w:eastAsia="黑体" w:cs="宋体"/>
                <w:bCs/>
                <w:sz w:val="24"/>
                <w:szCs w:val="24"/>
                <w:bdr w:val="none" w:color="auto" w:sz="0" w:space="0"/>
                <w:lang w:val="en-US" w:eastAsia="zh-CN"/>
              </w:rPr>
            </w:pPr>
            <w:r>
              <w:rPr>
                <w:rFonts w:hint="eastAsia" w:ascii="黑体" w:hAnsi="宋体" w:eastAsia="黑体" w:cs="宋体"/>
                <w:bCs/>
                <w:snapToGrid/>
                <w:color w:val="000000"/>
                <w:kern w:val="0"/>
                <w:sz w:val="24"/>
                <w:szCs w:val="24"/>
                <w:bdr w:val="none" w:color="auto" w:sz="0" w:space="0"/>
                <w:lang w:val="en-US" w:eastAsia="zh-CN" w:bidi="ar"/>
              </w:rPr>
              <w:t>存在问题描述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1527" w:hRule="atLeast"/>
          <w:jc w:val="center"/>
        </w:trPr>
        <w:tc>
          <w:tcPr>
            <w:tcW w:w="130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center"/>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对公路工程建设程序与建设市场的行政检查</w:t>
            </w:r>
          </w:p>
        </w:tc>
        <w:tc>
          <w:tcPr>
            <w:tcW w:w="125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center"/>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申请人是否满足公路工程质量检测机构资质审批相关条件</w:t>
            </w:r>
          </w:p>
        </w:tc>
        <w:tc>
          <w:tcPr>
            <w:tcW w:w="132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center"/>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依法成立</w:t>
            </w:r>
          </w:p>
        </w:tc>
        <w:tc>
          <w:tcPr>
            <w:tcW w:w="8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numPr>
                <w:ilvl w:val="0"/>
                <w:numId w:val="1"/>
              </w:numPr>
              <w:suppressLineNumbers w:val="0"/>
              <w:kinsoku w:val="0"/>
              <w:autoSpaceDE w:val="0"/>
              <w:autoSpaceDN w:val="0"/>
              <w:adjustRightInd w:val="0"/>
              <w:snapToGrid w:val="0"/>
              <w:spacing w:before="0" w:beforeAutospacing="0" w:after="0" w:afterAutospacing="0" w:line="380" w:lineRule="exact"/>
              <w:ind w:left="0" w:right="0" w:firstLine="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企业性质的，应取得营业执照；</w:t>
            </w:r>
            <w:r>
              <w:rPr>
                <w:rFonts w:hint="eastAsia" w:ascii="仿宋_GB2312" w:hAnsi="仿宋_GB2312" w:eastAsia="仿宋_GB2312" w:cs="仿宋_GB2312"/>
                <w:snapToGrid/>
                <w:color w:val="000000"/>
                <w:kern w:val="0"/>
                <w:sz w:val="28"/>
                <w:szCs w:val="22"/>
                <w:bdr w:val="none" w:color="auto" w:sz="0" w:space="0"/>
                <w:lang w:val="en-US" w:eastAsia="zh-CN" w:bidi="ar"/>
              </w:rPr>
              <w:br w:type="textWrapping"/>
            </w:r>
            <w:r>
              <w:rPr>
                <w:rFonts w:hint="eastAsia" w:ascii="仿宋_GB2312" w:hAnsi="仿宋_GB2312" w:eastAsia="仿宋_GB2312" w:cs="仿宋_GB2312"/>
                <w:snapToGrid/>
                <w:color w:val="000000"/>
                <w:kern w:val="0"/>
                <w:sz w:val="28"/>
                <w:szCs w:val="22"/>
                <w:bdr w:val="none" w:color="auto" w:sz="0" w:space="0"/>
                <w:lang w:val="en-US" w:eastAsia="zh-CN" w:bidi="ar"/>
              </w:rPr>
              <w:t>2.事业单位应取得编办批准的事业单位法人证书。</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firstLine="560" w:firstLineChars="20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需提供：检查法人证书或营业执照。</w:t>
            </w:r>
          </w:p>
        </w:tc>
        <w:tc>
          <w:tcPr>
            <w:tcW w:w="251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宋体" w:hAnsi="宋体" w:eastAsia="Arial" w:cs="宋体"/>
                <w:color w:val="auto"/>
                <w:bdr w:val="none" w:color="auto" w:sz="0" w:space="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1527" w:hRule="atLeast"/>
          <w:jc w:val="center"/>
        </w:trPr>
        <w:tc>
          <w:tcPr>
            <w:tcW w:w="130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cs="Times New Roman"/>
                <w:sz w:val="20"/>
                <w:szCs w:val="20"/>
              </w:rPr>
            </w:pPr>
          </w:p>
        </w:tc>
        <w:tc>
          <w:tcPr>
            <w:tcW w:w="125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cs="Times New Roman"/>
                <w:sz w:val="20"/>
                <w:szCs w:val="20"/>
              </w:rPr>
            </w:pPr>
          </w:p>
        </w:tc>
        <w:tc>
          <w:tcPr>
            <w:tcW w:w="132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center"/>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资质条件维护</w:t>
            </w:r>
          </w:p>
        </w:tc>
        <w:tc>
          <w:tcPr>
            <w:tcW w:w="8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1.检测机构名称、地址、法人与实际情况应相符；</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2.资质证书有效期内按规定期限办理资质延续申请手续；</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3.检测机构用房产权证明或租赁期限证明材料有效（租赁期限应大于等于5年），试验室检测用房面积符合资质等级要求；</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4.检测机构名称、地址、法定代表人、各负责人（行政、技术、质量）及检测人员发生变更，按照规定期限办理变更手续；</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5.检测人员数量、专业配备及技术、质量负责人资格条件满足资质等级要求；</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6.检测人员应为本机构注册人员且在岗，须签订劳动（聘用）合同并逐月缴纳社保；</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7.仪器设备配置满足资质等级要求，且配件齐全。</w:t>
            </w:r>
          </w:p>
          <w:p>
            <w:pPr>
              <w:keepNext w:val="0"/>
              <w:keepLines w:val="0"/>
              <w:widowControl/>
              <w:suppressLineNumbers w:val="0"/>
              <w:kinsoku w:val="0"/>
              <w:autoSpaceDE w:val="0"/>
              <w:autoSpaceDN w:val="0"/>
              <w:adjustRightInd w:val="0"/>
              <w:snapToGrid w:val="0"/>
              <w:spacing w:before="0" w:beforeAutospacing="0" w:after="0" w:afterAutospacing="0" w:line="380" w:lineRule="exact"/>
              <w:ind w:left="0" w:right="0" w:firstLine="560" w:firstLineChars="20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需提供：检查法人证书或营业执照、检测设备、检测人员资格证书、社保等证明材料。</w:t>
            </w:r>
          </w:p>
        </w:tc>
        <w:tc>
          <w:tcPr>
            <w:tcW w:w="251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宋体" w:hAnsi="宋体" w:eastAsia="Arial" w:cs="宋体"/>
                <w:color w:val="auto"/>
                <w:bdr w:val="none" w:color="auto" w:sz="0" w:space="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6398" w:hRule="atLeast"/>
          <w:jc w:val="center"/>
        </w:trPr>
        <w:tc>
          <w:tcPr>
            <w:tcW w:w="130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对公路工程建设程序与建设市场的行政检查</w:t>
            </w:r>
          </w:p>
        </w:tc>
        <w:tc>
          <w:tcPr>
            <w:tcW w:w="125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申请人是否满足公路工程质量检测机构资质审批相关条件</w:t>
            </w:r>
          </w:p>
        </w:tc>
        <w:tc>
          <w:tcPr>
            <w:tcW w:w="132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检测活动管理</w:t>
            </w:r>
          </w:p>
        </w:tc>
        <w:tc>
          <w:tcPr>
            <w:tcW w:w="8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1.管理体系文件齐全，有关规定或内容合理适用；</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2.体系文件受控、宣贯及运行有效，各类记录真实、齐全；</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提供完整的检测人员培训计划和培训实施记录，培训方式、内容应满足知识更新要求；</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3.建立样品（盲样）管理制度并有效运行，样品流转记录齐全，样品标识清晰、信息全面；</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4.采用的技术标准、规范和规程齐全、合法有效，相应台账清晰；</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5.档案管理制度健全有效，人员、设备档案及各类记录齐备、查询方便，检测数据可追溯；</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6.母体检测机构对工地试验室进行有效监管，监管制度和监管记录齐全；</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7.应按要求参加比对试验。</w:t>
            </w:r>
          </w:p>
          <w:p>
            <w:pPr>
              <w:keepNext w:val="0"/>
              <w:keepLines w:val="0"/>
              <w:widowControl/>
              <w:suppressLineNumbers w:val="0"/>
              <w:kinsoku w:val="0"/>
              <w:autoSpaceDE w:val="0"/>
              <w:autoSpaceDN w:val="0"/>
              <w:adjustRightInd w:val="0"/>
              <w:snapToGrid w:val="0"/>
              <w:spacing w:before="0" w:beforeAutospacing="0" w:after="0" w:afterAutospacing="0" w:line="420" w:lineRule="exact"/>
              <w:ind w:left="0" w:right="0" w:firstLine="560" w:firstLineChars="20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需提供：检查管理体系文件、培训计划和培训实施记录、档案管理、工地试验室授权文件等证明材料</w:t>
            </w:r>
          </w:p>
        </w:tc>
        <w:tc>
          <w:tcPr>
            <w:tcW w:w="251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宋体" w:hAnsi="宋体" w:eastAsia="Arial" w:cs="宋体"/>
                <w:color w:val="auto"/>
                <w:bdr w:val="none" w:color="auto" w:sz="0" w:space="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1527" w:hRule="atLeast"/>
          <w:jc w:val="center"/>
        </w:trPr>
        <w:tc>
          <w:tcPr>
            <w:tcW w:w="130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cs="Times New Roman"/>
                <w:sz w:val="20"/>
                <w:szCs w:val="20"/>
              </w:rPr>
            </w:pPr>
          </w:p>
        </w:tc>
        <w:tc>
          <w:tcPr>
            <w:tcW w:w="125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cs="Times New Roman"/>
                <w:sz w:val="20"/>
                <w:szCs w:val="20"/>
              </w:rPr>
            </w:pPr>
          </w:p>
        </w:tc>
        <w:tc>
          <w:tcPr>
            <w:tcW w:w="132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center"/>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检验报告、记录</w:t>
            </w:r>
          </w:p>
        </w:tc>
        <w:tc>
          <w:tcPr>
            <w:tcW w:w="8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1.记录、报告应内容清晰、完整、规范，检测数据可追溯，检测项目、参数数量（批次）、检测依据、检测场所地址、检测数据、检测结果等相关信息符合规范要求，不应存在：样品数量不足或抽检频率不足，且结论不准确；</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2.检测依据的标准规范不正确且未进行任何说明；</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3.记录或报告中主要仪器设备及编号、试验条件、样品抽取或测点布设等关键信息不全，且导致试验结果无法复现、追溯或检测结论不准确；</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4.未严格按标准规范要求的步骤进行检测且对试验结果产生影响或导致检测结论错误；</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5.委托书、原始记录、报告存在信息不一致；</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6.无数据、结果错误或无法复核的不实报告，且不应存在：使用未经检定或校准的仪器设备；违反国家有关强制性规定的试验规程或方法；未按照规定传输、保存原始数据和报告；</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7.不得出具虚假报告，不得篡改、伪造检测报告，不应存在：未经检测出具报告；伪造、变造原始数据、记录或未按照规定采用原始记录、数据；减少、遗漏或变更标准等规定的应当检测项目或改变关键检测条件；伪造机构公章或检测专用章，或伪造报告签发人等签名或签发时间；</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8.检测过程中发现检测项目不合格且涉及工程主体结构安全的，检测机构应当及时向负有工程建设项目质量监督管理责任的交通运输主管部门报告。</w:t>
            </w:r>
          </w:p>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firstLine="280" w:firstLineChars="100"/>
              <w:jc w:val="left"/>
              <w:rPr>
                <w:rFonts w:hint="eastAsia" w:ascii="仿宋_GB2312" w:hAnsi="仿宋_GB2312" w:eastAsia="仿宋_GB2312" w:cs="仿宋_GB2312"/>
                <w:sz w:val="28"/>
                <w:szCs w:val="22"/>
                <w:bdr w:val="none" w:color="auto" w:sz="0" w:space="0"/>
                <w:lang w:val="en-US" w:eastAsia="zh-CN"/>
              </w:rPr>
            </w:pPr>
            <w:r>
              <w:rPr>
                <w:rFonts w:hint="eastAsia" w:ascii="仿宋_GB2312" w:hAnsi="仿宋_GB2312" w:eastAsia="仿宋_GB2312" w:cs="仿宋_GB2312"/>
                <w:snapToGrid/>
                <w:color w:val="000000"/>
                <w:kern w:val="0"/>
                <w:sz w:val="28"/>
                <w:szCs w:val="22"/>
                <w:bdr w:val="none" w:color="auto" w:sz="0" w:space="0"/>
                <w:lang w:val="en-US" w:eastAsia="zh-CN" w:bidi="ar"/>
              </w:rPr>
              <w:t>需提供：试验检测台账、记录表、报告等证明材料</w:t>
            </w:r>
          </w:p>
        </w:tc>
        <w:tc>
          <w:tcPr>
            <w:tcW w:w="251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320" w:lineRule="exact"/>
              <w:ind w:left="0" w:right="0"/>
              <w:jc w:val="left"/>
              <w:rPr>
                <w:rFonts w:hint="eastAsia" w:ascii="宋体" w:hAnsi="宋体" w:eastAsia="Arial" w:cs="宋体"/>
                <w:color w:val="auto"/>
                <w:bdr w:val="none" w:color="auto" w:sz="0" w:space="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90" w:hRule="atLeast"/>
          <w:jc w:val="center"/>
        </w:trPr>
        <w:tc>
          <w:tcPr>
            <w:tcW w:w="130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对公路工程建设程序与建设市场的行政检查</w:t>
            </w:r>
          </w:p>
        </w:tc>
        <w:tc>
          <w:tcPr>
            <w:tcW w:w="125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申请人是否满足公路工程质量检测机构资质审批相关条件</w:t>
            </w:r>
          </w:p>
        </w:tc>
        <w:tc>
          <w:tcPr>
            <w:tcW w:w="132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试验检测设备及环境</w:t>
            </w:r>
          </w:p>
        </w:tc>
        <w:tc>
          <w:tcPr>
            <w:tcW w:w="8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1.仪器设备应摆放合理，操作方便；</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2.仪器设备按规定进行有效的检定/校准及确认，并可良好运行；</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3.仪器设备应按规定进行维修保养、开展期间核查并有相应记录；</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4.仪器设备使用、维修保养记录规范；</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5.不得出租或借用仪器设备。</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6.各功能室设置齐全，且布局合理；</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7.各功能室温湿度、上下水等环境条件满足相应试验检测要求；</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8.环境整洁干净，不得堆放杂物、垃圾等与试验检测无关的物品。</w:t>
            </w:r>
          </w:p>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firstLine="280" w:firstLineChars="100"/>
              <w:jc w:val="left"/>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现场核查</w:t>
            </w:r>
          </w:p>
        </w:tc>
        <w:tc>
          <w:tcPr>
            <w:tcW w:w="251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left"/>
              <w:rPr>
                <w:rFonts w:hint="eastAsia" w:ascii="仿宋_GB2312" w:hAnsi="仿宋_GB2312" w:eastAsia="仿宋_GB2312" w:cs="仿宋_GB2312"/>
                <w:color w:val="auto"/>
                <w:sz w:val="28"/>
                <w:szCs w:val="28"/>
                <w:bdr w:val="none" w:color="auto" w:sz="0" w:space="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1394" w:hRule="atLeast"/>
          <w:jc w:val="center"/>
        </w:trPr>
        <w:tc>
          <w:tcPr>
            <w:tcW w:w="130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仿宋_GB2312" w:hAnsi="仿宋_GB2312" w:eastAsia="仿宋_GB2312" w:cs="仿宋_GB2312"/>
                <w:sz w:val="28"/>
                <w:szCs w:val="28"/>
                <w:bdr w:val="none" w:color="auto" w:sz="0" w:space="0"/>
                <w:lang w:val="en-US" w:eastAsia="zh-CN"/>
              </w:rPr>
            </w:pPr>
            <w:r>
              <w:rPr>
                <w:rFonts w:hint="eastAsia" w:ascii="仿宋_GB2312" w:hAnsi="仿宋_GB2312" w:eastAsia="仿宋_GB2312" w:cs="仿宋_GB2312"/>
                <w:snapToGrid/>
                <w:color w:val="000000"/>
                <w:kern w:val="0"/>
                <w:sz w:val="28"/>
                <w:szCs w:val="28"/>
                <w:bdr w:val="none" w:color="auto" w:sz="0" w:space="0"/>
                <w:lang w:val="en-US" w:eastAsia="zh-CN" w:bidi="ar"/>
              </w:rPr>
              <w:t>备注</w:t>
            </w:r>
          </w:p>
        </w:tc>
        <w:tc>
          <w:tcPr>
            <w:tcW w:w="13360" w:type="dxa"/>
            <w:gridSpan w:val="4"/>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kinsoku w:val="0"/>
              <w:autoSpaceDE w:val="0"/>
              <w:autoSpaceDN w:val="0"/>
              <w:adjustRightInd w:val="0"/>
              <w:snapToGrid w:val="0"/>
              <w:spacing w:before="0" w:beforeAutospacing="0" w:after="0" w:afterAutospacing="0" w:line="400" w:lineRule="exact"/>
              <w:ind w:left="0" w:right="0"/>
              <w:jc w:val="center"/>
              <w:rPr>
                <w:rFonts w:hint="eastAsia" w:ascii="仿宋_GB2312" w:hAnsi="仿宋_GB2312" w:eastAsia="仿宋_GB2312" w:cs="仿宋_GB2312"/>
                <w:color w:val="auto"/>
                <w:sz w:val="28"/>
                <w:szCs w:val="28"/>
                <w:bdr w:val="none" w:color="auto" w:sz="0" w:space="0"/>
                <w:lang w:val="en-US" w:eastAsia="zh-CN"/>
              </w:rPr>
            </w:pPr>
          </w:p>
        </w:tc>
      </w:tr>
    </w:tbl>
    <w:p>
      <w:pPr>
        <w:keepNext w:val="0"/>
        <w:keepLines w:val="0"/>
        <w:widowControl/>
        <w:suppressLineNumbers w:val="0"/>
        <w:kinsoku w:val="0"/>
        <w:autoSpaceDE w:val="0"/>
        <w:autoSpaceDN w:val="0"/>
        <w:adjustRightInd w:val="0"/>
        <w:snapToGrid w:val="0"/>
        <w:spacing w:before="0" w:beforeAutospacing="0" w:after="0" w:afterAutospacing="0"/>
        <w:ind w:left="0" w:right="0"/>
        <w:jc w:val="left"/>
        <w:rPr>
          <w:lang w:val="en-US"/>
        </w:rPr>
      </w:pPr>
    </w:p>
    <w:p>
      <w:bookmarkStart w:id="0" w:name="_GoBack"/>
      <w:bookmarkEnd w:id="0"/>
    </w:p>
    <w:sectPr>
      <w:pgSz w:w="16840" w:h="11900" w:orient="landscape"/>
      <w:pgMar w:top="1600" w:right="1440" w:bottom="1706" w:left="1440" w:header="1" w:footer="1231"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fixed"/>
    <w:sig w:usb0="800002BF" w:usb1="38CF7CFA" w:usb2="00000016" w:usb3="00000000" w:csb0="00040001" w:csb1="00000000"/>
  </w:font>
  <w:font w:name="Cambria Math">
    <w:panose1 w:val="02040503050406030204"/>
    <w:charset w:val="00"/>
    <w:family w:val="auto"/>
    <w:pitch w:val="variable"/>
    <w:sig w:usb0="E00002FF" w:usb1="420024FF" w:usb2="00000000" w:usb3="00000000" w:csb0="2000019F" w:csb1="00000000"/>
  </w:font>
  <w:font w:name="仿宋_GB2312">
    <w:panose1 w:val="02010609030101010101"/>
    <w:charset w:val="86"/>
    <w:family w:val="auto"/>
    <w:pitch w:val="fixed"/>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仿宋">
    <w:panose1 w:val="02010609060101010101"/>
    <w:charset w:val="86"/>
    <w:family w:val="auto"/>
    <w:pitch w:val="fixed"/>
    <w:sig w:usb0="800002BF" w:usb1="38CF7CFA" w:usb2="00000016" w:usb3="00000000" w:csb0="00040001" w:csb1="00000000"/>
  </w:font>
  <w:font w:name="@黑体">
    <w:panose1 w:val="02010609060101010101"/>
    <w:charset w:val="86"/>
    <w:family w:val="auto"/>
    <w:pitch w:val="fixed"/>
    <w:sig w:usb0="800002BF" w:usb1="38CF7CFA" w:usb2="00000016" w:usb3="00000000" w:csb0="00040001" w:csb1="00000000"/>
  </w:font>
  <w:font w:name="@仿宋_GB2312">
    <w:panose1 w:val="02010609030101010101"/>
    <w:charset w:val="86"/>
    <w:family w:val="auto"/>
    <w:pitch w:val="fixed"/>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24B9B"/>
    <w:multiLevelType w:val="multilevel"/>
    <w:tmpl w:val="6AA24B9B"/>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800FFD"/>
    <w:rsid w:val="1B800FF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pPr>
      <w:keepNext w:val="0"/>
      <w:keepLines w:val="0"/>
      <w:widowControl/>
      <w:suppressLineNumbers w:val="0"/>
      <w:spacing w:before="0" w:beforeAutospacing="0" w:after="0" w:afterAutospacing="0"/>
      <w:ind w:left="0" w:right="0"/>
    </w:pPr>
    <w:rPr>
      <w:rFonts w:ascii="Calibri" w:hAnsi="Calibri" w:cs="Times New Roman"/>
      <w:sz w:val="20"/>
      <w:szCs w:val="20"/>
    </w:rPr>
    <w:tblPr>
      <w:tblLayout w:type="fixed"/>
      <w:tblCellMar>
        <w:top w:w="0" w:type="dxa"/>
        <w:left w:w="108" w:type="dxa"/>
        <w:bottom w:w="0" w:type="dxa"/>
        <w:right w:w="108" w:type="dxa"/>
      </w:tblCellMar>
    </w:tblPr>
  </w:style>
  <w:style w:type="paragraph" w:styleId="2">
    <w:name w:val="footer"/>
    <w:basedOn w:val="1"/>
    <w:link w:val="5"/>
    <w:uiPriority w:val="0"/>
    <w:pPr>
      <w:tabs>
        <w:tab w:val="center" w:pos="4153"/>
        <w:tab w:val="right" w:pos="8306"/>
      </w:tabs>
      <w:snapToGrid w:val="0"/>
      <w:jc w:val="left"/>
    </w:pPr>
    <w:rPr>
      <w:sz w:val="18"/>
    </w:rPr>
  </w:style>
  <w:style w:type="character" w:customStyle="1" w:styleId="5">
    <w:name w:val="页脚 Char"/>
    <w:basedOn w:val="3"/>
    <w:link w:val="2"/>
    <w:uiPriority w:val="0"/>
    <w:rPr>
      <w:rFonts w:ascii="Arial" w:hAnsi="Arial" w:eastAsia="Arial" w:cs="Arial"/>
      <w:snapToGrid w:val="0"/>
      <w:color w:val="000000"/>
      <w:sz w:val="18"/>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省交通厅</Company>
  <Pages>1</Pages>
  <Words>0</Words>
  <Characters>0</Characters>
  <Lines>0</Lines>
  <Paragraphs>0</Paragraphs>
  <ScaleCrop>false</ScaleCrop>
  <LinksUpToDate>false</LinksUpToDate>
  <CharactersWithSpaces>0</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2026-09-10T06:15:00Z</dcterms:created>
  <dc:creator>Administrator</dc:creator>
  <cp:lastModifiedBy>Administrator</cp:lastModifiedBy>
  <dcterms:modified xsi:type="dcterms:W3CDTF">2026-09-10T06:18:57Z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2052-10.8.0.5988</vt:lpwstr>
  </property>
</Properties>
</file>