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9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43"/>
        <w:gridCol w:w="8720"/>
      </w:tblGrid>
      <w:tr w14:paraId="5DC0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30" w:type="dxa"/>
          </w:tcPr>
          <w:p w14:paraId="0C0185EC">
            <w:pPr>
              <w:framePr w:wrap="notBeside" w:vAnchor="page" w:hAnchor="page" w:x="1372" w:y="548"/>
              <w:widowControl w:val="0"/>
              <w:snapToGrid w:val="0"/>
              <w:spacing w:after="120" w:line="240" w:lineRule="auto"/>
              <w:jc w:val="left"/>
              <w:rPr>
                <w:rFonts w:ascii="黑体" w:hAnsi="黑体" w:eastAsia="黑体" w:cs="Times New Roman"/>
                <w:kern w:val="2"/>
                <w:sz w:val="21"/>
                <w:szCs w:val="21"/>
                <w:lang w:val="en-US" w:eastAsia="zh-CN" w:bidi="ar-SA"/>
              </w:rPr>
            </w:pPr>
            <w:bookmarkStart w:id="0" w:name="_Toc21148"/>
            <w:bookmarkStart w:id="1" w:name="_Toc3165"/>
            <w:bookmarkStart w:id="2" w:name="_Toc6752"/>
            <w:bookmarkStart w:id="3" w:name="_Toc23818"/>
            <w:bookmarkStart w:id="4" w:name="_Toc17873169"/>
            <w:bookmarkStart w:id="5" w:name="_Toc24368"/>
            <w:bookmarkStart w:id="6" w:name="_Toc4514"/>
            <w:bookmarkStart w:id="7" w:name="_Toc28841"/>
            <w:bookmarkStart w:id="8" w:name="_Toc30005"/>
            <w:bookmarkStart w:id="9" w:name="_Toc12314"/>
            <w:bookmarkStart w:id="10" w:name="_Toc7967"/>
            <w:bookmarkStart w:id="11" w:name="_Toc16893"/>
            <w:bookmarkStart w:id="12" w:name="_Toc4842"/>
            <w:bookmarkStart w:id="13" w:name="_Toc17872486"/>
            <w:bookmarkStart w:id="14" w:name="_Toc17834622"/>
            <w:bookmarkStart w:id="15" w:name="_Toc25362"/>
            <w:bookmarkStart w:id="16" w:name="_Toc17834258"/>
            <w:bookmarkStart w:id="17" w:name="_Toc3538"/>
            <w:bookmarkStart w:id="18" w:name="_Toc17808343"/>
            <w:bookmarkStart w:id="19" w:name="_Toc30503"/>
            <w:bookmarkStart w:id="20" w:name="_Toc17873171"/>
            <w:r>
              <w:rPr>
                <w:rFonts w:hint="eastAsia" w:ascii="黑体" w:hAnsi="黑体" w:eastAsia="黑体" w:cs="黑体"/>
                <w:kern w:val="2"/>
                <w:sz w:val="21"/>
                <w:szCs w:val="21"/>
                <w:lang w:val="en-US" w:eastAsia="zh-CN" w:bidi="ar-SA"/>
              </w:rPr>
              <w:t>ICS  03.200</w:t>
            </w:r>
            <w:r>
              <w:rPr>
                <w:rFonts w:ascii="黑体" w:hAnsi="黑体" w:eastAsia="黑体" w:cs="Times New Roman"/>
                <w:kern w:val="2"/>
                <w:sz w:val="21"/>
                <w:szCs w:val="21"/>
                <w:lang w:val="en-US" w:eastAsia="zh-CN" w:bidi="ar-SA"/>
              </w:rPr>
              <w:t xml:space="preserve">  </w:t>
            </w:r>
          </w:p>
        </w:tc>
        <w:tc>
          <w:tcPr>
            <w:tcW w:w="8625" w:type="dxa"/>
          </w:tcPr>
          <w:p w14:paraId="50E73F57">
            <w:pPr>
              <w:framePr w:wrap="notBeside" w:vAnchor="page" w:hAnchor="page" w:x="1372" w:y="548"/>
              <w:widowControl w:val="0"/>
              <w:snapToGrid w:val="0"/>
              <w:spacing w:after="120" w:line="240" w:lineRule="auto"/>
              <w:jc w:val="both"/>
              <w:rPr>
                <w:rFonts w:hint="default" w:ascii="黑体" w:hAnsi="黑体" w:eastAsia="黑体" w:cs="Times New Roman"/>
                <w:kern w:val="2"/>
                <w:sz w:val="21"/>
                <w:szCs w:val="21"/>
                <w:lang w:val="en-US" w:eastAsia="zh-CN" w:bidi="ar-SA"/>
              </w:rPr>
            </w:pPr>
          </w:p>
        </w:tc>
      </w:tr>
      <w:tr w14:paraId="54A4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230" w:type="dxa"/>
          </w:tcPr>
          <w:p w14:paraId="68CCEA30">
            <w:pPr>
              <w:keepNext w:val="0"/>
              <w:keepLines w:val="0"/>
              <w:pageBreakBefore w:val="0"/>
              <w:framePr w:wrap="notBeside" w:vAnchor="page" w:hAnchor="page" w:x="1372" w:y="548"/>
              <w:widowControl w:val="0"/>
              <w:kinsoku/>
              <w:wordWrap/>
              <w:overflowPunct/>
              <w:topLinePunct w:val="0"/>
              <w:autoSpaceDE/>
              <w:autoSpaceDN/>
              <w:bidi w:val="0"/>
              <w:adjustRightInd/>
              <w:snapToGrid w:val="0"/>
              <w:spacing w:before="40" w:after="0" w:line="240" w:lineRule="auto"/>
              <w:jc w:val="left"/>
              <w:textAlignment w:val="auto"/>
              <w:rPr>
                <w:rFonts w:ascii="黑体" w:hAnsi="黑体" w:eastAsia="黑体" w:cs="Times New Roman"/>
                <w:kern w:val="2"/>
                <w:sz w:val="21"/>
                <w:szCs w:val="21"/>
                <w:lang w:val="en-US" w:eastAsia="zh-CN" w:bidi="ar-SA"/>
              </w:rPr>
            </w:pPr>
            <w:r>
              <w:rPr>
                <w:rFonts w:hint="eastAsia" w:ascii="黑体" w:hAnsi="黑体" w:eastAsia="黑体" w:cs="黑体"/>
                <w:kern w:val="2"/>
                <w:sz w:val="21"/>
                <w:szCs w:val="21"/>
                <w:lang w:val="en-US" w:eastAsia="zh-CN" w:bidi="ar-SA"/>
              </w:rPr>
              <w:t>CCS</w:t>
            </w:r>
            <w:r>
              <w:rPr>
                <w:rFonts w:ascii="Times New Roman" w:hAnsi="Times New Roman" w:eastAsia="黑体" w:cs="Times New Roman"/>
                <w:kern w:val="2"/>
                <w:sz w:val="21"/>
                <w:szCs w:val="21"/>
                <w:lang w:val="en-US" w:eastAsia="zh-CN" w:bidi="ar-SA"/>
              </w:rPr>
              <w:t xml:space="preserve"> </w:t>
            </w:r>
            <w:r>
              <w:rPr>
                <w:rFonts w:hint="eastAsia" w:ascii="Times New Roman" w:hAnsi="Times New Roman" w:eastAsia="黑体" w:cs="Times New Roman"/>
                <w:kern w:val="2"/>
                <w:sz w:val="21"/>
                <w:szCs w:val="21"/>
                <w:lang w:val="en-US" w:eastAsia="zh-CN" w:bidi="ar-SA"/>
              </w:rPr>
              <w:t xml:space="preserve"> </w:t>
            </w:r>
            <w:r>
              <w:rPr>
                <w:rFonts w:hint="eastAsia" w:ascii="黑体" w:hAnsi="黑体" w:eastAsia="黑体" w:cs="Times New Roman"/>
                <w:kern w:val="2"/>
                <w:sz w:val="21"/>
                <w:szCs w:val="21"/>
                <w:lang w:val="en-US" w:eastAsia="zh-CN" w:bidi="ar-SA"/>
              </w:rPr>
              <w:t>R   18</w:t>
            </w:r>
            <w:r>
              <w:rPr>
                <w:rFonts w:ascii="黑体" w:hAnsi="黑体" w:eastAsia="黑体" w:cs="Times New Roman"/>
                <w:kern w:val="2"/>
                <w:sz w:val="21"/>
                <w:szCs w:val="21"/>
                <w:lang w:val="en-US" w:eastAsia="zh-CN" w:bidi="ar-SA"/>
              </w:rPr>
              <w:t xml:space="preserve"> </w:t>
            </w:r>
          </w:p>
        </w:tc>
        <w:tc>
          <w:tcPr>
            <w:tcW w:w="8625" w:type="dxa"/>
          </w:tcPr>
          <w:tbl>
            <w:tblPr>
              <w:tblStyle w:val="18"/>
              <w:tblpPr w:leftFromText="180" w:rightFromText="180" w:vertAnchor="text" w:horzAnchor="page" w:tblpX="2221" w:tblpY="99"/>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CCB99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B9F7FB4">
                  <w:pPr>
                    <w:framePr w:wrap="notBeside" w:vAnchor="page" w:hAnchor="page" w:x="1372" w:y="548"/>
                    <w:shd w:val="solid" w:color="FFFFFF" w:fill="FFFFFF"/>
                    <w:spacing w:line="0" w:lineRule="atLeast"/>
                    <w:jc w:val="center"/>
                    <w:rPr>
                      <w:rFonts w:hint="eastAsia" w:ascii="Times New Roman" w:hAnsi="Times New Roman" w:eastAsia="宋体" w:cs="Times New Roman"/>
                      <w:b/>
                      <w:color w:val="000000" w:themeColor="text1"/>
                      <w:w w:val="130"/>
                      <w:sz w:val="96"/>
                      <w:szCs w:val="96"/>
                      <w:lang w:val="en-US" w:eastAsia="zh-CN" w:bidi="ar-SA"/>
                      <w14:textFill>
                        <w14:solidFill>
                          <w14:schemeClr w14:val="tx1"/>
                        </w14:solidFill>
                      </w14:textFill>
                    </w:rPr>
                  </w:pPr>
                  <w:r>
                    <w:rPr>
                      <w:rFonts w:ascii="Times New Roman" w:hAnsi="Times New Roman" w:eastAsia="宋体" w:cs="Times New Roman"/>
                      <w:b/>
                      <w:w w:val="130"/>
                      <w:sz w:val="96"/>
                      <w:szCs w:val="96"/>
                      <w:lang w:val="en-US" w:eastAsia="zh-CN" w:bidi="ar-SA"/>
                    </w:rPr>
                    <w:drawing>
                      <wp:anchor distT="0" distB="0" distL="0" distR="0" simplePos="0" relativeHeight="251666432" behindDoc="0" locked="0" layoutInCell="1" allowOverlap="1">
                        <wp:simplePos x="0" y="0"/>
                        <wp:positionH relativeFrom="column">
                          <wp:posOffset>1621790</wp:posOffset>
                        </wp:positionH>
                        <wp:positionV relativeFrom="paragraph">
                          <wp:posOffset>173355</wp:posOffset>
                        </wp:positionV>
                        <wp:extent cx="796290" cy="397510"/>
                        <wp:effectExtent l="0" t="0" r="381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anchor>
                    </w:drawing>
                  </w:r>
                  <w:r>
                    <w:rPr>
                      <w:rFonts w:hint="eastAsia" w:ascii="Times New Roman" w:hAnsi="Times New Roman" w:eastAsia="宋体" w:cs="Times New Roman"/>
                      <w:b/>
                      <w:color w:val="000000" w:themeColor="text1"/>
                      <w:w w:val="130"/>
                      <w:sz w:val="96"/>
                      <w:szCs w:val="96"/>
                      <w:lang w:val="en-US" w:eastAsia="zh-CN" w:bidi="ar-SA"/>
                      <w14:textFill>
                        <w14:solidFill>
                          <w14:schemeClr w14:val="tx1"/>
                        </w14:solidFill>
                      </w14:textFill>
                    </w:rPr>
                    <w:t xml:space="preserve">     21</w:t>
                  </w:r>
                </w:p>
                <w:p w14:paraId="4AEDD46D">
                  <w:pPr>
                    <w:framePr w:wrap="notBeside" w:vAnchor="page" w:hAnchor="page" w:x="1372" w:y="548"/>
                    <w:shd w:val="solid" w:color="FFFFFF" w:fill="FFFFFF"/>
                    <w:spacing w:line="0" w:lineRule="atLeast"/>
                    <w:jc w:val="right"/>
                    <w:rPr>
                      <w:rFonts w:ascii="宋体" w:hAnsi="宋体" w:eastAsia="宋体" w:cs="Times New Roman"/>
                      <w:b/>
                      <w:w w:val="170"/>
                      <w:sz w:val="28"/>
                      <w:szCs w:val="28"/>
                      <w:lang w:val="en-US" w:eastAsia="zh-CN" w:bidi="ar-SA"/>
                    </w:rPr>
                  </w:pPr>
                </w:p>
              </w:tc>
            </w:tr>
          </w:tbl>
          <w:p w14:paraId="64C8B963">
            <w:pPr>
              <w:keepNext w:val="0"/>
              <w:keepLines w:val="0"/>
              <w:pageBreakBefore w:val="0"/>
              <w:framePr w:wrap="notBeside" w:vAnchor="page" w:hAnchor="page" w:x="1372" w:y="548"/>
              <w:widowControl w:val="0"/>
              <w:kinsoku/>
              <w:wordWrap/>
              <w:overflowPunct/>
              <w:topLinePunct w:val="0"/>
              <w:autoSpaceDE/>
              <w:autoSpaceDN/>
              <w:bidi w:val="0"/>
              <w:adjustRightInd/>
              <w:snapToGrid w:val="0"/>
              <w:spacing w:after="0" w:line="240" w:lineRule="auto"/>
              <w:jc w:val="left"/>
              <w:textAlignment w:val="auto"/>
              <w:rPr>
                <w:rFonts w:hint="default" w:ascii="黑体" w:hAnsi="黑体" w:eastAsia="黑体" w:cs="Times New Roman"/>
                <w:kern w:val="2"/>
                <w:sz w:val="21"/>
                <w:szCs w:val="21"/>
                <w:lang w:val="en-US" w:eastAsia="zh-CN" w:bidi="ar-SA"/>
              </w:rPr>
            </w:pPr>
          </w:p>
        </w:tc>
      </w:tr>
    </w:tbl>
    <w:p w14:paraId="52943D0A">
      <w:pPr>
        <w:pStyle w:val="27"/>
        <w:framePr w:w="9359"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辽宁</w:t>
      </w:r>
      <w:r>
        <w:rPr>
          <w:color w:val="000000" w:themeColor="text1"/>
          <w14:textFill>
            <w14:solidFill>
              <w14:schemeClr w14:val="tx1"/>
            </w14:solidFill>
          </w14:textFill>
        </w:rPr>
        <w:t>省地方标准</w:t>
      </w:r>
    </w:p>
    <w:p w14:paraId="529CFA69">
      <w:pPr>
        <w:pStyle w:val="28"/>
        <w:framePr w:wrap="around"/>
        <w:rPr>
          <w:rFonts w:hint="eastAsia" w:eastAsia="黑体"/>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-144145</wp:posOffset>
                </wp:positionH>
                <wp:positionV relativeFrom="paragraph">
                  <wp:posOffset>852805</wp:posOffset>
                </wp:positionV>
                <wp:extent cx="58839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88391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35pt;margin-top:67.15pt;height:0pt;width:463.3pt;z-index:251662336;mso-width-relative:page;mso-height-relative:page;" filled="f" stroked="t" coordsize="21600,21600" o:gfxdata="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82Nk&#10;2QAAAAsBAAAPAAAAAAAAAAEAIAAAACIAAABkcnMvZG93bnJldi54bWxQSwECFAAUAAAACACHTuJA&#10;QsxWc+cBAADAAwAADgAAAAAAAAABACAAAAAoAQAAZHJzL2Uyb0RvYy54bWxQSwUGAAAAAAYABgBZ&#10;AQAAgQUAAAAA&#10;">
                <v:fill on="f" focussize="0,0"/>
                <v:stroke weight="1pt" color="#000000 [3204]" miterlimit="8" joinstyle="miter"/>
                <v:imagedata o:title=""/>
                <o:lock v:ext="edit" aspectratio="f"/>
              </v:line>
            </w:pict>
          </mc:Fallback>
        </mc:AlternateContent>
      </w:r>
      <w:r>
        <w:rPr>
          <w:rFonts w:hint="eastAsia"/>
        </w:rPr>
        <w:t>DB21/T XXXX—202</w:t>
      </w:r>
      <w:r>
        <w:rPr>
          <w:rFonts w:hint="eastAsia"/>
          <w:lang w:val="en-US" w:eastAsia="zh-CN"/>
        </w:rPr>
        <w:t>5</w:t>
      </w:r>
    </w:p>
    <w:p w14:paraId="082B5E75">
      <w:pPr>
        <w:pStyle w:val="28"/>
        <w:framePr w:wrap="around"/>
        <w:rPr>
          <w:rFonts w:hint="eastAsia"/>
        </w:rPr>
      </w:pPr>
    </w:p>
    <w:p w14:paraId="2F8A14E2">
      <w:pPr>
        <w:pStyle w:val="28"/>
        <w:framePr w:wrap="around"/>
        <w:rPr>
          <w:rFonts w:hint="eastAsia"/>
        </w:rPr>
      </w:pPr>
    </w:p>
    <w:p w14:paraId="6750FDA1">
      <w:pPr>
        <w:pStyle w:val="28"/>
        <w:framePr w:wrap="around"/>
        <w:rPr>
          <w:rFonts w:hint="eastAsia"/>
        </w:rPr>
      </w:pPr>
    </w:p>
    <w:p w14:paraId="115E2A27">
      <w:pPr>
        <w:pStyle w:val="28"/>
        <w:framePr w:wrap="around"/>
        <w:rPr>
          <w:rFonts w:hint="eastAsia"/>
        </w:rPr>
      </w:pPr>
      <w:r>
        <w:rPr>
          <w:rFonts w:hint="eastAsia"/>
        </w:rPr>
        <w:t>高速公路建设项目安全管理规范</w:t>
      </w:r>
    </w:p>
    <w:p w14:paraId="217BCD89">
      <w:pPr>
        <w:pStyle w:val="28"/>
        <w:framePr w:wrap="around"/>
        <w:rPr>
          <w:rFonts w:hint="eastAsia" w:eastAsia="黑体"/>
          <w:lang w:val="en-US" w:eastAsia="zh-CN"/>
        </w:rPr>
      </w:pPr>
      <w:r>
        <w:rPr>
          <w:rFonts w:hint="eastAsia"/>
        </w:rPr>
        <w:t>Safety management specification for freeways under construction</w:t>
      </w:r>
      <w:r>
        <w:t>02</w:t>
      </w:r>
      <w:r>
        <w:rPr>
          <w:rFonts w:hint="eastAsia"/>
          <w:lang w:val="en-US" w:eastAsia="zh-CN"/>
        </w:rPr>
        <w:t>5</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4198E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74268EE7">
            <w:pPr>
              <w:pStyle w:val="29"/>
              <w:framePr w:wrap="around"/>
              <w:rPr>
                <w:color w:val="000000" w:themeColor="text1"/>
                <w14:textFill>
                  <w14:solidFill>
                    <w14:schemeClr w14:val="tx1"/>
                  </w14:solidFill>
                </w14:textFill>
              </w:rPr>
            </w:pPr>
            <w:bookmarkStart w:id="21" w:name="DT"/>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wps:spPr>
                            <wps:txbx>
                              <w:txbxContent>
                                <w:p w14:paraId="47AB8C9A">
                                  <w:pPr>
                                    <w:jc w:val="center"/>
                                  </w:pPr>
                                </w:p>
                              </w:txbxContent>
                            </wps:txbx>
                            <wps:bodyPr anchor="ctr" upright="1"/>
                          </wps:wsp>
                        </a:graphicData>
                      </a:graphic>
                    </wp:anchor>
                  </w:drawing>
                </mc:Choice>
                <mc:Fallback>
                  <w:pict>
                    <v:rect id="DT" o:spid="_x0000_s1026" o:spt="1" style="position:absolute;left:0pt;margin-left:372.8pt;margin-top:2.7pt;height:18pt;width:90pt;z-index:-251657216;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eO/&#10;z9MAAAAIAQAADwAAAAAAAAABACAAAAAiAAAAZHJzL2Rvd25yZXYueG1sUEsBAhQAFAAAAAgAh07i&#10;QM6uDhy1AQAAewMAAA4AAAAAAAAAAQAgAAAAIgEAAGRycy9lMm9Eb2MueG1sUEsFBgAAAAAGAAYA&#10;WQEAAEkFAAAAAA==&#10;">
                      <v:fill on="t" focussize="0,0"/>
                      <v:stroke on="f" weight="2pt"/>
                      <v:imagedata o:title=""/>
                      <o:lock v:ext="edit" aspectratio="f"/>
                      <v:textbox>
                        <w:txbxContent>
                          <w:p w14:paraId="47AB8C9A">
                            <w:pPr>
                              <w:jc w:val="center"/>
                            </w:pPr>
                          </w:p>
                        </w:txbxContent>
                      </v:textbox>
                    </v:rect>
                  </w:pict>
                </mc:Fallback>
              </mc:AlternateContent>
            </w:r>
            <w:bookmarkEnd w:id="21"/>
          </w:p>
        </w:tc>
      </w:tr>
    </w:tbl>
    <w:p w14:paraId="5B0717DC">
      <w:pPr>
        <w:pStyle w:val="28"/>
        <w:framePr w:wrap="around"/>
      </w:pPr>
    </w:p>
    <w:p w14:paraId="7E8F7058">
      <w:pPr>
        <w:pStyle w:val="28"/>
        <w:framePr w:wrap="around"/>
      </w:pPr>
    </w:p>
    <w:p w14:paraId="21045739">
      <w:pPr>
        <w:pStyle w:val="30"/>
        <w:framePr w:wrap="around" w:x="1370" w:y="5628"/>
        <w:rPr>
          <w:rFonts w:hint="eastAsia" w:ascii="黑体" w:hAnsi="黑体" w:eastAsia="黑体" w:cs="黑体"/>
          <w:sz w:val="52"/>
          <w:szCs w:val="52"/>
        </w:rPr>
      </w:pPr>
      <w:bookmarkStart w:id="62" w:name="_GoBack"/>
      <w:bookmarkEnd w:id="62"/>
      <w:r>
        <w:rPr>
          <w:rFonts w:hint="eastAsia" w:ascii="黑体" w:hAnsi="黑体" w:eastAsia="黑体" w:cs="黑体"/>
          <w:sz w:val="52"/>
          <w:szCs w:val="52"/>
        </w:rPr>
        <w:t>危险货物道路运输企业安全风险</w:t>
      </w:r>
    </w:p>
    <w:p w14:paraId="27BA9CE4">
      <w:pPr>
        <w:pStyle w:val="30"/>
        <w:framePr w:wrap="around" w:x="1370" w:y="5628"/>
        <w:rPr>
          <w:rFonts w:hint="eastAsia" w:hAnsi="Times New Roman" w:cs="Times New Roman"/>
          <w:color w:val="000000" w:themeColor="text1"/>
          <w:sz w:val="52"/>
          <w:szCs w:val="52"/>
          <w14:textFill>
            <w14:solidFill>
              <w14:schemeClr w14:val="tx1"/>
            </w14:solidFill>
          </w14:textFill>
        </w:rPr>
      </w:pPr>
      <w:r>
        <w:rPr>
          <w:rFonts w:hint="eastAsia" w:ascii="黑体" w:hAnsi="黑体" w:eastAsia="黑体" w:cs="黑体"/>
          <w:sz w:val="52"/>
          <w:szCs w:val="52"/>
        </w:rPr>
        <w:t>分级管控规范</w:t>
      </w:r>
    </w:p>
    <w:p w14:paraId="49909A0D">
      <w:pPr>
        <w:pStyle w:val="31"/>
        <w:framePr w:wrap="around" w:x="1370" w:y="5628"/>
        <w:rPr>
          <w:rFonts w:hint="eastAsia" w:ascii="黑体" w:hAnsi="黑体" w:eastAsia="黑体" w:cs="黑体"/>
          <w:i w:val="0"/>
          <w:caps w:val="0"/>
          <w:color w:val="111111"/>
          <w:spacing w:val="0"/>
          <w:sz w:val="28"/>
          <w:szCs w:val="28"/>
        </w:rPr>
      </w:pPr>
      <w:r>
        <w:rPr>
          <w:rFonts w:hint="eastAsia" w:ascii="黑体" w:hAnsi="黑体" w:eastAsia="黑体" w:cs="黑体"/>
          <w:i w:val="0"/>
          <w:caps w:val="0"/>
          <w:color w:val="111111"/>
          <w:spacing w:val="0"/>
          <w:sz w:val="28"/>
          <w:szCs w:val="28"/>
        </w:rPr>
        <w:t xml:space="preserve">standardization for the hierarchical management and control of </w:t>
      </w:r>
    </w:p>
    <w:p w14:paraId="0E60374C">
      <w:pPr>
        <w:pStyle w:val="31"/>
        <w:framePr w:wrap="around" w:x="1370" w:y="5628"/>
        <w:rPr>
          <w:rFonts w:hint="eastAsia" w:ascii="黑体" w:hAnsi="黑体" w:eastAsia="黑体" w:cs="黑体"/>
          <w:i w:val="0"/>
          <w:caps w:val="0"/>
          <w:color w:val="111111"/>
          <w:spacing w:val="0"/>
          <w:sz w:val="28"/>
          <w:szCs w:val="28"/>
        </w:rPr>
      </w:pPr>
      <w:r>
        <w:rPr>
          <w:rFonts w:hint="eastAsia" w:ascii="黑体" w:hAnsi="黑体" w:eastAsia="黑体" w:cs="黑体"/>
          <w:i w:val="0"/>
          <w:caps w:val="0"/>
          <w:color w:val="111111"/>
          <w:spacing w:val="0"/>
          <w:sz w:val="28"/>
          <w:szCs w:val="28"/>
        </w:rPr>
        <w:t>safety risks of dangerous goods road transport enterprises</w:t>
      </w:r>
    </w:p>
    <w:p w14:paraId="200A48FE">
      <w:pPr>
        <w:pStyle w:val="31"/>
        <w:framePr w:wrap="around" w:x="1370" w:y="5628"/>
        <w:rPr>
          <w:rFonts w:hint="eastAsia" w:ascii="黑体" w:hAnsi="黑体" w:eastAsia="黑体" w:cs="黑体"/>
          <w:i w:val="0"/>
          <w:caps w:val="0"/>
          <w:color w:val="111111"/>
          <w:spacing w:val="0"/>
          <w:sz w:val="28"/>
          <w:szCs w:val="28"/>
          <w:lang w:eastAsia="zh-CN"/>
        </w:rPr>
      </w:pPr>
      <w:r>
        <w:rPr>
          <w:rFonts w:hint="eastAsia" w:ascii="黑体" w:hAnsi="黑体" w:cs="黑体"/>
          <w:i w:val="0"/>
          <w:caps w:val="0"/>
          <w:color w:val="111111"/>
          <w:spacing w:val="0"/>
          <w:sz w:val="28"/>
          <w:szCs w:val="28"/>
          <w:lang w:eastAsia="zh-CN"/>
        </w:rPr>
        <w:t>（</w:t>
      </w:r>
      <w:r>
        <w:rPr>
          <w:rFonts w:hint="eastAsia" w:ascii="黑体" w:hAnsi="黑体" w:cs="黑体"/>
          <w:i w:val="0"/>
          <w:caps w:val="0"/>
          <w:color w:val="111111"/>
          <w:spacing w:val="0"/>
          <w:sz w:val="28"/>
          <w:szCs w:val="28"/>
          <w:lang w:val="en-US" w:eastAsia="zh-CN"/>
        </w:rPr>
        <w:t>征求意见稿</w:t>
      </w:r>
      <w:r>
        <w:rPr>
          <w:rFonts w:hint="eastAsia" w:ascii="黑体" w:hAnsi="黑体" w:cs="黑体"/>
          <w:i w:val="0"/>
          <w:caps w:val="0"/>
          <w:color w:val="111111"/>
          <w:spacing w:val="0"/>
          <w:sz w:val="28"/>
          <w:szCs w:val="28"/>
          <w:lang w:eastAsia="zh-CN"/>
        </w:rPr>
        <w:t>）</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27CC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41153008">
            <w:pPr>
              <w:pStyle w:val="32"/>
              <w:framePr w:wrap="around" w:x="1370" w:y="5628"/>
            </w:pPr>
          </w:p>
        </w:tc>
      </w:tr>
    </w:tbl>
    <w:p w14:paraId="456FB698">
      <w:pPr>
        <w:pStyle w:val="35"/>
        <w:framePr w:wrap="around"/>
        <w:rPr>
          <w:color w:val="000000" w:themeColor="text1"/>
          <w14:textFill>
            <w14:solidFill>
              <w14:schemeClr w14:val="tx1"/>
            </w14:solidFill>
          </w14:textFill>
        </w:rPr>
      </w:pPr>
      <w:bookmarkStart w:id="22" w:name="FY"/>
      <w:r>
        <w:rPr>
          <w:rFonts w:ascii="黑体"/>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300990</wp:posOffset>
                </wp:positionV>
                <wp:extent cx="612013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3.7pt;height:0pt;width:481.9pt;z-index:251665408;mso-width-relative:page;mso-height-relative:page;" filled="f" stroked="t" coordsize="21600,21600" o:gfxdata="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HtTzWAAAA&#10;BwEAAA8AAAAAAAAAAQAgAAAAIgAAAGRycy9kb3ducmV2LnhtbFBLAQIUABQAAAAIAIdO4kB/1PLK&#10;5gEAAMADAAAOAAAAAAAAAAEAIAAAACUBAABkcnMvZTJvRG9jLnhtbFBLBQYAAAAABgAGAFkBAAB9&#10;BQAAAAA=&#10;">
                <v:fill on="f" focussize="0,0"/>
                <v:stroke weight="1pt" color="#000000 [3204]" miterlimit="8" joinstyle="miter"/>
                <v:imagedata o:title=""/>
                <o:lock v:ext="edit" aspectratio="f"/>
              </v:line>
            </w:pict>
          </mc:Fallback>
        </mc:AlternateContent>
      </w:r>
      <w:bookmarkEnd w:id="22"/>
      <w:r>
        <w:rPr>
          <w:rFonts w:hint="eastAsia" w:ascii="黑体"/>
          <w:color w:val="000000" w:themeColor="text1"/>
          <w14:textFill>
            <w14:solidFill>
              <w14:schemeClr w14:val="tx1"/>
            </w14:solidFill>
          </w14:textFill>
        </w:rPr>
        <w:t>202</w:t>
      </w:r>
      <w:r>
        <w:rPr>
          <w:rFonts w:hint="eastAsia" w:ascii="黑体"/>
          <w:color w:val="000000" w:themeColor="text1"/>
          <w:lang w:val="en-US" w:eastAsia="zh-CN"/>
          <w14:textFill>
            <w14:solidFill>
              <w14:schemeClr w14:val="tx1"/>
            </w14:solidFill>
          </w14:textFill>
        </w:rPr>
        <w:t>5</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w:t>
      </w:r>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84.25pt;height:0pt;width:481.9pt;z-index:251664384;mso-width-relative:page;mso-height-relative:page;" filled="f" stroked="t" coordsize="21600,21600" o:gfxdata="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F6pG2AAA&#10;AAkBAAAPAAAAAAAAAAEAIAAAACIAAABkcnMvZG93bnJldi54bWxQSwECFAAUAAAACACHTuJAjupY&#10;l+UBAADAAwAADgAAAAAAAAABACAAAAAnAQAAZHJzL2Uyb0RvYy54bWxQSwUGAAAAAAYABgBZAQAA&#10;fgUAAAAA&#10;">
                <v:fill on="f" focussize="0,0"/>
                <v:stroke weight="1pt" color="#000000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8891905</wp:posOffset>
                </wp:positionV>
                <wp:extent cx="612013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700.15pt;height:0pt;width:481.9pt;z-index:251660288;mso-width-relative:page;mso-height-relative:page;" filled="f" stroked="t" coordsize="21600,21600" o:gfxdata="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NH0T2AAA&#10;AAsBAAAPAAAAAAAAAAEAIAAAACIAAABkcnMvZG93bnJldi54bWxQSwECFAAUAAAACACHTuJAnamm&#10;ceUBAADAAwAADgAAAAAAAAABACAAAAAnAQAAZHJzL2Uyb0RvYy54bWxQSwUGAAAAAAYABgBZAQAA&#10;fgUAAAAA&#10;">
                <v:fill on="f" focussize="0,0"/>
                <v:stroke weight="1pt" color="#000000 [3204]" miterlimit="8" joinstyle="miter"/>
                <v:imagedata o:title=""/>
                <o:lock v:ext="edit" aspectratio="f"/>
              </v:line>
            </w:pict>
          </mc:Fallback>
        </mc:AlternateContent>
      </w:r>
    </w:p>
    <w:p w14:paraId="3646E4B6">
      <w:pPr>
        <w:pStyle w:val="36"/>
        <w:framePr w:wrap="around"/>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202</w:t>
      </w:r>
      <w:r>
        <w:rPr>
          <w:rFonts w:hint="eastAsia" w:ascii="黑体"/>
          <w:color w:val="000000" w:themeColor="text1"/>
          <w:lang w:val="en-US" w:eastAsia="zh-CN"/>
          <w14:textFill>
            <w14:solidFill>
              <w14:schemeClr w14:val="tx1"/>
            </w14:solidFill>
          </w14:textFill>
        </w:rPr>
        <w:t>5</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w:t>
      </w:r>
      <w:r>
        <w:rPr>
          <w:rFonts w:hint="eastAsia"/>
          <w:color w:val="000000" w:themeColor="text1"/>
          <w14:textFill>
            <w14:solidFill>
              <w14:schemeClr w14:val="tx1"/>
            </w14:solidFill>
          </w14:textFill>
        </w:rPr>
        <w:t>实施</w:t>
      </w:r>
    </w:p>
    <w:p w14:paraId="4EEA2256">
      <w:pPr>
        <w:pStyle w:val="38"/>
        <w:framePr w:wrap="around"/>
        <w:rPr>
          <w:rFonts w:hint="eastAsia" w:hAnsi="黑体" w:cs="Times New Roman"/>
          <w:color w:val="000000"/>
          <w:w w:val="100"/>
          <w:sz w:val="28"/>
          <w:shd w:val="clear" w:color="auto" w:fill="auto"/>
          <w:lang w:val="en-US" w:eastAsia="zh-CN"/>
          <w14:reflection w14:blurRad="0" w14:stA="0" w14:stPos="0" w14:endA="0" w14:endPos="0" w14:dist="0" w14:dir="0" w14:fadeDir="0" w14:sx="0" w14:sy="0" w14:kx="0" w14:ky="0" w14:algn="none"/>
        </w:rPr>
      </w:pPr>
      <w:r>
        <w:rPr>
          <w:rFonts w:hint="eastAsia" w:hAnsi="黑体" w:cs="Times New Roman"/>
          <w:color w:val="000000"/>
          <w:w w:val="100"/>
          <w:sz w:val="28"/>
          <w:shd w:val="clear" w:color="auto" w:fill="auto"/>
          <w:lang w:val="en-US" w:eastAsia="zh-CN"/>
          <w14:reflection w14:blurRad="0" w14:stA="0" w14:stPos="0" w14:endA="0" w14:endPos="0" w14:dist="0" w14:dir="0" w14:fadeDir="0" w14:sx="0" w14:sy="0" w14:kx="0" w14:ky="0" w14:algn="none"/>
        </w:rPr>
        <w:t>辽宁省市场监督管理局  发布</w:t>
      </w:r>
    </w:p>
    <w:p w14:paraId="51E77936">
      <w:pPr>
        <w:pStyle w:val="6"/>
        <w:numPr>
          <w:ilvl w:val="0"/>
          <w:numId w:val="0"/>
        </w:numPr>
        <w:rPr>
          <w:rFonts w:hint="eastAsia"/>
        </w:rPr>
      </w:pPr>
    </w:p>
    <w:p w14:paraId="2666B885"/>
    <w:p w14:paraId="2FDCD8EA">
      <w:pPr>
        <w:pStyle w:val="6"/>
        <w:numPr>
          <w:ilvl w:val="0"/>
          <w:numId w:val="0"/>
        </w:numPr>
        <w:rPr>
          <w:rFonts w:hint="eastAsia"/>
        </w:rPr>
        <w:sectPr>
          <w:footerReference r:id="rId4" w:type="default"/>
          <w:headerReference r:id="rId3" w:type="even"/>
          <w:pgSz w:w="11906" w:h="16838"/>
          <w:pgMar w:top="1418" w:right="1134" w:bottom="1134" w:left="1134" w:header="851" w:footer="992" w:gutter="0"/>
          <w:pgNumType w:start="1"/>
          <w:cols w:space="425" w:num="1"/>
          <w:docGrid w:type="linesAndChars" w:linePitch="312" w:charSpace="0"/>
        </w:sectPr>
      </w:pPr>
    </w:p>
    <w:bookmarkEnd w:id="0"/>
    <w:bookmarkEnd w:id="1"/>
    <w:bookmarkEnd w:id="2"/>
    <w:bookmarkEnd w:id="3"/>
    <w:bookmarkEnd w:id="4"/>
    <w:bookmarkEnd w:id="5"/>
    <w:bookmarkEnd w:id="6"/>
    <w:bookmarkEnd w:id="7"/>
    <w:bookmarkEnd w:id="8"/>
    <w:sdt>
      <w:sdtPr>
        <w:rPr>
          <w:rFonts w:hint="eastAsia" w:ascii="黑体" w:hAnsi="黑体" w:eastAsia="黑体" w:cs="黑体"/>
          <w:sz w:val="32"/>
          <w:szCs w:val="40"/>
        </w:rPr>
        <w:id w:val="147468398"/>
        <w15:color w:val="DBDBDB"/>
        <w:docPartObj>
          <w:docPartGallery w:val="Table of Contents"/>
          <w:docPartUnique/>
        </w:docPartObj>
      </w:sdtPr>
      <w:sdtEndPr>
        <w:rPr>
          <w:rFonts w:hint="eastAsia" w:ascii="黑体" w:hAnsi="黑体" w:eastAsia="黑体" w:cs="黑体"/>
          <w:kern w:val="2"/>
          <w:sz w:val="32"/>
          <w:szCs w:val="40"/>
        </w:rPr>
      </w:sdtEndPr>
      <w:sdtContent>
        <w:p w14:paraId="2119D748">
          <w:pPr>
            <w:pStyle w:val="41"/>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目 次</w:t>
          </w:r>
        </w:p>
        <w:p w14:paraId="397E9A38">
          <w:pPr>
            <w:pStyle w:val="6"/>
            <w:numPr>
              <w:ilvl w:val="3"/>
              <w:numId w:val="0"/>
            </w:numPr>
          </w:pPr>
        </w:p>
        <w:p w14:paraId="3F769EE6">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TOC \o "1-1" \h \u </w:instrText>
          </w:r>
          <w:r>
            <w:fldChar w:fldCharType="separate"/>
          </w:r>
          <w:r>
            <w:fldChar w:fldCharType="begin"/>
          </w:r>
          <w:r>
            <w:instrText xml:space="preserve"> HYPERLINK \l "_Toc3165" </w:instrText>
          </w:r>
          <w:r>
            <w:fldChar w:fldCharType="separate"/>
          </w:r>
          <w:r>
            <w:rPr>
              <w:kern w:val="0"/>
              <w:szCs w:val="20"/>
            </w:rPr>
            <w:t>前  言</w:t>
          </w:r>
          <w:r>
            <w:tab/>
          </w:r>
          <w:r>
            <w:fldChar w:fldCharType="begin"/>
          </w:r>
          <w:r>
            <w:instrText xml:space="preserve"> PAGEREF _Toc3165 \h </w:instrText>
          </w:r>
          <w:r>
            <w:fldChar w:fldCharType="separate"/>
          </w:r>
          <w:r>
            <w:t>I</w:t>
          </w:r>
          <w:r>
            <w:fldChar w:fldCharType="end"/>
          </w:r>
          <w:r>
            <w:fldChar w:fldCharType="end"/>
          </w:r>
        </w:p>
        <w:p w14:paraId="4FE06FEC">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"_Toc8194" </w:instrText>
          </w:r>
          <w:r>
            <w:fldChar w:fldCharType="separate"/>
          </w:r>
          <w:r>
            <w:rPr>
              <w:szCs w:val="21"/>
            </w:rPr>
            <w:t xml:space="preserve">1 </w:t>
          </w:r>
          <w:r>
            <w:t>范围</w:t>
          </w:r>
          <w:r>
            <w:tab/>
          </w:r>
          <w:r>
            <w:fldChar w:fldCharType="begin"/>
          </w:r>
          <w:r>
            <w:instrText xml:space="preserve"> PAGEREF _Toc8194 \h </w:instrText>
          </w:r>
          <w:r>
            <w:fldChar w:fldCharType="separate"/>
          </w:r>
          <w:r>
            <w:t>1</w:t>
          </w:r>
          <w:r>
            <w:fldChar w:fldCharType="end"/>
          </w:r>
          <w:r>
            <w:fldChar w:fldCharType="end"/>
          </w:r>
        </w:p>
        <w:p w14:paraId="367FE6CD">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"_Toc24884" </w:instrText>
          </w:r>
          <w:r>
            <w:fldChar w:fldCharType="separate"/>
          </w:r>
          <w:r>
            <w:rPr>
              <w:szCs w:val="21"/>
            </w:rPr>
            <w:t xml:space="preserve">2 </w:t>
          </w:r>
          <w:r>
            <w:t>规范性引用文件</w:t>
          </w:r>
          <w:r>
            <w:tab/>
          </w:r>
          <w:r>
            <w:fldChar w:fldCharType="begin"/>
          </w:r>
          <w:r>
            <w:instrText xml:space="preserve"> PAGEREF _Toc24884 \h </w:instrText>
          </w:r>
          <w:r>
            <w:fldChar w:fldCharType="separate"/>
          </w:r>
          <w:r>
            <w:t>1</w:t>
          </w:r>
          <w:r>
            <w:fldChar w:fldCharType="end"/>
          </w:r>
          <w:r>
            <w:fldChar w:fldCharType="end"/>
          </w:r>
        </w:p>
        <w:p w14:paraId="3662F332">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"_Toc17403" </w:instrText>
          </w:r>
          <w:r>
            <w:fldChar w:fldCharType="separate"/>
          </w:r>
          <w:r>
            <w:rPr>
              <w:szCs w:val="21"/>
            </w:rPr>
            <w:t xml:space="preserve">3 </w:t>
          </w:r>
          <w:r>
            <w:t>术语</w:t>
          </w:r>
          <w:r>
            <w:tab/>
          </w:r>
          <w:r>
            <w:fldChar w:fldCharType="begin"/>
          </w:r>
          <w:r>
            <w:instrText xml:space="preserve"> PAGEREF _Toc17403 \h </w:instrText>
          </w:r>
          <w:r>
            <w:fldChar w:fldCharType="separate"/>
          </w:r>
          <w:r>
            <w:t>1</w:t>
          </w:r>
          <w:r>
            <w:fldChar w:fldCharType="end"/>
          </w:r>
          <w:r>
            <w:fldChar w:fldCharType="end"/>
          </w:r>
        </w:p>
        <w:p w14:paraId="73B74260">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"_Toc25025" </w:instrText>
          </w:r>
          <w:r>
            <w:fldChar w:fldCharType="separate"/>
          </w:r>
          <w:r>
            <w:rPr>
              <w:szCs w:val="21"/>
            </w:rPr>
            <w:t xml:space="preserve">4 </w:t>
          </w:r>
          <w:r>
            <w:t>工作程序和内容</w:t>
          </w:r>
          <w:r>
            <w:tab/>
          </w:r>
          <w:r>
            <w:fldChar w:fldCharType="begin"/>
          </w:r>
          <w:r>
            <w:instrText xml:space="preserve"> PAGEREF _Toc25025 \h </w:instrText>
          </w:r>
          <w:r>
            <w:fldChar w:fldCharType="separate"/>
          </w:r>
          <w:r>
            <w:t>2</w:t>
          </w:r>
          <w:r>
            <w:fldChar w:fldCharType="end"/>
          </w:r>
          <w:r>
            <w:fldChar w:fldCharType="end"/>
          </w:r>
        </w:p>
        <w:p w14:paraId="19E56974">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"_Toc19087" </w:instrText>
          </w:r>
          <w:r>
            <w:fldChar w:fldCharType="separate"/>
          </w:r>
          <w:r>
            <w:rPr>
              <w:szCs w:val="21"/>
            </w:rPr>
            <w:t xml:space="preserve">5 </w:t>
          </w:r>
          <w:r>
            <w:t>持续改进</w:t>
          </w:r>
          <w:r>
            <w:tab/>
          </w:r>
          <w:r>
            <w:fldChar w:fldCharType="begin"/>
          </w:r>
          <w:r>
            <w:instrText xml:space="preserve"> PAGEREF _Toc19087 \h </w:instrText>
          </w:r>
          <w:r>
            <w:fldChar w:fldCharType="separate"/>
          </w:r>
          <w:r>
            <w:t>6</w:t>
          </w:r>
          <w:r>
            <w:fldChar w:fldCharType="end"/>
          </w:r>
          <w:r>
            <w:fldChar w:fldCharType="end"/>
          </w:r>
        </w:p>
        <w:p w14:paraId="6C36656D">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"_Toc19571" </w:instrText>
          </w:r>
          <w:r>
            <w:fldChar w:fldCharType="separate"/>
          </w:r>
          <w:r>
            <w:t xml:space="preserve">附录A（资料性）  </w:t>
          </w:r>
          <w:r>
            <w:rPr>
              <w:szCs w:val="21"/>
            </w:rPr>
            <w:t>风险事件分析表示例</w:t>
          </w:r>
          <w:r>
            <w:tab/>
          </w:r>
          <w:r>
            <w:fldChar w:fldCharType="begin"/>
          </w:r>
          <w:r>
            <w:instrText xml:space="preserve"> PAGEREF _Toc19571 \h </w:instrText>
          </w:r>
          <w:r>
            <w:fldChar w:fldCharType="separate"/>
          </w:r>
          <w:r>
            <w:t>8</w:t>
          </w:r>
          <w:r>
            <w:fldChar w:fldCharType="end"/>
          </w:r>
          <w:r>
            <w:fldChar w:fldCharType="end"/>
          </w:r>
        </w:p>
        <w:p w14:paraId="753543F3">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"_Toc18896" </w:instrText>
          </w:r>
          <w:r>
            <w:fldChar w:fldCharType="separate"/>
          </w:r>
          <w:r>
            <w:t xml:space="preserve">附录B（资料性）  </w:t>
          </w:r>
          <w:r>
            <w:rPr>
              <w:szCs w:val="21"/>
            </w:rPr>
            <w:t>岗位安全风险辨识清单示例</w:t>
          </w:r>
          <w:r>
            <w:tab/>
          </w:r>
          <w:r>
            <w:fldChar w:fldCharType="begin"/>
          </w:r>
          <w:r>
            <w:instrText xml:space="preserve"> PAGEREF _Toc18896 \h </w:instrText>
          </w:r>
          <w:r>
            <w:fldChar w:fldCharType="separate"/>
          </w:r>
          <w:r>
            <w:t>9</w:t>
          </w:r>
          <w:r>
            <w:fldChar w:fldCharType="end"/>
          </w:r>
          <w:r>
            <w:fldChar w:fldCharType="end"/>
          </w:r>
        </w:p>
        <w:p w14:paraId="3DB61774">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"_Toc24783" </w:instrText>
          </w:r>
          <w:r>
            <w:fldChar w:fldCharType="separate"/>
          </w:r>
          <w:r>
            <w:t xml:space="preserve">附录C（规范性）  </w:t>
          </w:r>
          <w:r>
            <w:rPr>
              <w:szCs w:val="21"/>
            </w:rPr>
            <w:t>致险因素分析汇总表</w:t>
          </w:r>
          <w:r>
            <w:tab/>
          </w:r>
          <w:r>
            <w:fldChar w:fldCharType="begin"/>
          </w:r>
          <w:r>
            <w:instrText xml:space="preserve"> PAGEREF _Toc24783 \h </w:instrText>
          </w:r>
          <w:r>
            <w:fldChar w:fldCharType="separate"/>
          </w:r>
          <w:r>
            <w:t>10</w:t>
          </w:r>
          <w:r>
            <w:fldChar w:fldCharType="end"/>
          </w:r>
          <w:r>
            <w:fldChar w:fldCharType="end"/>
          </w:r>
        </w:p>
        <w:p w14:paraId="5ABA97DA">
          <w:pPr>
            <w:pStyle w:val="14"/>
            <w:keepNext w:val="0"/>
            <w:keepLines w:val="0"/>
            <w:pageBreakBefore w:val="0"/>
            <w:tabs>
              <w:tab w:val="right" w:leader="dot" w:pos="9638"/>
            </w:tabs>
            <w:kinsoku/>
            <w:wordWrap/>
            <w:overflowPunct/>
            <w:topLinePunct w:val="0"/>
            <w:bidi w:val="0"/>
            <w:adjustRightInd/>
            <w:snapToGrid w:val="0"/>
            <w:spacing w:line="400" w:lineRule="exact"/>
            <w:textAlignment w:val="auto"/>
          </w:pPr>
          <w:r>
            <w:fldChar w:fldCharType="begin"/>
          </w:r>
          <w:r>
            <w:instrText xml:space="preserve"> HYPERLINK \l "_Toc26108" </w:instrText>
          </w:r>
          <w:r>
            <w:fldChar w:fldCharType="separate"/>
          </w:r>
          <w:r>
            <w:t xml:space="preserve">附录D（规范性）  </w:t>
          </w:r>
          <w:r>
            <w:rPr>
              <w:szCs w:val="21"/>
            </w:rPr>
            <w:t>风险辨识评估管控清单</w:t>
          </w:r>
          <w:r>
            <w:tab/>
          </w:r>
          <w:r>
            <w:fldChar w:fldCharType="begin"/>
          </w:r>
          <w:r>
            <w:instrText xml:space="preserve"> PAGEREF _Toc26108 \h </w:instrText>
          </w:r>
          <w:r>
            <w:fldChar w:fldCharType="separate"/>
          </w:r>
          <w:r>
            <w:t>11</w:t>
          </w:r>
          <w:r>
            <w:fldChar w:fldCharType="end"/>
          </w:r>
          <w:r>
            <w:fldChar w:fldCharType="end"/>
          </w:r>
        </w:p>
        <w:p w14:paraId="1926A345">
          <w:pPr>
            <w:pStyle w:val="21"/>
            <w:keepNext w:val="0"/>
            <w:keepLines w:val="0"/>
            <w:pageBreakBefore w:val="0"/>
            <w:kinsoku/>
            <w:wordWrap/>
            <w:overflowPunct/>
            <w:topLinePunct w:val="0"/>
            <w:bidi w:val="0"/>
            <w:adjustRightInd/>
            <w:snapToGrid w:val="0"/>
            <w:spacing w:line="400" w:lineRule="exact"/>
            <w:ind w:firstLine="0" w:firstLineChars="0"/>
            <w:jc w:val="center"/>
            <w:textAlignment w:val="auto"/>
            <w:outlineLvl w:val="0"/>
            <w:rPr>
              <w:rFonts w:ascii="黑体" w:hAnsi="黑体" w:eastAsia="黑体" w:cs="黑体"/>
              <w:kern w:val="2"/>
              <w:sz w:val="32"/>
              <w:szCs w:val="40"/>
            </w:rPr>
          </w:pPr>
          <w:r>
            <w:rPr>
              <w:rFonts w:ascii="Times New Roman"/>
            </w:rPr>
            <w:fldChar w:fldCharType="end"/>
          </w:r>
        </w:p>
      </w:sdtContent>
    </w:sdt>
    <w:p w14:paraId="54F4CEAB">
      <w:pPr>
        <w:pStyle w:val="21"/>
        <w:ind w:firstLine="0" w:firstLineChars="0"/>
        <w:jc w:val="center"/>
        <w:outlineLvl w:val="0"/>
        <w:rPr>
          <w:rFonts w:ascii="黑体" w:hAnsi="黑体" w:eastAsia="黑体" w:cs="黑体"/>
          <w:sz w:val="32"/>
          <w:szCs w:val="32"/>
        </w:rPr>
      </w:pPr>
      <w:r>
        <w:rPr>
          <w:rFonts w:ascii="黑体" w:hAnsi="黑体" w:eastAsia="黑体" w:cs="黑体"/>
          <w:sz w:val="32"/>
          <w:szCs w:val="32"/>
        </w:rPr>
        <w:br w:type="page"/>
      </w:r>
    </w:p>
    <w:p w14:paraId="23EE4772">
      <w:pPr>
        <w:keepNext/>
        <w:pageBreakBefore/>
        <w:widowControl/>
        <w:shd w:val="clear" w:color="FFFFFF" w:fill="FFFFFF"/>
        <w:spacing w:before="640" w:after="560"/>
        <w:jc w:val="center"/>
        <w:outlineLvl w:val="0"/>
        <w:rPr>
          <w:rFonts w:ascii="黑体" w:hAnsi="Times New Roman" w:eastAsia="黑体" w:cs="Times New Roman"/>
          <w:kern w:val="0"/>
          <w:sz w:val="32"/>
          <w:szCs w:val="20"/>
        </w:rPr>
      </w:pPr>
      <w:bookmarkStart w:id="23" w:name="_Toc21887"/>
      <w:r>
        <w:rPr>
          <w:rFonts w:hint="eastAsia" w:ascii="黑体" w:hAnsi="Times New Roman" w:eastAsia="黑体" w:cs="Times New Roman"/>
          <w:kern w:val="0"/>
          <w:sz w:val="32"/>
          <w:szCs w:val="20"/>
        </w:rPr>
        <w:t>前</w:t>
      </w:r>
      <w:bookmarkStart w:id="24" w:name="BKQY"/>
      <w:r>
        <w:rPr>
          <w:rFonts w:ascii="黑体" w:hAnsi="黑体" w:eastAsia="黑体" w:cs="Times New Roman"/>
          <w:kern w:val="0"/>
          <w:sz w:val="32"/>
          <w:szCs w:val="20"/>
        </w:rPr>
        <w:t>  </w:t>
      </w:r>
      <w:r>
        <w:rPr>
          <w:rFonts w:hint="eastAsia" w:ascii="黑体" w:hAnsi="Times New Roman" w:eastAsia="黑体" w:cs="Times New Roman"/>
          <w:kern w:val="0"/>
          <w:sz w:val="32"/>
          <w:szCs w:val="20"/>
        </w:rPr>
        <w:t>言</w:t>
      </w:r>
      <w:bookmarkEnd w:id="23"/>
      <w:bookmarkEnd w:id="24"/>
    </w:p>
    <w:p w14:paraId="7CF71BDA">
      <w:pPr>
        <w:pStyle w:val="41"/>
        <w:spacing w:line="360" w:lineRule="auto"/>
        <w:ind w:firstLine="420"/>
        <w:rPr>
          <w:sz w:val="21"/>
          <w:szCs w:val="21"/>
        </w:rPr>
      </w:pPr>
      <w:r>
        <w:rPr>
          <w:rFonts w:hint="eastAsia"/>
          <w:sz w:val="21"/>
          <w:szCs w:val="21"/>
        </w:rPr>
        <w:t>本文件按照GB/T1.1-2020《标准化工作导则 第1部分：标准化文件的结构和起草规则》的规定起草。</w:t>
      </w:r>
    </w:p>
    <w:p w14:paraId="3E86E9F2">
      <w:pPr>
        <w:pStyle w:val="41"/>
        <w:spacing w:line="360" w:lineRule="auto"/>
        <w:ind w:firstLine="420"/>
        <w:rPr>
          <w:sz w:val="21"/>
          <w:szCs w:val="21"/>
        </w:rPr>
      </w:pPr>
      <w:r>
        <w:rPr>
          <w:rFonts w:hint="eastAsia"/>
          <w:sz w:val="21"/>
          <w:szCs w:val="21"/>
        </w:rPr>
        <w:t>本文件由辽宁省交通运输厅提出并归口。</w:t>
      </w:r>
    </w:p>
    <w:p w14:paraId="69EF9A08">
      <w:pPr>
        <w:pStyle w:val="41"/>
        <w:spacing w:line="360" w:lineRule="auto"/>
        <w:ind w:firstLine="420"/>
        <w:rPr>
          <w:rFonts w:hAnsi="宋体"/>
          <w:sz w:val="21"/>
          <w:szCs w:val="21"/>
        </w:rPr>
      </w:pPr>
      <w:r>
        <w:rPr>
          <w:rFonts w:hint="eastAsia"/>
          <w:sz w:val="21"/>
          <w:szCs w:val="21"/>
        </w:rPr>
        <w:t>本文件起草单位：</w:t>
      </w:r>
      <w:r>
        <w:rPr>
          <w:rFonts w:hint="eastAsia" w:hAnsi="宋体"/>
          <w:sz w:val="21"/>
          <w:szCs w:val="21"/>
        </w:rPr>
        <w:t>辽宁省交通科学研究院有限责任公司</w:t>
      </w:r>
    </w:p>
    <w:p w14:paraId="6EEB39FD">
      <w:pPr>
        <w:pStyle w:val="41"/>
        <w:spacing w:line="360" w:lineRule="auto"/>
        <w:ind w:firstLine="2100" w:firstLineChars="1000"/>
        <w:rPr>
          <w:sz w:val="21"/>
          <w:szCs w:val="21"/>
        </w:rPr>
      </w:pPr>
      <w:r>
        <w:rPr>
          <w:rFonts w:hint="eastAsia" w:hAnsi="宋体"/>
          <w:sz w:val="21"/>
          <w:szCs w:val="21"/>
        </w:rPr>
        <w:t>辽宁省交通运输厅</w:t>
      </w:r>
      <w:r>
        <w:rPr>
          <w:rFonts w:hint="eastAsia"/>
          <w:sz w:val="21"/>
          <w:szCs w:val="21"/>
        </w:rPr>
        <w:t>。</w:t>
      </w:r>
    </w:p>
    <w:p w14:paraId="0B775E49">
      <w:pPr>
        <w:pStyle w:val="41"/>
        <w:spacing w:line="360" w:lineRule="auto"/>
        <w:ind w:firstLine="420"/>
        <w:rPr>
          <w:rFonts w:hint="eastAsia" w:eastAsia="宋体"/>
          <w:sz w:val="21"/>
          <w:szCs w:val="21"/>
          <w:highlight w:val="none"/>
          <w:lang w:val="en-US" w:eastAsia="zh-CN"/>
        </w:rPr>
      </w:pPr>
      <w:r>
        <w:rPr>
          <w:rFonts w:hint="eastAsia"/>
          <w:sz w:val="21"/>
          <w:szCs w:val="21"/>
          <w:highlight w:val="none"/>
        </w:rPr>
        <w:t>本文件主要起草人</w:t>
      </w:r>
      <w:r>
        <w:rPr>
          <w:rFonts w:hint="eastAsia"/>
          <w:sz w:val="21"/>
          <w:szCs w:val="21"/>
          <w:highlight w:val="none"/>
          <w:lang w:eastAsia="zh-CN"/>
        </w:rPr>
        <w:t>：</w:t>
      </w:r>
      <w:r>
        <w:rPr>
          <w:rFonts w:hint="eastAsia"/>
          <w:lang w:val="en-US" w:eastAsia="zh-CN"/>
        </w:rPr>
        <w:t>乌岩 周鑫 杨杰 朱熠 白晨 孙云飚 邢浩东 丁欣荣 何卓凡 张林 韩枫 付兴胜 侯月娇 郑鑫 夏子阳 郭瑞 张帅 张炜 梁大勇 于帅</w:t>
      </w:r>
    </w:p>
    <w:p w14:paraId="596B2322">
      <w:pPr>
        <w:pStyle w:val="41"/>
        <w:spacing w:line="360" w:lineRule="auto"/>
        <w:ind w:firstLine="640"/>
        <w:rPr>
          <w:rFonts w:ascii="黑体" w:hAnsi="黑体" w:eastAsia="黑体" w:cs="黑体"/>
          <w:sz w:val="21"/>
          <w:szCs w:val="21"/>
        </w:rPr>
        <w:sectPr>
          <w:headerReference r:id="rId5" w:type="default"/>
          <w:footerReference r:id="rId6" w:type="default"/>
          <w:footerReference r:id="rId7" w:type="even"/>
          <w:pgSz w:w="11906" w:h="16838"/>
          <w:pgMar w:top="1418" w:right="1134" w:bottom="1134" w:left="1134" w:header="1417" w:footer="1134" w:gutter="0"/>
          <w:pgNumType w:fmt="upperRoman" w:start="1"/>
          <w:cols w:space="425" w:num="1"/>
          <w:docGrid w:type="linesAndChars" w:linePitch="312" w:charSpace="0"/>
        </w:sectPr>
      </w:pPr>
      <w:r>
        <w:rPr>
          <w:rFonts w:hint="eastAsia"/>
          <w:sz w:val="21"/>
          <w:szCs w:val="21"/>
        </w:rPr>
        <w:t>本文件发布实施后，任何单位或个人如有问题和意见建议，均可以通过来电或来函等方式进行反馈，我们将及时答复并认真处理，根据实际情况依法进行评估及复审。（附：归口管理部门通讯地址：沈阳市和平区十三纬路19号 024-23867960 起草单位通讯地址和联系电话：沈阳市沈河区文萃路81号 024-21519020）</w:t>
      </w:r>
    </w:p>
    <w:p w14:paraId="3262C604">
      <w:pPr>
        <w:pStyle w:val="21"/>
        <w:ind w:firstLine="0" w:firstLineChars="0"/>
        <w:jc w:val="center"/>
        <w:outlineLvl w:val="0"/>
        <w:rPr>
          <w:rFonts w:ascii="黑体" w:hAnsi="黑体" w:eastAsia="黑体" w:cs="黑体"/>
          <w:sz w:val="32"/>
          <w:szCs w:val="32"/>
        </w:rPr>
      </w:pPr>
      <w:bookmarkStart w:id="25" w:name="_Toc17211"/>
      <w:r>
        <w:rPr>
          <w:rFonts w:hint="eastAsia" w:ascii="黑体" w:hAnsi="黑体" w:eastAsia="黑体" w:cs="黑体"/>
          <w:sz w:val="32"/>
          <w:szCs w:val="32"/>
        </w:rPr>
        <w:t>危险货物道路运输企业安全风险分级管控规范</w:t>
      </w:r>
      <w:bookmarkEnd w:id="25"/>
    </w:p>
    <w:p w14:paraId="104EA516">
      <w:pPr>
        <w:pStyle w:val="3"/>
        <w:spacing w:before="312" w:after="312"/>
      </w:pPr>
      <w:bookmarkStart w:id="26" w:name="_Toc8194"/>
      <w:r>
        <w:rPr>
          <w:rFonts w:hint="eastAsia"/>
        </w:rPr>
        <w:t>范围</w:t>
      </w:r>
      <w:bookmarkEnd w:id="9"/>
      <w:bookmarkEnd w:id="10"/>
      <w:bookmarkEnd w:id="11"/>
      <w:bookmarkEnd w:id="12"/>
      <w:bookmarkEnd w:id="13"/>
      <w:bookmarkEnd w:id="14"/>
      <w:bookmarkEnd w:id="15"/>
      <w:bookmarkEnd w:id="16"/>
      <w:bookmarkEnd w:id="17"/>
      <w:bookmarkEnd w:id="18"/>
      <w:bookmarkEnd w:id="19"/>
      <w:bookmarkEnd w:id="20"/>
      <w:bookmarkEnd w:id="26"/>
    </w:p>
    <w:p w14:paraId="26B7F8E9">
      <w:pPr>
        <w:keepNext w:val="0"/>
        <w:keepLines w:val="0"/>
        <w:pageBreakBefore w:val="0"/>
        <w:kinsoku/>
        <w:wordWrap/>
        <w:overflowPunct/>
        <w:topLinePunct w:val="0"/>
        <w:autoSpaceDE/>
        <w:bidi w:val="0"/>
        <w:adjustRightInd/>
        <w:ind w:firstLine="420" w:firstLineChars="200"/>
        <w:textAlignment w:val="auto"/>
        <w:rPr>
          <w:rFonts w:hint="eastAsia"/>
        </w:rPr>
      </w:pPr>
      <w:r>
        <w:rPr>
          <w:rFonts w:hint="eastAsia"/>
        </w:rPr>
        <w:t>本</w:t>
      </w:r>
      <w:r>
        <w:rPr>
          <w:rFonts w:hint="eastAsia"/>
          <w:lang w:val="en-US" w:eastAsia="zh-CN"/>
        </w:rPr>
        <w:t>规范</w:t>
      </w:r>
      <w:r>
        <w:rPr>
          <w:rFonts w:hint="eastAsia"/>
        </w:rPr>
        <w:t>规定了危险货物道路运输风险辨识评估管控的工作程序和内容，明确了作业单元划分原则、风险评估方法、风险等级划分标准及风险分级管控原则。</w:t>
      </w:r>
    </w:p>
    <w:p w14:paraId="5F3BE31A">
      <w:pPr>
        <w:keepNext w:val="0"/>
        <w:keepLines w:val="0"/>
        <w:pageBreakBefore w:val="0"/>
        <w:kinsoku/>
        <w:wordWrap/>
        <w:overflowPunct/>
        <w:topLinePunct w:val="0"/>
        <w:autoSpaceDE/>
        <w:bidi w:val="0"/>
        <w:adjustRightInd/>
        <w:ind w:firstLine="420" w:firstLineChars="200"/>
        <w:textAlignment w:val="auto"/>
      </w:pPr>
      <w:r>
        <w:rPr>
          <w:rFonts w:hint="eastAsia"/>
        </w:rPr>
        <w:t>本</w:t>
      </w:r>
      <w:r>
        <w:rPr>
          <w:rFonts w:hint="eastAsia"/>
          <w:lang w:val="en-US" w:eastAsia="zh-CN"/>
        </w:rPr>
        <w:t>规范</w:t>
      </w:r>
      <w:r>
        <w:rPr>
          <w:rFonts w:hint="eastAsia"/>
        </w:rPr>
        <w:t>适用于辽宁省危险货物道路运输企业安全生产风险辨识、评估和管控工作。</w:t>
      </w:r>
    </w:p>
    <w:p w14:paraId="53D8CF0E">
      <w:pPr>
        <w:pStyle w:val="3"/>
        <w:spacing w:before="312" w:after="312"/>
        <w:ind w:left="432" w:hanging="432"/>
      </w:pPr>
      <w:bookmarkStart w:id="27" w:name="_Toc25256"/>
      <w:bookmarkStart w:id="28" w:name="_Toc17808347"/>
      <w:bookmarkStart w:id="29" w:name="_Toc16686"/>
      <w:bookmarkStart w:id="30" w:name="_Toc19018"/>
      <w:bookmarkStart w:id="31" w:name="_Toc17873175"/>
      <w:bookmarkStart w:id="32" w:name="_Toc5974"/>
      <w:bookmarkStart w:id="33" w:name="_Toc18935"/>
      <w:bookmarkStart w:id="34" w:name="_Toc24884"/>
      <w:bookmarkStart w:id="35" w:name="_Toc17872490"/>
      <w:bookmarkStart w:id="36" w:name="_Toc17834626"/>
      <w:bookmarkStart w:id="37" w:name="_Toc16487"/>
      <w:bookmarkStart w:id="38" w:name="_Toc5489"/>
      <w:bookmarkStart w:id="39" w:name="_Toc10661"/>
      <w:bookmarkStart w:id="40" w:name="_Toc17834262"/>
      <w:r>
        <w:rPr>
          <w:rFonts w:hint="eastAsia"/>
        </w:rPr>
        <w:t>规范性引用文件</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0162E4F">
      <w:pPr>
        <w:pStyle w:val="21"/>
      </w:pPr>
      <w:r>
        <w:rPr>
          <w:rFonts w:hint="eastAsia"/>
        </w:rPr>
        <w:t>下列文件中的内容通过文中的规范性应用而构成本文件必不可少的条款。其中，注日期的引用文件，仅该日期对应的版本适用于本文件；不注日期的引用文件，其最新版本（包括所有的修改单）适用于本文件。</w:t>
      </w:r>
    </w:p>
    <w:p w14:paraId="5CA2B79D">
      <w:pPr>
        <w:ind w:firstLine="420" w:firstLineChars="200"/>
        <w:rPr>
          <w:rFonts w:ascii="宋体" w:hAnsi="宋体" w:cs="宋体"/>
        </w:rPr>
      </w:pPr>
      <w:r>
        <w:rPr>
          <w:rFonts w:hint="eastAsia" w:ascii="宋体" w:hAnsi="宋体" w:cs="宋体"/>
        </w:rPr>
        <w:t>GB 6944 危险货物分类和品名编号</w:t>
      </w:r>
    </w:p>
    <w:p w14:paraId="45640A33">
      <w:pPr>
        <w:ind w:firstLine="420" w:firstLineChars="200"/>
        <w:rPr>
          <w:rFonts w:ascii="宋体" w:hAnsi="宋体" w:cs="宋体"/>
        </w:rPr>
      </w:pPr>
      <w:r>
        <w:rPr>
          <w:rFonts w:hint="eastAsia" w:ascii="宋体" w:hAnsi="宋体" w:cs="宋体"/>
        </w:rPr>
        <w:t>GB 6441 企业职工伤亡事故分类</w:t>
      </w:r>
    </w:p>
    <w:p w14:paraId="7B7FA032">
      <w:pPr>
        <w:ind w:firstLine="420" w:firstLineChars="200"/>
        <w:rPr>
          <w:rFonts w:ascii="宋体" w:hAnsi="宋体" w:cs="宋体"/>
        </w:rPr>
      </w:pPr>
      <w:r>
        <w:rPr>
          <w:rFonts w:hint="eastAsia" w:ascii="宋体" w:hAnsi="宋体" w:cs="宋体"/>
        </w:rPr>
        <w:t>GB/T 13861 生产过程危险和有害因素分类与代码</w:t>
      </w:r>
    </w:p>
    <w:p w14:paraId="7BCDEA55">
      <w:pPr>
        <w:ind w:firstLine="420" w:firstLineChars="200"/>
        <w:rPr>
          <w:rFonts w:ascii="宋体" w:hAnsi="宋体" w:cs="宋体"/>
        </w:rPr>
      </w:pPr>
      <w:r>
        <w:rPr>
          <w:rFonts w:hint="eastAsia" w:ascii="宋体" w:hAnsi="宋体" w:cs="宋体"/>
        </w:rPr>
        <w:t>GB/T 23694 风险管理 术语</w:t>
      </w:r>
    </w:p>
    <w:p w14:paraId="6218A115">
      <w:pPr>
        <w:ind w:firstLine="420" w:firstLineChars="200"/>
        <w:rPr>
          <w:rFonts w:ascii="宋体" w:hAnsi="宋体" w:cs="宋体"/>
        </w:rPr>
      </w:pPr>
      <w:r>
        <w:rPr>
          <w:rFonts w:hint="eastAsia" w:ascii="宋体" w:hAnsi="宋体" w:cs="宋体"/>
        </w:rPr>
        <w:t>GB/T 24353 风险管理 原则与实施指南</w:t>
      </w:r>
    </w:p>
    <w:p w14:paraId="3DEAC19E">
      <w:pPr>
        <w:ind w:firstLine="420" w:firstLineChars="200"/>
        <w:rPr>
          <w:rFonts w:ascii="宋体" w:hAnsi="宋体" w:cs="宋体"/>
        </w:rPr>
      </w:pPr>
      <w:r>
        <w:rPr>
          <w:rFonts w:hint="eastAsia" w:ascii="宋体" w:hAnsi="宋体" w:cs="宋体"/>
        </w:rPr>
        <w:t>GB/T 27921 风险管理 风险评估技术</w:t>
      </w:r>
    </w:p>
    <w:p w14:paraId="41A1508C">
      <w:pPr>
        <w:ind w:firstLine="420" w:firstLineChars="200"/>
        <w:rPr>
          <w:rFonts w:ascii="宋体" w:hAnsi="宋体" w:cs="宋体"/>
        </w:rPr>
      </w:pPr>
      <w:r>
        <w:rPr>
          <w:rFonts w:hint="eastAsia" w:ascii="宋体" w:hAnsi="宋体" w:cs="宋体"/>
        </w:rPr>
        <w:t>GB/T 45001 职业健康安全管理体系要求和使用指南</w:t>
      </w:r>
    </w:p>
    <w:p w14:paraId="4F7B8C97">
      <w:pPr>
        <w:ind w:firstLine="420" w:firstLineChars="200"/>
        <w:rPr>
          <w:rFonts w:ascii="宋体" w:hAnsi="宋体" w:cs="宋体"/>
        </w:rPr>
      </w:pPr>
      <w:r>
        <w:rPr>
          <w:rFonts w:hint="eastAsia" w:ascii="宋体" w:hAnsi="宋体" w:cs="宋体"/>
        </w:rPr>
        <w:t>JT/T 617 危险货物道路运输规则</w:t>
      </w:r>
    </w:p>
    <w:p w14:paraId="66AB3374">
      <w:pPr>
        <w:pStyle w:val="3"/>
        <w:spacing w:before="312" w:after="312"/>
        <w:ind w:left="432" w:hanging="432"/>
      </w:pPr>
      <w:bookmarkStart w:id="41" w:name="_Toc17872491"/>
      <w:bookmarkStart w:id="42" w:name="_Toc17834627"/>
      <w:bookmarkStart w:id="43" w:name="_Toc3186"/>
      <w:bookmarkStart w:id="44" w:name="_Toc15081"/>
      <w:bookmarkStart w:id="45" w:name="_Toc17834263"/>
      <w:bookmarkStart w:id="46" w:name="_Toc17403"/>
      <w:bookmarkStart w:id="47" w:name="_Toc15997"/>
      <w:bookmarkStart w:id="48" w:name="_Toc17873176"/>
      <w:bookmarkStart w:id="49" w:name="_Toc15325"/>
      <w:bookmarkStart w:id="50" w:name="_Toc29283"/>
      <w:bookmarkStart w:id="51" w:name="_Toc9326"/>
      <w:bookmarkStart w:id="52" w:name="_Toc1025"/>
      <w:bookmarkStart w:id="53" w:name="_Toc17808348"/>
      <w:bookmarkStart w:id="54" w:name="_Toc21785"/>
      <w:r>
        <w:t>术语</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9599A61">
      <w:pPr>
        <w:pStyle w:val="21"/>
      </w:pPr>
      <w:r>
        <w:rPr>
          <w:rFonts w:hint="eastAsia"/>
        </w:rPr>
        <w:t>下列术语适用于本文件。</w:t>
      </w:r>
    </w:p>
    <w:p w14:paraId="35AA1ED3">
      <w:pPr>
        <w:pStyle w:val="4"/>
        <w:spacing w:before="156" w:after="156"/>
      </w:pPr>
    </w:p>
    <w:p w14:paraId="32801F5A">
      <w:pPr>
        <w:pStyle w:val="4"/>
        <w:numPr>
          <w:ilvl w:val="0"/>
          <w:numId w:val="0"/>
        </w:numPr>
        <w:spacing w:before="156" w:after="156"/>
      </w:pPr>
      <w:r>
        <w:tab/>
      </w:r>
      <w:r>
        <w:rPr>
          <w:rFonts w:hint="eastAsia"/>
        </w:rPr>
        <w:t>风险 risk</w:t>
      </w:r>
    </w:p>
    <w:p w14:paraId="2D96FB22">
      <w:pPr>
        <w:pStyle w:val="23"/>
        <w:numPr>
          <w:ilvl w:val="2"/>
          <w:numId w:val="0"/>
        </w:numPr>
        <w:spacing w:before="156" w:after="156"/>
        <w:ind w:firstLine="420" w:firstLineChars="200"/>
        <w:jc w:val="both"/>
        <w:outlineLvl w:val="9"/>
        <w:rPr>
          <w:rFonts w:asciiTheme="minorEastAsia" w:hAnsiTheme="minorEastAsia" w:eastAsiaTheme="minorEastAsia"/>
        </w:rPr>
      </w:pPr>
      <w:r>
        <w:rPr>
          <w:rFonts w:hint="eastAsia" w:asciiTheme="minorEastAsia" w:hAnsiTheme="minorEastAsia" w:eastAsiaTheme="minorEastAsia"/>
        </w:rPr>
        <w:t>不确定性对目标的影响。</w:t>
      </w:r>
    </w:p>
    <w:p w14:paraId="7152C468">
      <w:pPr>
        <w:pStyle w:val="4"/>
        <w:tabs>
          <w:tab w:val="clear" w:pos="0"/>
          <w:tab w:val="clear" w:pos="2100"/>
        </w:tabs>
        <w:spacing w:before="156" w:after="156"/>
      </w:pPr>
    </w:p>
    <w:p w14:paraId="67BED520">
      <w:pPr>
        <w:pStyle w:val="4"/>
        <w:numPr>
          <w:ilvl w:val="0"/>
          <w:numId w:val="0"/>
        </w:numPr>
        <w:tabs>
          <w:tab w:val="clear" w:pos="2100"/>
        </w:tabs>
        <w:spacing w:before="156" w:after="156"/>
      </w:pPr>
      <w:r>
        <w:tab/>
      </w:r>
      <w:r>
        <w:rPr>
          <w:rFonts w:hint="eastAsia"/>
        </w:rPr>
        <w:t>风险事件 risk events</w:t>
      </w:r>
    </w:p>
    <w:p w14:paraId="1265F2A6">
      <w:pPr>
        <w:pStyle w:val="21"/>
        <w:rPr>
          <w:rFonts w:asciiTheme="minorEastAsia" w:hAnsiTheme="minorEastAsia" w:eastAsiaTheme="minorEastAsia"/>
          <w:szCs w:val="21"/>
        </w:rPr>
      </w:pPr>
      <w:r>
        <w:rPr>
          <w:rFonts w:hint="eastAsia" w:asciiTheme="minorEastAsia" w:hAnsiTheme="minorEastAsia" w:eastAsiaTheme="minorEastAsia"/>
          <w:szCs w:val="21"/>
        </w:rPr>
        <w:t>某一类情形的发生或变化。</w:t>
      </w:r>
    </w:p>
    <w:p w14:paraId="0EB5725E">
      <w:pPr>
        <w:pStyle w:val="4"/>
        <w:tabs>
          <w:tab w:val="clear" w:pos="0"/>
          <w:tab w:val="clear" w:pos="2100"/>
        </w:tabs>
        <w:spacing w:before="156" w:after="156"/>
      </w:pPr>
    </w:p>
    <w:p w14:paraId="51B3A041">
      <w:pPr>
        <w:pStyle w:val="4"/>
        <w:numPr>
          <w:ilvl w:val="0"/>
          <w:numId w:val="0"/>
        </w:numPr>
        <w:tabs>
          <w:tab w:val="clear" w:pos="2100"/>
        </w:tabs>
        <w:spacing w:before="156" w:after="156"/>
      </w:pPr>
      <w:r>
        <w:tab/>
      </w:r>
      <w:r>
        <w:rPr>
          <w:rFonts w:hint="eastAsia"/>
        </w:rPr>
        <w:t>致险因素 risk factors</w:t>
      </w:r>
    </w:p>
    <w:p w14:paraId="23EC46A4">
      <w:pPr>
        <w:pStyle w:val="21"/>
        <w:rPr>
          <w:rFonts w:asciiTheme="minorEastAsia" w:hAnsiTheme="minorEastAsia" w:eastAsiaTheme="minorEastAsia"/>
          <w:szCs w:val="21"/>
        </w:rPr>
      </w:pPr>
      <w:r>
        <w:rPr>
          <w:rFonts w:hint="eastAsia" w:asciiTheme="minorEastAsia" w:hAnsiTheme="minorEastAsia" w:eastAsiaTheme="minorEastAsia"/>
          <w:szCs w:val="21"/>
        </w:rPr>
        <w:t>促使各类突发事件发生、或增加其发生的可能性、或扩大其程度、或增大其不良社会影响的潜在原因或条件。</w:t>
      </w:r>
    </w:p>
    <w:p w14:paraId="0F92A3AE">
      <w:pPr>
        <w:pStyle w:val="4"/>
        <w:tabs>
          <w:tab w:val="clear" w:pos="0"/>
          <w:tab w:val="clear" w:pos="2100"/>
        </w:tabs>
        <w:spacing w:before="156" w:after="156"/>
      </w:pPr>
    </w:p>
    <w:p w14:paraId="344D9177">
      <w:pPr>
        <w:pStyle w:val="4"/>
        <w:numPr>
          <w:ilvl w:val="0"/>
          <w:numId w:val="0"/>
        </w:numPr>
        <w:tabs>
          <w:tab w:val="clear" w:pos="2100"/>
        </w:tabs>
        <w:spacing w:before="156" w:after="156"/>
      </w:pPr>
      <w:r>
        <w:tab/>
      </w:r>
      <w:r>
        <w:rPr>
          <w:rFonts w:hint="eastAsia"/>
        </w:rPr>
        <w:t>作业单元 production operation unit</w:t>
      </w:r>
    </w:p>
    <w:p w14:paraId="2B32777D">
      <w:pPr>
        <w:pStyle w:val="21"/>
        <w:rPr>
          <w:rFonts w:asciiTheme="minorEastAsia" w:hAnsiTheme="minorEastAsia" w:eastAsiaTheme="minorEastAsia"/>
          <w:szCs w:val="21"/>
        </w:rPr>
      </w:pPr>
      <w:r>
        <w:rPr>
          <w:rFonts w:hint="eastAsia" w:asciiTheme="minorEastAsia" w:hAnsiTheme="minorEastAsia" w:eastAsiaTheme="minorEastAsia"/>
          <w:szCs w:val="21"/>
        </w:rPr>
        <w:t>风险伴随的设施、部位、场所和区域环境，以及在设施、部位、场所和区域实施的伴随风险的作业活动（过程），或以上两者的组合。</w:t>
      </w:r>
    </w:p>
    <w:p w14:paraId="4C5331EB">
      <w:pPr>
        <w:pStyle w:val="4"/>
        <w:keepNext w:val="0"/>
        <w:tabs>
          <w:tab w:val="clear" w:pos="0"/>
          <w:tab w:val="clear" w:pos="2100"/>
        </w:tabs>
        <w:spacing w:before="156" w:after="156"/>
      </w:pPr>
    </w:p>
    <w:p w14:paraId="04350496">
      <w:pPr>
        <w:pStyle w:val="4"/>
        <w:keepNext w:val="0"/>
        <w:numPr>
          <w:ilvl w:val="0"/>
          <w:numId w:val="0"/>
        </w:numPr>
        <w:tabs>
          <w:tab w:val="clear" w:pos="2100"/>
        </w:tabs>
        <w:spacing w:before="156" w:after="156"/>
      </w:pPr>
      <w:r>
        <w:tab/>
      </w:r>
      <w:r>
        <w:rPr>
          <w:rFonts w:hint="eastAsia"/>
        </w:rPr>
        <w:t>风险辨识 risk identification</w:t>
      </w:r>
    </w:p>
    <w:p w14:paraId="429B22A7">
      <w:pPr>
        <w:pStyle w:val="21"/>
        <w:widowControl w:val="0"/>
        <w:rPr>
          <w:rFonts w:asciiTheme="minorEastAsia" w:hAnsiTheme="minorEastAsia" w:eastAsiaTheme="minorEastAsia"/>
          <w:szCs w:val="21"/>
        </w:rPr>
      </w:pPr>
      <w:r>
        <w:rPr>
          <w:rFonts w:hint="eastAsia" w:asciiTheme="minorEastAsia" w:hAnsiTheme="minorEastAsia" w:eastAsiaTheme="minorEastAsia"/>
          <w:szCs w:val="21"/>
        </w:rPr>
        <w:t>发现、确认和描述风险的过程。</w:t>
      </w:r>
    </w:p>
    <w:p w14:paraId="5F40DBD7">
      <w:pPr>
        <w:pStyle w:val="4"/>
        <w:keepNext w:val="0"/>
        <w:tabs>
          <w:tab w:val="clear" w:pos="0"/>
          <w:tab w:val="clear" w:pos="2100"/>
        </w:tabs>
        <w:spacing w:before="156" w:after="156"/>
      </w:pPr>
    </w:p>
    <w:p w14:paraId="39E2129C">
      <w:pPr>
        <w:pStyle w:val="4"/>
        <w:keepNext w:val="0"/>
        <w:numPr>
          <w:ilvl w:val="0"/>
          <w:numId w:val="0"/>
        </w:numPr>
        <w:tabs>
          <w:tab w:val="clear" w:pos="2100"/>
        </w:tabs>
        <w:spacing w:before="156" w:after="156"/>
      </w:pPr>
      <w:r>
        <w:tab/>
      </w:r>
      <w:r>
        <w:rPr>
          <w:rFonts w:hint="eastAsia"/>
        </w:rPr>
        <w:t>风险评估 risk assessment</w:t>
      </w:r>
    </w:p>
    <w:p w14:paraId="42193F4F">
      <w:pPr>
        <w:pStyle w:val="21"/>
        <w:widowControl w:val="0"/>
        <w:rPr>
          <w:rFonts w:asciiTheme="minorEastAsia" w:hAnsiTheme="minorEastAsia" w:eastAsiaTheme="minorEastAsia"/>
          <w:szCs w:val="21"/>
        </w:rPr>
      </w:pPr>
      <w:r>
        <w:rPr>
          <w:rFonts w:hint="eastAsia" w:asciiTheme="minorEastAsia" w:hAnsiTheme="minorEastAsia" w:eastAsiaTheme="minorEastAsia"/>
          <w:szCs w:val="21"/>
        </w:rPr>
        <w:t>将风险辨识的结果按照风险评估标准进行评估，以确定风险和（或）其量的大小、级别，以及是否可接受或可容许，包括风险识别、风险分析和风险评价的全过程。</w:t>
      </w:r>
    </w:p>
    <w:p w14:paraId="07CC2976">
      <w:pPr>
        <w:pStyle w:val="4"/>
        <w:tabs>
          <w:tab w:val="clear" w:pos="0"/>
          <w:tab w:val="clear" w:pos="2100"/>
        </w:tabs>
        <w:spacing w:before="156" w:after="156"/>
        <w:rPr>
          <w:rFonts w:asciiTheme="minorEastAsia" w:hAnsiTheme="minorEastAsia" w:eastAsiaTheme="minorEastAsia"/>
          <w:szCs w:val="21"/>
        </w:rPr>
      </w:pPr>
    </w:p>
    <w:p w14:paraId="5F5DB1C5">
      <w:pPr>
        <w:pStyle w:val="4"/>
        <w:numPr>
          <w:ilvl w:val="0"/>
          <w:numId w:val="0"/>
        </w:numPr>
        <w:tabs>
          <w:tab w:val="clear" w:pos="2100"/>
        </w:tabs>
        <w:spacing w:before="156" w:after="156"/>
        <w:rPr>
          <w:rFonts w:asciiTheme="minorEastAsia" w:hAnsiTheme="minorEastAsia" w:eastAsiaTheme="minorEastAsia"/>
          <w:szCs w:val="21"/>
        </w:rPr>
      </w:pPr>
      <w:r>
        <w:tab/>
      </w:r>
      <w:r>
        <w:rPr>
          <w:rFonts w:hint="eastAsia"/>
        </w:rPr>
        <w:t>风险管控 risk management and control</w:t>
      </w:r>
    </w:p>
    <w:p w14:paraId="1A1A9CF8">
      <w:pPr>
        <w:pStyle w:val="21"/>
        <w:rPr>
          <w:rFonts w:asciiTheme="minorEastAsia" w:hAnsiTheme="minorEastAsia" w:eastAsiaTheme="minorEastAsia"/>
          <w:szCs w:val="21"/>
        </w:rPr>
      </w:pPr>
      <w:r>
        <w:rPr>
          <w:rFonts w:hint="eastAsia" w:asciiTheme="minorEastAsia" w:hAnsiTheme="minorEastAsia" w:eastAsiaTheme="minorEastAsia"/>
          <w:szCs w:val="21"/>
        </w:rPr>
        <w:t>应对风险的措施。</w:t>
      </w:r>
    </w:p>
    <w:p w14:paraId="268C4E99">
      <w:pPr>
        <w:pStyle w:val="3"/>
        <w:spacing w:before="312" w:after="312"/>
        <w:ind w:left="432" w:hanging="432"/>
      </w:pPr>
      <w:bookmarkStart w:id="55" w:name="_Toc25025"/>
      <w:r>
        <w:rPr>
          <w:rFonts w:hint="eastAsia"/>
        </w:rPr>
        <w:t>工作程序和内容</w:t>
      </w:r>
      <w:bookmarkEnd w:id="55"/>
    </w:p>
    <w:p w14:paraId="7181529B">
      <w:pPr>
        <w:pStyle w:val="4"/>
        <w:spacing w:before="156" w:after="156"/>
      </w:pPr>
      <w:r>
        <w:rPr>
          <w:rFonts w:hint="eastAsia"/>
        </w:rPr>
        <w:t>策划和准备</w:t>
      </w:r>
    </w:p>
    <w:p w14:paraId="1CCC0E1A">
      <w:pPr>
        <w:pStyle w:val="5"/>
        <w:spacing w:before="156" w:after="156"/>
      </w:pPr>
      <w:r>
        <w:rPr>
          <w:rFonts w:hint="eastAsia"/>
        </w:rPr>
        <w:t>成立工作小组</w:t>
      </w:r>
    </w:p>
    <w:p w14:paraId="40E4491A">
      <w:pPr>
        <w:pStyle w:val="21"/>
        <w:rPr>
          <w:rFonts w:asciiTheme="minorEastAsia" w:hAnsiTheme="minorEastAsia" w:eastAsiaTheme="minorEastAsia"/>
          <w:szCs w:val="21"/>
        </w:rPr>
      </w:pPr>
      <w:r>
        <w:rPr>
          <w:rFonts w:hint="eastAsia" w:asciiTheme="minorEastAsia" w:hAnsiTheme="minorEastAsia" w:eastAsiaTheme="minorEastAsia"/>
          <w:szCs w:val="21"/>
        </w:rPr>
        <w:t>为有效地开展风险辨识评估管控工作，企业成立工作小组，主要负责人任组长，分管安全负责人任副组长，成员包括各职能部门、车队负责人及相关专业岗位人员，负责组织收集相关法律法规、标准规范等资料，梳理企业当前的管理体系、作业流程、设备设施、作业活动等要素，开展全员宣贯培训，明确各部门工作职责和任务，制定并实施工作方案等。</w:t>
      </w:r>
    </w:p>
    <w:p w14:paraId="39BAA617">
      <w:pPr>
        <w:pStyle w:val="5"/>
        <w:spacing w:before="156" w:after="156"/>
      </w:pPr>
      <w:r>
        <w:rPr>
          <w:rFonts w:hint="eastAsia"/>
        </w:rPr>
        <w:t>宣贯培训</w:t>
      </w:r>
    </w:p>
    <w:p w14:paraId="3721D89E">
      <w:pPr>
        <w:pStyle w:val="6"/>
        <w:spacing w:before="156" w:beforeLines="50" w:after="156" w:afterLines="50"/>
      </w:pPr>
      <w:r>
        <w:rPr>
          <w:rFonts w:hint="eastAsia"/>
        </w:rPr>
        <w:t>针对风险辨识评估管控工作，企业开展分专业、分层次、分阶段的宣贯培训，使员工具备风险辨识评估管控的相关知识，提升风险管控意识；强化专业岗位人员风险辨识评估管控的相关方法和技巧，提升开展风险分级管控的能力。</w:t>
      </w:r>
    </w:p>
    <w:p w14:paraId="198397BC">
      <w:pPr>
        <w:pStyle w:val="6"/>
        <w:spacing w:before="156" w:beforeLines="50" w:after="156" w:afterLines="50"/>
      </w:pPr>
      <w:r>
        <w:rPr>
          <w:rFonts w:hint="eastAsia"/>
        </w:rPr>
        <w:t>培训内容包括但不限于风险辨识评估管控相关法规和标准；风险管理理论、风险辨识评估方法；风险分级管控原则、方法；重大风险管理措施等。</w:t>
      </w:r>
    </w:p>
    <w:p w14:paraId="2431B0F4">
      <w:pPr>
        <w:pStyle w:val="5"/>
        <w:spacing w:before="156" w:after="156"/>
      </w:pPr>
      <w:r>
        <w:rPr>
          <w:rFonts w:hint="eastAsia"/>
        </w:rPr>
        <w:t>资料收集</w:t>
      </w:r>
    </w:p>
    <w:p w14:paraId="057CDC36">
      <w:pPr>
        <w:pStyle w:val="21"/>
        <w:rPr>
          <w:rFonts w:asciiTheme="minorEastAsia" w:hAnsiTheme="minorEastAsia" w:eastAsiaTheme="minorEastAsia"/>
          <w:szCs w:val="21"/>
        </w:rPr>
      </w:pPr>
      <w:r>
        <w:rPr>
          <w:rFonts w:hint="eastAsia" w:asciiTheme="minorEastAsia" w:hAnsiTheme="minorEastAsia" w:eastAsiaTheme="minorEastAsia"/>
          <w:szCs w:val="21"/>
        </w:rPr>
        <w:t>企业应收集整理相关资料，主要包括但不限于：</w:t>
      </w:r>
    </w:p>
    <w:p w14:paraId="20EE63D7">
      <w:pPr>
        <w:pStyle w:val="21"/>
        <w:rPr>
          <w:rFonts w:asciiTheme="minorEastAsia" w:hAnsiTheme="minorEastAsia" w:eastAsiaTheme="minorEastAsia"/>
          <w:szCs w:val="21"/>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Theme="minorEastAsia" w:hAnsiTheme="minorEastAsia" w:eastAsiaTheme="minorEastAsia"/>
          <w:szCs w:val="21"/>
        </w:rPr>
        <w:t>危险货物道路运输适用的法律法规、标准规范；</w:t>
      </w:r>
    </w:p>
    <w:p w14:paraId="407524E7">
      <w:pPr>
        <w:pStyle w:val="21"/>
        <w:rPr>
          <w:rFonts w:asciiTheme="minorEastAsia" w:hAnsiTheme="minorEastAsia" w:eastAsiaTheme="minorEastAsia"/>
          <w:szCs w:val="21"/>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Theme="minorEastAsia" w:hAnsiTheme="minorEastAsia" w:eastAsiaTheme="minorEastAsia"/>
          <w:szCs w:val="21"/>
        </w:rPr>
        <w:t>风险管理的相关标准、规范；</w:t>
      </w:r>
    </w:p>
    <w:p w14:paraId="702BB6E2">
      <w:pPr>
        <w:pStyle w:val="21"/>
        <w:rPr>
          <w:rFonts w:asciiTheme="minorEastAsia" w:hAnsiTheme="minorEastAsia" w:eastAsiaTheme="minorEastAsia"/>
          <w:szCs w:val="21"/>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Theme="minorEastAsia" w:hAnsiTheme="minorEastAsia" w:eastAsiaTheme="minorEastAsia"/>
          <w:szCs w:val="21"/>
        </w:rPr>
        <w:t>企业安全管理制度、操作规程、责任制、应急预案等文件；</w:t>
      </w:r>
    </w:p>
    <w:p w14:paraId="0568E6D4">
      <w:pPr>
        <w:pStyle w:val="21"/>
        <w:rPr>
          <w:rFonts w:asciiTheme="minorEastAsia" w:hAnsiTheme="minorEastAsia" w:eastAsiaTheme="minorEastAsia"/>
          <w:szCs w:val="21"/>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Theme="minorEastAsia" w:hAnsiTheme="minorEastAsia" w:eastAsiaTheme="minorEastAsia"/>
          <w:szCs w:val="21"/>
        </w:rPr>
        <w:t>企业组织机构及岗位设置、工作职责情况；</w:t>
      </w:r>
    </w:p>
    <w:p w14:paraId="543F3397">
      <w:pPr>
        <w:pStyle w:val="21"/>
        <w:rPr>
          <w:rFonts w:asciiTheme="minorEastAsia" w:hAnsiTheme="minorEastAsia" w:eastAsiaTheme="minorEastAsia"/>
          <w:szCs w:val="21"/>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Theme="minorEastAsia" w:hAnsiTheme="minorEastAsia" w:eastAsiaTheme="minorEastAsia"/>
          <w:szCs w:val="21"/>
        </w:rPr>
        <w:t>企业运输设备设施清单及运行、维修及故障记录；</w:t>
      </w:r>
    </w:p>
    <w:p w14:paraId="1B0387AC">
      <w:pPr>
        <w:pStyle w:val="21"/>
        <w:rPr>
          <w:rFonts w:asciiTheme="minorEastAsia" w:hAnsiTheme="minorEastAsia" w:eastAsiaTheme="minorEastAsia"/>
          <w:szCs w:val="21"/>
        </w:rPr>
      </w:pPr>
      <w:r>
        <w:rPr>
          <w:rFonts w:hint="eastAsia" w:asciiTheme="minorEastAsia" w:hAnsiTheme="minorEastAsia" w:eastAsiaTheme="minorEastAsia"/>
          <w:lang w:val="en-US" w:eastAsia="zh-CN"/>
        </w:rPr>
        <w:t>f</w:t>
      </w:r>
      <w:r>
        <w:rPr>
          <w:rFonts w:hint="eastAsia" w:asciiTheme="minorEastAsia" w:hAnsiTheme="minorEastAsia" w:eastAsiaTheme="minorEastAsia"/>
        </w:rPr>
        <w:t>）</w:t>
      </w:r>
      <w:r>
        <w:rPr>
          <w:rFonts w:hint="eastAsia" w:asciiTheme="minorEastAsia" w:hAnsiTheme="minorEastAsia" w:eastAsiaTheme="minorEastAsia"/>
          <w:szCs w:val="21"/>
        </w:rPr>
        <w:t>企业生产经营场所自然、社会环境；</w:t>
      </w:r>
    </w:p>
    <w:p w14:paraId="021C5069">
      <w:pPr>
        <w:pStyle w:val="21"/>
        <w:rPr>
          <w:rFonts w:asciiTheme="minorEastAsia" w:hAnsiTheme="minorEastAsia" w:eastAsiaTheme="minorEastAsia"/>
          <w:szCs w:val="21"/>
        </w:rPr>
      </w:pPr>
      <w:r>
        <w:rPr>
          <w:rFonts w:hint="eastAsia" w:asciiTheme="minorEastAsia" w:hAnsiTheme="minorEastAsia" w:eastAsiaTheme="minorEastAsia"/>
          <w:lang w:val="en-US" w:eastAsia="zh-CN"/>
        </w:rPr>
        <w:t>g</w:t>
      </w:r>
      <w:r>
        <w:rPr>
          <w:rFonts w:hint="eastAsia" w:asciiTheme="minorEastAsia" w:hAnsiTheme="minorEastAsia" w:eastAsiaTheme="minorEastAsia"/>
        </w:rPr>
        <w:t>）</w:t>
      </w:r>
      <w:r>
        <w:rPr>
          <w:rFonts w:hint="eastAsia" w:asciiTheme="minorEastAsia" w:hAnsiTheme="minorEastAsia" w:eastAsiaTheme="minorEastAsia"/>
          <w:szCs w:val="21"/>
        </w:rPr>
        <w:t>企业及行业运输事故等。</w:t>
      </w:r>
    </w:p>
    <w:p w14:paraId="25874093">
      <w:pPr>
        <w:pStyle w:val="4"/>
        <w:spacing w:before="156" w:after="156"/>
      </w:pPr>
      <w:r>
        <w:rPr>
          <w:rFonts w:hint="eastAsia"/>
        </w:rPr>
        <w:t>风险辨识</w:t>
      </w:r>
    </w:p>
    <w:p w14:paraId="43C732EF">
      <w:pPr>
        <w:pStyle w:val="5"/>
        <w:spacing w:before="156" w:after="156"/>
      </w:pPr>
      <w:r>
        <w:rPr>
          <w:rFonts w:hint="eastAsia"/>
        </w:rPr>
        <w:t>确定辨识范围</w:t>
      </w:r>
    </w:p>
    <w:p w14:paraId="7DB1EFEF">
      <w:pPr>
        <w:pStyle w:val="21"/>
        <w:rPr>
          <w:rFonts w:hint="eastAsia" w:ascii="黑体" w:hAnsi="黑体" w:eastAsia="宋体" w:cs="Times New Roman"/>
          <w:bCs/>
          <w:kern w:val="2"/>
          <w:sz w:val="21"/>
          <w:szCs w:val="28"/>
          <w:lang w:val="en-US" w:eastAsia="zh-CN" w:bidi="ar-SA"/>
        </w:rPr>
      </w:pPr>
      <w:r>
        <w:rPr>
          <w:rFonts w:hint="eastAsia" w:ascii="黑体" w:hAnsi="黑体" w:eastAsia="宋体" w:cs="Times New Roman"/>
          <w:bCs/>
          <w:kern w:val="2"/>
          <w:sz w:val="21"/>
          <w:szCs w:val="28"/>
          <w:lang w:val="en-US" w:eastAsia="zh-CN" w:bidi="ar-SA"/>
        </w:rPr>
        <w:t>企业风险辨识覆盖运输前、运输中、运输后的所有活动及区域。</w:t>
      </w:r>
    </w:p>
    <w:p w14:paraId="1D8E82A9">
      <w:pPr>
        <w:pStyle w:val="5"/>
        <w:spacing w:before="156" w:after="156"/>
      </w:pPr>
      <w:r>
        <w:rPr>
          <w:rFonts w:hint="eastAsia"/>
        </w:rPr>
        <w:t>划分作业单元</w:t>
      </w:r>
    </w:p>
    <w:p w14:paraId="1285C519">
      <w:pPr>
        <w:pStyle w:val="6"/>
        <w:spacing w:before="156" w:beforeLines="50" w:after="156" w:afterLines="50"/>
      </w:pPr>
      <w:r>
        <w:rPr>
          <w:rFonts w:hint="eastAsia"/>
        </w:rPr>
        <w:t>企业应遵循“大小适中、便于分类、功能独立、易于管理、范围清晰”的原则，根据业务范围、生产区域、管理单元、作业环节、流程工艺等进行作业单元划分。</w:t>
      </w:r>
    </w:p>
    <w:p w14:paraId="43F1B209">
      <w:pPr>
        <w:pStyle w:val="6"/>
        <w:spacing w:before="156" w:beforeLines="50" w:after="156" w:afterLines="50"/>
        <w:rPr>
          <w:rFonts w:hint="eastAsia"/>
        </w:rPr>
      </w:pPr>
      <w:r>
        <w:rPr>
          <w:rFonts w:hint="eastAsia"/>
        </w:rPr>
        <w:t>企业可按</w:t>
      </w:r>
      <w:r>
        <w:rPr>
          <w:rFonts w:hint="eastAsia"/>
          <w:lang w:val="en-US" w:eastAsia="zh-CN"/>
        </w:rPr>
        <w:t>装载、运输、卸载、停车划分作业单元</w:t>
      </w:r>
      <w:r>
        <w:rPr>
          <w:rFonts w:hint="eastAsia"/>
        </w:rPr>
        <w:t>：</w:t>
      </w:r>
    </w:p>
    <w:p w14:paraId="6CFD08E4">
      <w:pPr>
        <w:pStyle w:val="21"/>
        <w:rPr>
          <w:rFonts w:hint="eastAsia" w:asciiTheme="minorEastAsia" w:hAnsiTheme="minorEastAsia" w:eastAsiaTheme="minorEastAsia"/>
          <w:szCs w:val="21"/>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Theme="minorEastAsia" w:hAnsiTheme="minorEastAsia" w:eastAsiaTheme="minorEastAsia"/>
          <w:szCs w:val="21"/>
          <w:lang w:val="en-US" w:eastAsia="zh-CN"/>
        </w:rPr>
        <w:t>装载单元，包括</w:t>
      </w:r>
      <w:r>
        <w:rPr>
          <w:rFonts w:hint="eastAsia" w:asciiTheme="minorEastAsia" w:hAnsiTheme="minorEastAsia" w:eastAsiaTheme="minorEastAsia"/>
          <w:szCs w:val="21"/>
        </w:rPr>
        <w:t>包括对从业人员、运输车辆等生产要素的检查作业及管理行为</w:t>
      </w:r>
      <w:r>
        <w:rPr>
          <w:rFonts w:hint="eastAsia" w:asciiTheme="minorEastAsia" w:hAnsiTheme="minorEastAsia" w:eastAsiaTheme="minorEastAsia"/>
          <w:szCs w:val="21"/>
          <w:lang w:val="en-US" w:eastAsia="zh-CN"/>
        </w:rPr>
        <w:t>等</w:t>
      </w:r>
      <w:r>
        <w:rPr>
          <w:rFonts w:hint="eastAsia" w:asciiTheme="minorEastAsia" w:hAnsiTheme="minorEastAsia" w:eastAsiaTheme="minorEastAsia"/>
          <w:szCs w:val="21"/>
        </w:rPr>
        <w:t>；</w:t>
      </w:r>
    </w:p>
    <w:p w14:paraId="7B007F8F">
      <w:pPr>
        <w:pStyle w:val="21"/>
        <w:rPr>
          <w:rFonts w:hint="eastAsia" w:asciiTheme="minorEastAsia" w:hAnsiTheme="minorEastAsia" w:eastAsiaTheme="minorEastAsia"/>
          <w:szCs w:val="21"/>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Theme="minorEastAsia" w:hAnsiTheme="minorEastAsia" w:eastAsiaTheme="minorEastAsia"/>
          <w:szCs w:val="21"/>
          <w:lang w:val="en-US" w:eastAsia="zh-CN"/>
        </w:rPr>
        <w:t>运输单元，</w:t>
      </w:r>
      <w:r>
        <w:rPr>
          <w:rFonts w:hint="eastAsia" w:asciiTheme="minorEastAsia" w:hAnsiTheme="minorEastAsia" w:eastAsiaTheme="minorEastAsia"/>
          <w:szCs w:val="21"/>
        </w:rPr>
        <w:t>包括生产调度、车辆驾驶、押运作业、动态监控、消防安全、安全管理等作业环节及管理行为</w:t>
      </w:r>
      <w:r>
        <w:rPr>
          <w:rFonts w:hint="eastAsia" w:asciiTheme="minorEastAsia" w:hAnsiTheme="minorEastAsia" w:eastAsiaTheme="minorEastAsia"/>
          <w:szCs w:val="21"/>
          <w:lang w:val="en-US" w:eastAsia="zh-CN"/>
        </w:rPr>
        <w:t>等</w:t>
      </w:r>
      <w:r>
        <w:rPr>
          <w:rFonts w:hint="eastAsia" w:asciiTheme="minorEastAsia" w:hAnsiTheme="minorEastAsia" w:eastAsiaTheme="minorEastAsia"/>
          <w:szCs w:val="21"/>
        </w:rPr>
        <w:t>；</w:t>
      </w:r>
    </w:p>
    <w:p w14:paraId="622BB964">
      <w:pPr>
        <w:pStyle w:val="21"/>
        <w:rPr>
          <w:rFonts w:hint="eastAsia" w:asciiTheme="minorEastAsia" w:hAnsiTheme="minorEastAsia" w:eastAsiaTheme="minorEastAsia"/>
          <w:szCs w:val="21"/>
          <w:lang w:val="en-US" w:eastAsia="zh-CN"/>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Theme="minorEastAsia" w:hAnsiTheme="minorEastAsia" w:eastAsiaTheme="minorEastAsia"/>
          <w:szCs w:val="21"/>
          <w:lang w:val="en-US" w:eastAsia="zh-CN"/>
        </w:rPr>
        <w:t>卸载单元，包括卸载前车辆、罐体、集装箱</w:t>
      </w:r>
      <w:r>
        <w:rPr>
          <w:rFonts w:hint="eastAsia" w:asciiTheme="minorEastAsia" w:hAnsiTheme="minorEastAsia" w:eastAsiaTheme="minorEastAsia"/>
          <w:szCs w:val="21"/>
        </w:rPr>
        <w:t>等生产要素的检查作业</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卸载后罐体清洗等；</w:t>
      </w:r>
    </w:p>
    <w:p w14:paraId="0A49CFFA">
      <w:pPr>
        <w:pStyle w:val="21"/>
        <w:rPr>
          <w:rFonts w:hint="eastAsia" w:asciiTheme="minorEastAsia" w:hAnsiTheme="minorEastAsia" w:eastAsiaTheme="minorEastAsia"/>
          <w:szCs w:val="21"/>
          <w:lang w:val="en-US" w:eastAsia="zh-CN"/>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Theme="minorEastAsia" w:hAnsiTheme="minorEastAsia" w:eastAsiaTheme="minorEastAsia"/>
          <w:szCs w:val="21"/>
          <w:lang w:val="en-US" w:eastAsia="zh-CN"/>
        </w:rPr>
        <w:t>停车单元，包括</w:t>
      </w:r>
      <w:r>
        <w:rPr>
          <w:rFonts w:hint="eastAsia" w:asciiTheme="minorEastAsia" w:hAnsiTheme="minorEastAsia" w:eastAsiaTheme="minorEastAsia"/>
          <w:szCs w:val="21"/>
        </w:rPr>
        <w:t>停车场及其消防设施设备器材、监控设施，车辆中途停放监护等</w:t>
      </w:r>
      <w:r>
        <w:rPr>
          <w:rFonts w:hint="eastAsia" w:asciiTheme="minorEastAsia" w:hAnsiTheme="minorEastAsia" w:eastAsiaTheme="minorEastAsia"/>
          <w:szCs w:val="21"/>
          <w:lang w:eastAsia="zh-CN"/>
        </w:rPr>
        <w:t>。</w:t>
      </w:r>
    </w:p>
    <w:p w14:paraId="31DD84B8">
      <w:pPr>
        <w:pStyle w:val="5"/>
        <w:spacing w:before="156" w:after="156"/>
      </w:pPr>
      <w:r>
        <w:rPr>
          <w:rFonts w:hint="eastAsia"/>
        </w:rPr>
        <w:t>确定风险事件</w:t>
      </w:r>
    </w:p>
    <w:p w14:paraId="506EFA56">
      <w:pPr>
        <w:pStyle w:val="21"/>
        <w:rPr>
          <w:rFonts w:hint="eastAsia" w:cs="Times New Roman" w:asciiTheme="minorEastAsia" w:hAnsiTheme="minorEastAsia" w:eastAsiaTheme="minorEastAsia"/>
          <w:bCs/>
          <w:kern w:val="0"/>
          <w:sz w:val="21"/>
          <w:szCs w:val="21"/>
          <w:highlight w:val="none"/>
          <w:lang w:val="en-US" w:eastAsia="zh-CN" w:bidi="ar-SA"/>
        </w:rPr>
      </w:pPr>
      <w:r>
        <w:rPr>
          <w:rFonts w:hint="eastAsia" w:cs="Times New Roman" w:asciiTheme="minorEastAsia" w:hAnsiTheme="minorEastAsia" w:eastAsiaTheme="minorEastAsia"/>
          <w:bCs/>
          <w:kern w:val="0"/>
          <w:sz w:val="21"/>
          <w:szCs w:val="21"/>
          <w:highlight w:val="none"/>
          <w:lang w:val="en-US" w:eastAsia="zh-CN" w:bidi="ar-SA"/>
        </w:rPr>
        <w:t>针对不同作业单元，结合日常安全生产管理实际，综合考虑本企业历史风险事件发生情况及省、内外同行业风险事件发生情况，企业工作小组组织相关岗位人员讨论分析，确定本企业获许经营范围内的危险货物运输类别的各作业单元可能发生的典型风险事件，编制风险事件分析表（参见附录A）。</w:t>
      </w:r>
    </w:p>
    <w:p w14:paraId="0BD42126">
      <w:pPr>
        <w:pStyle w:val="5"/>
        <w:spacing w:before="156" w:after="156"/>
        <w:rPr>
          <w:highlight w:val="none"/>
        </w:rPr>
      </w:pPr>
      <w:r>
        <w:rPr>
          <w:rFonts w:hint="eastAsia"/>
          <w:highlight w:val="none"/>
        </w:rPr>
        <w:t>分析致险因素</w:t>
      </w:r>
    </w:p>
    <w:p w14:paraId="5B5B2433">
      <w:pPr>
        <w:pStyle w:val="6"/>
        <w:spacing w:before="156" w:beforeLines="50" w:after="156" w:afterLines="5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企业工作小组组织各部门各岗位人员，结合本岗位涉及的设施设备、作业活动、作业环境等，按照人的因素、物的因素、环境因素、管理因素等四方面进行致险因素及其可能导致的风险事件初步梳理辨识</w:t>
      </w:r>
      <w:r>
        <w:rPr>
          <w:rFonts w:hint="eastAsia" w:asciiTheme="minorEastAsia" w:hAnsiTheme="minorEastAsia" w:eastAsiaTheme="minorEastAsia"/>
          <w:kern w:val="0"/>
          <w:szCs w:val="21"/>
          <w:highlight w:val="none"/>
          <w:lang w:eastAsia="zh-CN"/>
        </w:rPr>
        <w:t>，</w:t>
      </w:r>
      <w:r>
        <w:rPr>
          <w:rFonts w:hint="eastAsia" w:asciiTheme="minorEastAsia" w:hAnsiTheme="minorEastAsia" w:eastAsiaTheme="minorEastAsia"/>
          <w:kern w:val="0"/>
          <w:szCs w:val="21"/>
          <w:highlight w:val="none"/>
        </w:rPr>
        <w:t>由专业岗位人员对各岗位人员的致险因素进行汇集整理，按《生产过程危险和有害因素分类与代码》规定的四类危险有害因素进行汇总和分析，确定各岗位人员的致险因素及对应的风险事件，同时确认已采取的防范措施的有效性，形成岗位安全风险辨识清单</w:t>
      </w:r>
      <w:r>
        <w:rPr>
          <w:rFonts w:hint="eastAsia" w:asciiTheme="minorEastAsia" w:hAnsiTheme="minorEastAsia" w:eastAsiaTheme="minorEastAsia"/>
          <w:szCs w:val="21"/>
          <w:highlight w:val="none"/>
        </w:rPr>
        <w:t>（参见附录B）。</w:t>
      </w:r>
    </w:p>
    <w:p w14:paraId="48F83710">
      <w:pPr>
        <w:pStyle w:val="6"/>
        <w:spacing w:before="156" w:beforeLines="50" w:after="156" w:afterLines="5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专业岗位人员汇总各岗位人员安全风险，进行统计分析，按致险因素的数量排序风险事件发生的概率，并按照《生产过程危险和有害因素分类与代码》（GB/T13861-2022）规定的人的因素、设备设施因素、环境因素、管理因素等危险有害因素，对致险因素进行分类统计，形成致险因素分析汇总表</w:t>
      </w:r>
      <w:r>
        <w:rPr>
          <w:rFonts w:hint="eastAsia" w:asciiTheme="minorEastAsia" w:hAnsiTheme="minorEastAsia" w:eastAsiaTheme="minorEastAsia"/>
          <w:szCs w:val="21"/>
          <w:highlight w:val="none"/>
        </w:rPr>
        <w:t>（参见附录C）。</w:t>
      </w:r>
    </w:p>
    <w:p w14:paraId="189A1DE9">
      <w:pPr>
        <w:pStyle w:val="4"/>
        <w:spacing w:before="156" w:after="156"/>
      </w:pPr>
      <w:r>
        <w:rPr>
          <w:rFonts w:hint="eastAsia"/>
        </w:rPr>
        <w:t>风险评估</w:t>
      </w:r>
    </w:p>
    <w:p w14:paraId="4AD099B5">
      <w:pPr>
        <w:pStyle w:val="5"/>
        <w:spacing w:before="156" w:after="156"/>
        <w:rPr>
          <w:rFonts w:asciiTheme="minorEastAsia" w:hAnsiTheme="minorEastAsia" w:eastAsiaTheme="minorEastAsia"/>
          <w:kern w:val="0"/>
          <w:szCs w:val="21"/>
        </w:rPr>
      </w:pPr>
      <w:r>
        <w:rPr>
          <w:rFonts w:hint="eastAsia"/>
        </w:rPr>
        <w:t>风险评估方法</w:t>
      </w:r>
    </w:p>
    <w:p w14:paraId="0A81FB68">
      <w:pPr>
        <w:pStyle w:val="21"/>
        <w:widowControl w:val="0"/>
        <w:rPr>
          <w:rFonts w:hint="eastAsia" w:cs="Times New Roman" w:asciiTheme="minorEastAsia" w:hAnsiTheme="minorEastAsia" w:eastAsiaTheme="minorEastAsia"/>
          <w:bCs/>
          <w:kern w:val="0"/>
          <w:sz w:val="21"/>
          <w:szCs w:val="21"/>
          <w:highlight w:val="none"/>
          <w:lang w:val="en-US" w:eastAsia="zh-CN" w:bidi="ar-SA"/>
        </w:rPr>
      </w:pPr>
      <w:r>
        <w:rPr>
          <w:rFonts w:hint="eastAsia" w:cs="Times New Roman" w:asciiTheme="minorEastAsia" w:hAnsiTheme="minorEastAsia" w:eastAsiaTheme="minorEastAsia"/>
          <w:bCs/>
          <w:kern w:val="0"/>
          <w:sz w:val="21"/>
          <w:szCs w:val="21"/>
          <w:highlight w:val="none"/>
          <w:lang w:val="en-US" w:eastAsia="zh-CN" w:bidi="ar-SA"/>
        </w:rPr>
        <w:t>风险评估可采用层次分析法、风险矩阵法、作业条件危险性评价法等。</w:t>
      </w:r>
    </w:p>
    <w:p w14:paraId="3C58A82D">
      <w:pPr>
        <w:pStyle w:val="5"/>
        <w:keepNext w:val="0"/>
        <w:spacing w:before="156" w:after="156"/>
        <w:rPr>
          <w:rFonts w:asciiTheme="minorEastAsia" w:hAnsiTheme="minorEastAsia" w:eastAsiaTheme="minorEastAsia"/>
          <w:kern w:val="0"/>
          <w:szCs w:val="21"/>
        </w:rPr>
      </w:pPr>
      <w:r>
        <w:rPr>
          <w:rFonts w:hint="eastAsia"/>
        </w:rPr>
        <w:t>风险等级调整及变更</w:t>
      </w:r>
    </w:p>
    <w:p w14:paraId="0588DD3D">
      <w:pPr>
        <w:pStyle w:val="6"/>
        <w:keepNext w:val="0"/>
        <w:spacing w:before="156" w:beforeLines="50" w:after="156" w:afterLines="50"/>
        <w:rPr>
          <w:rFonts w:hint="eastAsia"/>
        </w:rPr>
      </w:pPr>
      <w:r>
        <w:rPr>
          <w:rFonts w:hint="eastAsia"/>
        </w:rPr>
        <w:t>首次评估的风险等级为“重大风险”时，企业应针对主要致险因素，及时通过人、财、物、技术等方面的投入，降低风险等级，经重新评估后可变更风险等级。针对因主、客观因素，不可降低的“重大风险”，企业加强风险管控措施的落实。</w:t>
      </w:r>
    </w:p>
    <w:p w14:paraId="05790017">
      <w:pPr>
        <w:pStyle w:val="6"/>
        <w:keepNext w:val="0"/>
        <w:spacing w:before="156" w:beforeLines="50" w:after="156" w:afterLines="50"/>
      </w:pPr>
      <w:r>
        <w:rPr>
          <w:rFonts w:hint="eastAsia"/>
        </w:rPr>
        <w:t>企业出现新的致险因素，或已有主要致险因素发生变化，导致发生风险事件可能性或后果严重程度显著变化时，及时开展风险再评估，并变更风险等级。</w:t>
      </w:r>
    </w:p>
    <w:p w14:paraId="68071B8A">
      <w:pPr>
        <w:pStyle w:val="4"/>
        <w:keepNext w:val="0"/>
        <w:spacing w:before="156" w:after="156"/>
      </w:pPr>
      <w:r>
        <w:rPr>
          <w:rFonts w:hint="eastAsia"/>
        </w:rPr>
        <w:t>风险管控</w:t>
      </w:r>
    </w:p>
    <w:p w14:paraId="069B83A0">
      <w:pPr>
        <w:pStyle w:val="5"/>
        <w:spacing w:before="156" w:after="156"/>
        <w:rPr>
          <w:rFonts w:asciiTheme="minorEastAsia" w:hAnsiTheme="minorEastAsia" w:eastAsiaTheme="minorEastAsia"/>
          <w:kern w:val="0"/>
          <w:szCs w:val="21"/>
        </w:rPr>
      </w:pPr>
      <w:r>
        <w:rPr>
          <w:rFonts w:hint="eastAsia"/>
        </w:rPr>
        <w:t>管控原则</w:t>
      </w:r>
    </w:p>
    <w:p w14:paraId="446F3930">
      <w:pPr>
        <w:autoSpaceDN w:val="0"/>
        <w:ind w:firstLine="420" w:firstLineChars="200"/>
        <w:rPr>
          <w:rFonts w:ascii="黑体" w:hAnsi="黑体"/>
          <w:bCs/>
          <w:szCs w:val="28"/>
        </w:rPr>
      </w:pPr>
      <w:r>
        <w:rPr>
          <w:rFonts w:hint="eastAsia" w:ascii="黑体" w:hAnsi="黑体"/>
          <w:bCs/>
          <w:szCs w:val="28"/>
        </w:rPr>
        <w:t>风险管控应遵循以下原则：</w:t>
      </w:r>
    </w:p>
    <w:p w14:paraId="7A319788">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风险越大，管控级别越高；</w:t>
      </w:r>
    </w:p>
    <w:p w14:paraId="5E9657CC">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上级负责管控的风险，下级必须同时负责管控，并逐级落实具体措施；</w:t>
      </w:r>
    </w:p>
    <w:p w14:paraId="462022E7">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分类、分级、分层、分专业，逐一明确企业、部门/车队、车组的管控重点、管控责任和管控措施；</w:t>
      </w:r>
    </w:p>
    <w:p w14:paraId="18E9B42A">
      <w:pPr>
        <w:autoSpaceDN w:val="0"/>
        <w:ind w:firstLine="420" w:firstLineChars="200"/>
        <w:rPr>
          <w:rFonts w:ascii="黑体" w:hAnsi="黑体"/>
          <w:bCs/>
          <w:szCs w:val="28"/>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黑体" w:hAnsi="黑体"/>
          <w:bCs/>
          <w:szCs w:val="28"/>
        </w:rPr>
        <w:t>企业重大、较大等级风险由企业领导层进行管控，一般风险由企业部门/车队等管理层进行管控，较小风险由企业车组岗位等员工层管控；</w:t>
      </w:r>
    </w:p>
    <w:p w14:paraId="2CF2414A">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风险不论处于哪一等级，都应具有对应下一层级岗位人员及管控措施；</w:t>
      </w:r>
    </w:p>
    <w:p w14:paraId="6002B23A">
      <w:pPr>
        <w:autoSpaceDN w:val="0"/>
        <w:ind w:firstLine="420" w:firstLineChars="200"/>
        <w:rPr>
          <w:rFonts w:ascii="黑体" w:hAnsi="黑体"/>
          <w:bCs/>
          <w:szCs w:val="28"/>
        </w:rPr>
      </w:pPr>
      <w:r>
        <w:rPr>
          <w:rFonts w:hint="eastAsia" w:asciiTheme="minorEastAsia" w:hAnsiTheme="minorEastAsia" w:eastAsiaTheme="minorEastAsia"/>
          <w:lang w:val="en-US" w:eastAsia="zh-CN"/>
        </w:rPr>
        <w:t>f</w:t>
      </w:r>
      <w:r>
        <w:rPr>
          <w:rFonts w:hint="eastAsia" w:asciiTheme="minorEastAsia" w:hAnsiTheme="minorEastAsia" w:eastAsiaTheme="minorEastAsia"/>
        </w:rPr>
        <w:t>）</w:t>
      </w:r>
      <w:r>
        <w:rPr>
          <w:rFonts w:hint="eastAsia" w:ascii="黑体" w:hAnsi="黑体"/>
          <w:bCs/>
          <w:szCs w:val="28"/>
        </w:rPr>
        <w:t>风险控制资源投入如安全专项资金、升级改造、监测监控等，根据风险等级确定优先等级；</w:t>
      </w:r>
    </w:p>
    <w:p w14:paraId="4CAD4A97">
      <w:pPr>
        <w:autoSpaceDN w:val="0"/>
        <w:ind w:firstLine="420" w:firstLineChars="200"/>
        <w:rPr>
          <w:rFonts w:ascii="黑体" w:hAnsi="黑体"/>
          <w:bCs/>
          <w:szCs w:val="28"/>
        </w:rPr>
      </w:pPr>
      <w:r>
        <w:rPr>
          <w:rFonts w:hint="eastAsia" w:asciiTheme="minorEastAsia" w:hAnsiTheme="minorEastAsia" w:eastAsiaTheme="minorEastAsia"/>
          <w:lang w:val="en-US" w:eastAsia="zh-CN"/>
        </w:rPr>
        <w:t>g</w:t>
      </w:r>
      <w:r>
        <w:rPr>
          <w:rFonts w:hint="eastAsia" w:asciiTheme="minorEastAsia" w:hAnsiTheme="minorEastAsia" w:eastAsiaTheme="minorEastAsia"/>
        </w:rPr>
        <w:t>）</w:t>
      </w:r>
      <w:r>
        <w:rPr>
          <w:rFonts w:hint="eastAsia" w:ascii="黑体" w:hAnsi="黑体"/>
          <w:bCs/>
          <w:szCs w:val="28"/>
        </w:rPr>
        <w:t>按照消除、限制和减少、隔离、个体防护、安全警示、应急处置的顺序控制。</w:t>
      </w:r>
    </w:p>
    <w:p w14:paraId="195F25B6">
      <w:pPr>
        <w:pStyle w:val="5"/>
        <w:spacing w:before="156" w:after="156"/>
        <w:rPr>
          <w:rFonts w:asciiTheme="minorEastAsia" w:hAnsiTheme="minorEastAsia" w:eastAsiaTheme="minorEastAsia"/>
          <w:kern w:val="0"/>
          <w:szCs w:val="21"/>
        </w:rPr>
      </w:pPr>
      <w:r>
        <w:rPr>
          <w:rFonts w:hint="eastAsia"/>
        </w:rPr>
        <w:t>管控职责</w:t>
      </w:r>
    </w:p>
    <w:p w14:paraId="7DBA6E03">
      <w:pPr>
        <w:pStyle w:val="6"/>
        <w:spacing w:before="156" w:beforeLines="50" w:after="156" w:afterLines="50"/>
        <w:rPr>
          <w:rFonts w:eastAsia="黑体" w:cs="黑体"/>
        </w:rPr>
      </w:pPr>
      <w:r>
        <w:rPr>
          <w:rFonts w:hint="eastAsia" w:eastAsia="黑体" w:cs="黑体"/>
        </w:rPr>
        <w:t>主要负责人管控职责</w:t>
      </w:r>
    </w:p>
    <w:p w14:paraId="0A0BA0D3">
      <w:pPr>
        <w:autoSpaceDN w:val="0"/>
        <w:ind w:firstLine="420" w:firstLineChars="200"/>
        <w:rPr>
          <w:rFonts w:ascii="黑体" w:hAnsi="黑体"/>
          <w:bCs/>
          <w:szCs w:val="28"/>
        </w:rPr>
      </w:pPr>
      <w:r>
        <w:rPr>
          <w:rFonts w:hint="eastAsia" w:ascii="黑体" w:hAnsi="黑体"/>
          <w:bCs/>
          <w:szCs w:val="28"/>
        </w:rPr>
        <w:t>企业的主要负责人对本企业的风险管控工作全面负责，主要职责包括：</w:t>
      </w:r>
    </w:p>
    <w:p w14:paraId="6EE52E90">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组织建立健全风险管控规章制度；</w:t>
      </w:r>
    </w:p>
    <w:p w14:paraId="057340F0">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组织制定安全生产风险管控教育和培训计划；</w:t>
      </w:r>
    </w:p>
    <w:p w14:paraId="318E59D0">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保证风险管控经费投入；</w:t>
      </w:r>
    </w:p>
    <w:p w14:paraId="450BE02C">
      <w:pPr>
        <w:autoSpaceDN w:val="0"/>
        <w:ind w:firstLine="420" w:firstLineChars="200"/>
        <w:rPr>
          <w:rFonts w:ascii="黑体" w:hAnsi="黑体"/>
          <w:bCs/>
          <w:szCs w:val="28"/>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黑体" w:hAnsi="黑体"/>
          <w:bCs/>
          <w:szCs w:val="28"/>
        </w:rPr>
        <w:t>开展安全生产风险管控督促检查，并定期开展“重大风险”管控措施落实情况监督检查；</w:t>
      </w:r>
    </w:p>
    <w:p w14:paraId="250F45E4">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组织制定风险事件应急预案或措施；</w:t>
      </w:r>
    </w:p>
    <w:p w14:paraId="539A6CD5">
      <w:pPr>
        <w:autoSpaceDN w:val="0"/>
        <w:ind w:firstLine="420" w:firstLineChars="200"/>
        <w:rPr>
          <w:rFonts w:ascii="黑体" w:hAnsi="黑体"/>
          <w:bCs/>
          <w:szCs w:val="28"/>
        </w:rPr>
      </w:pPr>
      <w:r>
        <w:rPr>
          <w:rFonts w:hint="eastAsia" w:asciiTheme="minorEastAsia" w:hAnsiTheme="minorEastAsia" w:eastAsiaTheme="minorEastAsia"/>
          <w:lang w:val="en-US" w:eastAsia="zh-CN"/>
        </w:rPr>
        <w:t>f</w:t>
      </w:r>
      <w:r>
        <w:rPr>
          <w:rFonts w:hint="eastAsia" w:asciiTheme="minorEastAsia" w:hAnsiTheme="minorEastAsia" w:eastAsiaTheme="minorEastAsia"/>
        </w:rPr>
        <w:t>）</w:t>
      </w:r>
      <w:r>
        <w:rPr>
          <w:rFonts w:hint="eastAsia" w:ascii="黑体" w:hAnsi="黑体"/>
          <w:bCs/>
          <w:szCs w:val="28"/>
        </w:rPr>
        <w:t>及时、如实上报安全生产风险事件。</w:t>
      </w:r>
    </w:p>
    <w:p w14:paraId="2D09E620">
      <w:pPr>
        <w:pStyle w:val="6"/>
        <w:spacing w:before="156" w:beforeLines="50" w:after="156" w:afterLines="50"/>
        <w:rPr>
          <w:rFonts w:eastAsia="黑体" w:cs="黑体"/>
        </w:rPr>
      </w:pPr>
      <w:r>
        <w:rPr>
          <w:rFonts w:hint="eastAsia" w:eastAsia="黑体" w:cs="黑体"/>
        </w:rPr>
        <w:t>业务管理部门管控职责</w:t>
      </w:r>
    </w:p>
    <w:p w14:paraId="1A0F0978">
      <w:pPr>
        <w:autoSpaceDN w:val="0"/>
        <w:ind w:firstLine="420" w:firstLineChars="200"/>
        <w:rPr>
          <w:rFonts w:ascii="黑体" w:hAnsi="黑体"/>
          <w:bCs/>
          <w:szCs w:val="28"/>
        </w:rPr>
      </w:pPr>
      <w:r>
        <w:rPr>
          <w:rFonts w:hint="eastAsia" w:ascii="黑体" w:hAnsi="黑体"/>
          <w:bCs/>
          <w:szCs w:val="28"/>
        </w:rPr>
        <w:t>企业的业务管理部门对本企业的风险管控具体负责，</w:t>
      </w:r>
      <w:r>
        <w:rPr>
          <w:rFonts w:hint="eastAsia" w:ascii="黑体" w:hAnsi="黑体"/>
          <w:bCs/>
          <w:szCs w:val="28"/>
          <w:lang w:val="en-US" w:eastAsia="zh-CN"/>
        </w:rPr>
        <w:t>主要</w:t>
      </w:r>
      <w:r>
        <w:rPr>
          <w:rFonts w:hint="eastAsia" w:ascii="黑体" w:hAnsi="黑体"/>
          <w:bCs/>
          <w:szCs w:val="28"/>
        </w:rPr>
        <w:t>职责包括：</w:t>
      </w:r>
    </w:p>
    <w:p w14:paraId="4C71EBAA">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落实风险管控规章制度；</w:t>
      </w:r>
    </w:p>
    <w:p w14:paraId="0D270685">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制定并落实风险管控措施；</w:t>
      </w:r>
    </w:p>
    <w:p w14:paraId="6C2DBADF">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及时、如实上报安全生产风险事件；</w:t>
      </w:r>
    </w:p>
    <w:p w14:paraId="4F66D5B0">
      <w:pPr>
        <w:autoSpaceDN w:val="0"/>
        <w:ind w:firstLine="420" w:firstLineChars="200"/>
        <w:rPr>
          <w:rFonts w:ascii="黑体" w:hAnsi="黑体"/>
          <w:bCs/>
          <w:szCs w:val="28"/>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黑体" w:hAnsi="黑体"/>
          <w:bCs/>
          <w:szCs w:val="28"/>
        </w:rPr>
        <w:t>参加安全生产风险管控教育和培训；</w:t>
      </w:r>
    </w:p>
    <w:p w14:paraId="0F81F4C3">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定期或不定期向安全生产管理部门进行风险管控工作汇报和改进建议。</w:t>
      </w:r>
    </w:p>
    <w:p w14:paraId="30E6116F">
      <w:pPr>
        <w:pStyle w:val="6"/>
        <w:spacing w:before="156" w:beforeLines="50" w:after="156" w:afterLines="50"/>
        <w:rPr>
          <w:rFonts w:eastAsia="黑体" w:cs="黑体"/>
        </w:rPr>
      </w:pPr>
      <w:r>
        <w:rPr>
          <w:rFonts w:hint="eastAsia" w:eastAsia="黑体" w:cs="黑体"/>
        </w:rPr>
        <w:t>基层管理单位管控职责</w:t>
      </w:r>
    </w:p>
    <w:p w14:paraId="53B883F3">
      <w:pPr>
        <w:autoSpaceDN w:val="0"/>
        <w:ind w:firstLine="420" w:firstLineChars="200"/>
        <w:rPr>
          <w:rFonts w:ascii="黑体" w:hAnsi="黑体"/>
          <w:bCs/>
          <w:szCs w:val="28"/>
        </w:rPr>
      </w:pPr>
      <w:r>
        <w:rPr>
          <w:rFonts w:hint="eastAsia" w:ascii="黑体" w:hAnsi="黑体"/>
          <w:bCs/>
          <w:szCs w:val="28"/>
        </w:rPr>
        <w:t>企业的基层管理单位实施具体风险管控，主要职责包括：</w:t>
      </w:r>
    </w:p>
    <w:p w14:paraId="198F22EF">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落实风险管控规章制度；</w:t>
      </w:r>
    </w:p>
    <w:p w14:paraId="3573C759">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开展风险监测预警、警示告知、风险降低等风险管控工作；</w:t>
      </w:r>
    </w:p>
    <w:p w14:paraId="0F410FD2">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开展风险事件发生后的应急处置工作；</w:t>
      </w:r>
    </w:p>
    <w:p w14:paraId="63714379">
      <w:pPr>
        <w:autoSpaceDN w:val="0"/>
        <w:ind w:firstLine="420" w:firstLineChars="200"/>
        <w:rPr>
          <w:rFonts w:ascii="黑体" w:hAnsi="黑体"/>
          <w:bCs/>
          <w:szCs w:val="28"/>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黑体" w:hAnsi="黑体"/>
          <w:bCs/>
          <w:szCs w:val="28"/>
        </w:rPr>
        <w:t>参加安全生产风险管控教育和培训；</w:t>
      </w:r>
    </w:p>
    <w:p w14:paraId="7BA3485F">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定期或不定期向业务管理部门进行工作汇报和改进建议。</w:t>
      </w:r>
    </w:p>
    <w:p w14:paraId="2E43CEFA">
      <w:pPr>
        <w:pStyle w:val="6"/>
        <w:spacing w:before="156" w:beforeLines="50" w:after="156" w:afterLines="50"/>
        <w:rPr>
          <w:rFonts w:eastAsia="黑体" w:cs="黑体"/>
        </w:rPr>
      </w:pPr>
      <w:r>
        <w:rPr>
          <w:rFonts w:hint="eastAsia" w:eastAsia="黑体" w:cs="黑体"/>
        </w:rPr>
        <w:t>安全管理部门管控职责</w:t>
      </w:r>
    </w:p>
    <w:p w14:paraId="2A2D6783">
      <w:pPr>
        <w:autoSpaceDN w:val="0"/>
        <w:ind w:firstLine="420" w:firstLineChars="200"/>
        <w:rPr>
          <w:rFonts w:ascii="黑体" w:hAnsi="黑体"/>
          <w:bCs/>
          <w:szCs w:val="28"/>
        </w:rPr>
      </w:pPr>
      <w:r>
        <w:rPr>
          <w:rFonts w:hint="eastAsia" w:ascii="黑体" w:hAnsi="黑体"/>
          <w:bCs/>
          <w:szCs w:val="28"/>
        </w:rPr>
        <w:t>企业的安全管理部门对本企业的风险管控组织及推动工作具体负责，主要职责包括：</w:t>
      </w:r>
    </w:p>
    <w:p w14:paraId="05363647">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建立健全风险管控规章制度；</w:t>
      </w:r>
    </w:p>
    <w:p w14:paraId="1C2C561F">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制定安全生产风险管控教育和培训计划并组织实施；</w:t>
      </w:r>
    </w:p>
    <w:p w14:paraId="56EE407D">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制定风险管控经费使用计划并监督实施；</w:t>
      </w:r>
    </w:p>
    <w:p w14:paraId="174E433B">
      <w:pPr>
        <w:autoSpaceDN w:val="0"/>
        <w:ind w:firstLine="420" w:firstLineChars="200"/>
        <w:rPr>
          <w:rFonts w:ascii="黑体" w:hAnsi="黑体"/>
          <w:bCs/>
          <w:szCs w:val="28"/>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黑体" w:hAnsi="黑体"/>
          <w:bCs/>
          <w:szCs w:val="28"/>
        </w:rPr>
        <w:t>执行风险管控监督检查，监督落实“重大风险”管控措施；</w:t>
      </w:r>
    </w:p>
    <w:p w14:paraId="44AFD0A2">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制定风险事件应急预案或措施并监督实施；</w:t>
      </w:r>
    </w:p>
    <w:p w14:paraId="65DD7EBA">
      <w:pPr>
        <w:autoSpaceDN w:val="0"/>
        <w:ind w:firstLine="420" w:firstLineChars="200"/>
        <w:rPr>
          <w:rFonts w:ascii="黑体" w:hAnsi="黑体"/>
          <w:bCs/>
          <w:szCs w:val="28"/>
        </w:rPr>
      </w:pPr>
      <w:r>
        <w:rPr>
          <w:rFonts w:hint="eastAsia" w:asciiTheme="minorEastAsia" w:hAnsiTheme="minorEastAsia" w:eastAsiaTheme="minorEastAsia"/>
          <w:lang w:val="en-US" w:eastAsia="zh-CN"/>
        </w:rPr>
        <w:t>f</w:t>
      </w:r>
      <w:r>
        <w:rPr>
          <w:rFonts w:hint="eastAsia" w:asciiTheme="minorEastAsia" w:hAnsiTheme="minorEastAsia" w:eastAsiaTheme="minorEastAsia"/>
        </w:rPr>
        <w:t>）</w:t>
      </w:r>
      <w:r>
        <w:rPr>
          <w:rFonts w:hint="eastAsia" w:ascii="黑体" w:hAnsi="黑体"/>
          <w:bCs/>
          <w:szCs w:val="28"/>
        </w:rPr>
        <w:t>及时、如实上报安全生产风险事件；</w:t>
      </w:r>
    </w:p>
    <w:p w14:paraId="4B94B3BE">
      <w:pPr>
        <w:autoSpaceDN w:val="0"/>
        <w:ind w:firstLine="420" w:firstLineChars="200"/>
        <w:rPr>
          <w:rFonts w:ascii="黑体" w:hAnsi="黑体"/>
          <w:bCs/>
          <w:szCs w:val="28"/>
        </w:rPr>
      </w:pPr>
      <w:r>
        <w:rPr>
          <w:rFonts w:hint="eastAsia" w:asciiTheme="minorEastAsia" w:hAnsiTheme="minorEastAsia" w:eastAsiaTheme="minorEastAsia"/>
          <w:lang w:val="en-US" w:eastAsia="zh-CN"/>
        </w:rPr>
        <w:t>g</w:t>
      </w:r>
      <w:r>
        <w:rPr>
          <w:rFonts w:hint="eastAsia" w:asciiTheme="minorEastAsia" w:hAnsiTheme="minorEastAsia" w:eastAsiaTheme="minorEastAsia"/>
        </w:rPr>
        <w:t>）</w:t>
      </w:r>
      <w:r>
        <w:rPr>
          <w:rFonts w:hint="eastAsia" w:ascii="黑体" w:hAnsi="黑体"/>
          <w:bCs/>
          <w:szCs w:val="28"/>
        </w:rPr>
        <w:t>定期开展风险管控工作总结和改进建议。</w:t>
      </w:r>
    </w:p>
    <w:p w14:paraId="0CB82240">
      <w:pPr>
        <w:pStyle w:val="5"/>
        <w:spacing w:before="156" w:after="156"/>
        <w:rPr>
          <w:rFonts w:asciiTheme="minorEastAsia" w:hAnsiTheme="minorEastAsia" w:eastAsiaTheme="minorEastAsia"/>
          <w:kern w:val="0"/>
          <w:szCs w:val="21"/>
        </w:rPr>
      </w:pPr>
      <w:r>
        <w:rPr>
          <w:rFonts w:hint="eastAsia"/>
        </w:rPr>
        <w:t>管控制度</w:t>
      </w:r>
    </w:p>
    <w:p w14:paraId="48242583">
      <w:pPr>
        <w:autoSpaceDN w:val="0"/>
        <w:ind w:firstLine="420" w:firstLineChars="200"/>
        <w:rPr>
          <w:rFonts w:ascii="黑体" w:hAnsi="黑体"/>
          <w:bCs/>
          <w:szCs w:val="28"/>
        </w:rPr>
      </w:pPr>
      <w:r>
        <w:rPr>
          <w:rFonts w:hint="eastAsia" w:ascii="黑体" w:hAnsi="黑体"/>
          <w:bCs/>
          <w:szCs w:val="28"/>
        </w:rPr>
        <w:t>企业应结合本企业已有的规章制度，制定并完善本企业的各项风险管控制度，包括但不限于：</w:t>
      </w:r>
    </w:p>
    <w:p w14:paraId="0506B21B">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风险监控预警制度，制度中应明确风险监控部门或人员、风险监控对象、监控重点、监控内容、监控要求、监控手段、预警内容、预警级别、预警阈值、预警方式、防御性响应等。</w:t>
      </w:r>
    </w:p>
    <w:p w14:paraId="525A0640">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风险警示告知制度，制度中应明确警示对象、警示方式、警示内容等。警示对象包括：单位工作人员、社会公众；警示方式包括：物理隔离、标志标牌、语音提醒、人工干预等；警示内容包括：风险类型、位置、风险危害、影响范围、致险因素、可能发生的风险事件及后果、安全防范与应急措施等。</w:t>
      </w:r>
    </w:p>
    <w:p w14:paraId="056F5410">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风险降低制度，制度中应明确风险类型、级别、主要致险因素、风险降低措施、资金来源、风险降低要求、风险降低目标等。</w:t>
      </w:r>
    </w:p>
    <w:p w14:paraId="6468B8A0">
      <w:pPr>
        <w:autoSpaceDN w:val="0"/>
        <w:ind w:firstLine="420" w:firstLineChars="200"/>
        <w:rPr>
          <w:rFonts w:ascii="黑体" w:hAnsi="黑体"/>
          <w:bCs/>
          <w:szCs w:val="28"/>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黑体" w:hAnsi="黑体"/>
          <w:bCs/>
          <w:szCs w:val="28"/>
        </w:rPr>
        <w:t>教育培训制度，制度中应明确教育培训内容、对象、形式、要求、考核等。</w:t>
      </w:r>
    </w:p>
    <w:p w14:paraId="44681B7E">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档案管理制度，制度中应明确档案管理对象、管理内容、管理形式、管理有效期、使用方式、使用权限、更新要求、保密要求等。</w:t>
      </w:r>
    </w:p>
    <w:p w14:paraId="2A5B3191">
      <w:pPr>
        <w:autoSpaceDN w:val="0"/>
        <w:ind w:firstLine="420" w:firstLineChars="200"/>
        <w:rPr>
          <w:rFonts w:ascii="黑体" w:hAnsi="黑体"/>
          <w:bCs/>
          <w:szCs w:val="28"/>
        </w:rPr>
      </w:pPr>
      <w:r>
        <w:rPr>
          <w:rFonts w:hint="eastAsia" w:asciiTheme="minorEastAsia" w:hAnsiTheme="minorEastAsia" w:eastAsiaTheme="minorEastAsia"/>
          <w:lang w:val="en-US" w:eastAsia="zh-CN"/>
        </w:rPr>
        <w:t>f</w:t>
      </w:r>
      <w:r>
        <w:rPr>
          <w:rFonts w:hint="eastAsia" w:asciiTheme="minorEastAsia" w:hAnsiTheme="minorEastAsia" w:eastAsiaTheme="minorEastAsia"/>
        </w:rPr>
        <w:t>）</w:t>
      </w:r>
      <w:r>
        <w:rPr>
          <w:rFonts w:hint="eastAsia" w:ascii="黑体" w:hAnsi="黑体"/>
          <w:bCs/>
          <w:szCs w:val="28"/>
        </w:rPr>
        <w:t>风险控制制度，制度中应明确风险控制工作机制、工作流程、技术要求等。</w:t>
      </w:r>
    </w:p>
    <w:p w14:paraId="5C4D4A1A">
      <w:pPr>
        <w:pStyle w:val="5"/>
        <w:spacing w:before="156" w:after="156"/>
        <w:rPr>
          <w:rFonts w:asciiTheme="minorEastAsia" w:hAnsiTheme="minorEastAsia" w:eastAsiaTheme="minorEastAsia"/>
          <w:kern w:val="0"/>
          <w:szCs w:val="21"/>
        </w:rPr>
      </w:pPr>
      <w:r>
        <w:rPr>
          <w:rFonts w:hint="eastAsia"/>
        </w:rPr>
        <w:t>管控措施</w:t>
      </w:r>
    </w:p>
    <w:p w14:paraId="0DBB55E3">
      <w:pPr>
        <w:pStyle w:val="6"/>
        <w:spacing w:before="156" w:beforeLines="50" w:after="156" w:afterLines="50"/>
        <w:rPr>
          <w:rFonts w:eastAsia="黑体" w:cs="黑体"/>
        </w:rPr>
      </w:pPr>
      <w:r>
        <w:rPr>
          <w:rFonts w:hint="eastAsia" w:eastAsia="黑体" w:cs="黑体"/>
        </w:rPr>
        <w:t>监测预警</w:t>
      </w:r>
    </w:p>
    <w:p w14:paraId="5CCFCDF8">
      <w:pPr>
        <w:autoSpaceDN w:val="0"/>
        <w:ind w:firstLine="420" w:firstLineChars="200"/>
        <w:rPr>
          <w:rFonts w:ascii="黑体" w:hAnsi="黑体"/>
          <w:bCs/>
          <w:szCs w:val="28"/>
        </w:rPr>
      </w:pPr>
      <w:r>
        <w:rPr>
          <w:rFonts w:hint="eastAsia" w:ascii="黑体" w:hAnsi="黑体"/>
          <w:bCs/>
          <w:szCs w:val="28"/>
        </w:rPr>
        <w:t>企业应根据不同的监控对象、监控重点、监控内容、监控要求，采取科学高效的方式，加强对作业条件、作业环境、自然条件、设备设施等监测预警工作。</w:t>
      </w:r>
    </w:p>
    <w:p w14:paraId="5A5363D5">
      <w:pPr>
        <w:autoSpaceDN w:val="0"/>
        <w:ind w:firstLine="420" w:firstLineChars="200"/>
        <w:rPr>
          <w:rFonts w:ascii="黑体" w:hAnsi="黑体"/>
          <w:bCs/>
          <w:szCs w:val="28"/>
        </w:rPr>
      </w:pPr>
      <w:r>
        <w:rPr>
          <w:rFonts w:hint="eastAsia" w:ascii="黑体" w:hAnsi="黑体"/>
          <w:bCs/>
          <w:szCs w:val="28"/>
        </w:rPr>
        <w:t>风险监测预警人员，应根据风险监测预警工作制度，由信息化监测系统或人工实现对作业单元的实时状态和变化趋势的掌握，根据主要致险因素的管控临界值，实现异常预警，相关预警信息应及时报告相关管理部门和人员。</w:t>
      </w:r>
    </w:p>
    <w:p w14:paraId="7660FE3D">
      <w:pPr>
        <w:autoSpaceDN w:val="0"/>
        <w:ind w:firstLine="420" w:firstLineChars="200"/>
        <w:rPr>
          <w:rFonts w:ascii="黑体" w:hAnsi="黑体"/>
          <w:bCs/>
          <w:szCs w:val="28"/>
        </w:rPr>
      </w:pPr>
      <w:r>
        <w:rPr>
          <w:rFonts w:hint="eastAsia" w:ascii="黑体" w:hAnsi="黑体"/>
          <w:bCs/>
          <w:szCs w:val="28"/>
        </w:rPr>
        <w:t>企业相关部门收到预警信息后，应及时做好应急人员、物资、装备等防御性响应工作，防范生产安全事故发生。</w:t>
      </w:r>
    </w:p>
    <w:p w14:paraId="2A2BBCE0">
      <w:pPr>
        <w:autoSpaceDN w:val="0"/>
        <w:ind w:firstLine="420" w:firstLineChars="200"/>
        <w:rPr>
          <w:rFonts w:ascii="黑体" w:hAnsi="黑体"/>
          <w:bCs/>
          <w:szCs w:val="28"/>
        </w:rPr>
      </w:pPr>
      <w:r>
        <w:rPr>
          <w:rFonts w:hint="eastAsia" w:ascii="黑体" w:hAnsi="黑体"/>
          <w:bCs/>
          <w:szCs w:val="28"/>
        </w:rPr>
        <w:t>企业存在重大风险的，制定专项动态监测计划，定期更新监测数据或状态，每月不少于1次，并单独建档。</w:t>
      </w:r>
    </w:p>
    <w:p w14:paraId="677F89EF">
      <w:pPr>
        <w:autoSpaceDN w:val="0"/>
        <w:ind w:firstLine="420" w:firstLineChars="200"/>
        <w:rPr>
          <w:rFonts w:ascii="黑体" w:hAnsi="黑体"/>
          <w:bCs/>
          <w:szCs w:val="28"/>
        </w:rPr>
      </w:pPr>
      <w:r>
        <w:rPr>
          <w:rFonts w:hint="eastAsia" w:ascii="黑体" w:hAnsi="黑体"/>
          <w:bCs/>
          <w:szCs w:val="28"/>
        </w:rPr>
        <w:t>重大风险进入预警状态的，依据有关要求采取措施全面立即响应，并将预警信息同步报送所在地的交通运输主管部门；其他等级风险监测、预警等工作，执行企业分级管理制度的要求。</w:t>
      </w:r>
    </w:p>
    <w:p w14:paraId="5ED0EE97">
      <w:pPr>
        <w:pStyle w:val="6"/>
        <w:spacing w:before="156" w:beforeLines="50" w:after="156" w:afterLines="50"/>
        <w:rPr>
          <w:rFonts w:eastAsia="黑体" w:cs="黑体"/>
        </w:rPr>
      </w:pPr>
      <w:r>
        <w:rPr>
          <w:rFonts w:hint="eastAsia" w:eastAsia="黑体" w:cs="黑体"/>
        </w:rPr>
        <w:t>警示告知</w:t>
      </w:r>
    </w:p>
    <w:p w14:paraId="01BA0727">
      <w:pPr>
        <w:autoSpaceDN w:val="0"/>
        <w:ind w:firstLine="420" w:firstLineChars="200"/>
        <w:rPr>
          <w:rFonts w:ascii="黑体" w:hAnsi="黑体"/>
          <w:bCs/>
          <w:szCs w:val="28"/>
        </w:rPr>
      </w:pPr>
      <w:r>
        <w:rPr>
          <w:rFonts w:hint="eastAsia" w:ascii="黑体" w:hAnsi="黑体"/>
          <w:bCs/>
          <w:szCs w:val="28"/>
        </w:rPr>
        <w:t>企业应将风险基本情况、应急措施等信息通过安全手册、公告提醒、标识牌、讲解宣传、网络信息等方式告知从业人员，指导、督促做好安全防范。</w:t>
      </w:r>
    </w:p>
    <w:p w14:paraId="4662A188">
      <w:pPr>
        <w:autoSpaceDN w:val="0"/>
        <w:ind w:firstLine="420" w:firstLineChars="200"/>
        <w:rPr>
          <w:rFonts w:ascii="黑体" w:hAnsi="黑体"/>
          <w:bCs/>
          <w:szCs w:val="28"/>
        </w:rPr>
      </w:pPr>
      <w:r>
        <w:rPr>
          <w:rFonts w:hint="eastAsia" w:ascii="黑体" w:hAnsi="黑体"/>
          <w:bCs/>
          <w:szCs w:val="28"/>
        </w:rPr>
        <w:t>在主要风险场所设置安全警示标识，标明警示内容，并将主要风险类型、位置、风险危害、影响范围、致险因素、可能发生的风险事件及后果、安全防范与应急措施、应急电话，告知直接影响范围内的相关部门和岗位人员。</w:t>
      </w:r>
    </w:p>
    <w:p w14:paraId="5E40FD58">
      <w:pPr>
        <w:autoSpaceDN w:val="0"/>
        <w:ind w:firstLine="420" w:firstLineChars="200"/>
        <w:rPr>
          <w:rFonts w:ascii="黑体" w:hAnsi="黑体"/>
          <w:bCs/>
          <w:szCs w:val="28"/>
        </w:rPr>
      </w:pPr>
      <w:r>
        <w:rPr>
          <w:rFonts w:hint="eastAsia" w:ascii="黑体" w:hAnsi="黑体"/>
          <w:bCs/>
          <w:szCs w:val="28"/>
        </w:rPr>
        <w:t>企业存在重大风险，应当将重大风险的名称、位置、危险特性、影响范围、可能发生的生产安全事故和后果、管控措施及安全防范与应急措施、应急电话，告知直接影响范围内的相关方及岗位人员。在风险影响的场所（区域、设备）入口处，给出明显的警示标识，并以文字或图像等方式，标明重大风险危险特性、可能发生的事件后果、安全防范和应急措施，给出进入重大风险区域注意事项提示。</w:t>
      </w:r>
    </w:p>
    <w:p w14:paraId="581CEEA5">
      <w:pPr>
        <w:autoSpaceDN w:val="0"/>
        <w:ind w:firstLine="420" w:firstLineChars="200"/>
        <w:rPr>
          <w:rFonts w:ascii="黑体" w:hAnsi="黑体"/>
          <w:bCs/>
          <w:szCs w:val="28"/>
        </w:rPr>
      </w:pPr>
      <w:r>
        <w:rPr>
          <w:rFonts w:hint="eastAsia" w:ascii="黑体" w:hAnsi="黑体"/>
          <w:bCs/>
          <w:szCs w:val="28"/>
        </w:rPr>
        <w:t>其他等级风险警示告知工作应严格执行企业分级管理制度。</w:t>
      </w:r>
    </w:p>
    <w:p w14:paraId="60A43694">
      <w:pPr>
        <w:pStyle w:val="6"/>
        <w:spacing w:before="156" w:beforeLines="50" w:after="156" w:afterLines="50"/>
        <w:rPr>
          <w:rFonts w:eastAsia="黑体" w:cs="黑体"/>
        </w:rPr>
      </w:pPr>
      <w:r>
        <w:rPr>
          <w:rFonts w:hint="eastAsia" w:eastAsia="黑体" w:cs="黑体"/>
        </w:rPr>
        <w:t>风险降低</w:t>
      </w:r>
    </w:p>
    <w:p w14:paraId="6293913F">
      <w:pPr>
        <w:autoSpaceDN w:val="0"/>
        <w:ind w:firstLine="420" w:firstLineChars="200"/>
        <w:rPr>
          <w:rFonts w:ascii="黑体" w:hAnsi="黑体"/>
          <w:bCs/>
          <w:szCs w:val="28"/>
        </w:rPr>
      </w:pPr>
      <w:r>
        <w:rPr>
          <w:rFonts w:hint="eastAsia" w:ascii="黑体" w:hAnsi="黑体"/>
          <w:bCs/>
          <w:szCs w:val="28"/>
        </w:rPr>
        <w:t>企业采取有效的管控措施，降低风险等级，建立《风险辨识评估管</w:t>
      </w:r>
      <w:r>
        <w:rPr>
          <w:rFonts w:hint="eastAsia" w:ascii="黑体" w:hAnsi="黑体"/>
          <w:bCs/>
          <w:szCs w:val="28"/>
          <w:highlight w:val="none"/>
        </w:rPr>
        <w:t>控清单》</w:t>
      </w:r>
      <w:r>
        <w:rPr>
          <w:rFonts w:hint="eastAsia" w:asciiTheme="minorEastAsia" w:hAnsiTheme="minorEastAsia" w:eastAsiaTheme="minorEastAsia"/>
          <w:szCs w:val="21"/>
          <w:highlight w:val="none"/>
        </w:rPr>
        <w:t>（参见附录D）</w:t>
      </w:r>
      <w:r>
        <w:rPr>
          <w:rFonts w:hint="eastAsia" w:ascii="黑体" w:hAnsi="黑体"/>
          <w:bCs/>
          <w:szCs w:val="28"/>
          <w:highlight w:val="none"/>
        </w:rPr>
        <w:t>，</w:t>
      </w:r>
      <w:r>
        <w:rPr>
          <w:rFonts w:hint="eastAsia" w:ascii="黑体" w:hAnsi="黑体"/>
          <w:bCs/>
          <w:szCs w:val="28"/>
        </w:rPr>
        <w:t>管控措施主要包括：</w:t>
      </w:r>
    </w:p>
    <w:p w14:paraId="324D2A4B">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工程技术措施。如安装安全带提示报警装置，安装车辆防碰撞系统，设置车辆视觉盲区警告标志，使用</w:t>
      </w:r>
      <w:r>
        <w:rPr>
          <w:rFonts w:hint="eastAsia" w:asciiTheme="minorEastAsia" w:hAnsiTheme="minorEastAsia" w:eastAsiaTheme="minorEastAsia" w:cstheme="minorEastAsia"/>
          <w:bCs/>
          <w:szCs w:val="28"/>
        </w:rPr>
        <w:t>DMS</w:t>
      </w:r>
      <w:r>
        <w:rPr>
          <w:rFonts w:hint="eastAsia" w:ascii="黑体" w:hAnsi="黑体"/>
          <w:bCs/>
          <w:szCs w:val="28"/>
        </w:rPr>
        <w:t>疲劳驾驶预警系统等。</w:t>
      </w:r>
    </w:p>
    <w:p w14:paraId="0DAF8FFC">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教育培训措施。如安全知识培训，事故警示案例分享，驾驶员心里辅导等。</w:t>
      </w:r>
    </w:p>
    <w:p w14:paraId="22B3C11A">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管理措施。如成立安全管理组织机构，制定安全操作规程，编制应急预案，制定考核奖惩制度等。</w:t>
      </w:r>
    </w:p>
    <w:p w14:paraId="40D05113">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个体防护措施。如使用安全带，佩戴防眩防护镜，穿戴防护服等。</w:t>
      </w:r>
    </w:p>
    <w:p w14:paraId="7CF12550">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应急处置措施。如配备应急物资，开展应急演练等。</w:t>
      </w:r>
    </w:p>
    <w:p w14:paraId="06B6D81E">
      <w:pPr>
        <w:autoSpaceDN w:val="0"/>
        <w:ind w:firstLine="420" w:firstLineChars="200"/>
        <w:rPr>
          <w:rFonts w:ascii="黑体" w:hAnsi="黑体"/>
          <w:bCs/>
          <w:szCs w:val="28"/>
        </w:rPr>
      </w:pPr>
      <w:r>
        <w:rPr>
          <w:rFonts w:hint="eastAsia" w:ascii="黑体" w:hAnsi="黑体"/>
          <w:bCs/>
          <w:szCs w:val="28"/>
        </w:rPr>
        <w:t>企业存在重大风险的，根据主要致险因素的可控性，积极制定风险降低工作制度，并建立重大风险降低专项资金，满足企业针对重大风险的管控需求。其他等级风险降低工作应严格执行企业分级管理制度。</w:t>
      </w:r>
    </w:p>
    <w:p w14:paraId="47658F1D">
      <w:pPr>
        <w:pStyle w:val="6"/>
        <w:spacing w:before="156" w:beforeLines="50" w:after="156" w:afterLines="50"/>
        <w:rPr>
          <w:rFonts w:eastAsia="黑体" w:cs="黑体"/>
        </w:rPr>
      </w:pPr>
      <w:r>
        <w:rPr>
          <w:rFonts w:hint="eastAsia" w:eastAsia="黑体" w:cs="黑体"/>
        </w:rPr>
        <w:t>档案管理</w:t>
      </w:r>
    </w:p>
    <w:p w14:paraId="53175FB8">
      <w:pPr>
        <w:autoSpaceDN w:val="0"/>
        <w:ind w:firstLine="420" w:firstLineChars="200"/>
        <w:rPr>
          <w:rFonts w:ascii="黑体" w:hAnsi="黑体"/>
          <w:bCs/>
          <w:szCs w:val="28"/>
        </w:rPr>
      </w:pPr>
      <w:r>
        <w:rPr>
          <w:rFonts w:hint="eastAsia" w:ascii="黑体" w:hAnsi="黑体"/>
          <w:bCs/>
          <w:szCs w:val="28"/>
        </w:rPr>
        <w:t>企业应落实档案管理制度，规范档案管理，如实记录风险辨识、评估、管控，以及教育培训、登记备案等工作痕迹和信息，并分类建档管理。重大风险应单独建立清单和专项档案。</w:t>
      </w:r>
    </w:p>
    <w:p w14:paraId="60ADFE38">
      <w:pPr>
        <w:autoSpaceDN w:val="0"/>
        <w:ind w:firstLine="420" w:firstLineChars="200"/>
        <w:rPr>
          <w:rFonts w:ascii="黑体" w:hAnsi="黑体"/>
          <w:bCs/>
          <w:szCs w:val="28"/>
        </w:rPr>
      </w:pPr>
      <w:r>
        <w:rPr>
          <w:rFonts w:hint="eastAsia" w:ascii="黑体" w:hAnsi="黑体"/>
          <w:bCs/>
          <w:szCs w:val="28"/>
        </w:rPr>
        <w:t>针对重大风险，企业建立重大风险基础信息清单、管控责任清单、管控内容清单、监控监测清单及应急处置措施清单五项清单。</w:t>
      </w:r>
    </w:p>
    <w:p w14:paraId="27DBAE26">
      <w:pPr>
        <w:pStyle w:val="6"/>
        <w:spacing w:before="156" w:beforeLines="50" w:after="156" w:afterLines="50"/>
        <w:rPr>
          <w:rFonts w:eastAsia="黑体" w:cs="黑体"/>
        </w:rPr>
      </w:pPr>
      <w:r>
        <w:rPr>
          <w:rFonts w:hint="eastAsia" w:eastAsia="黑体" w:cs="黑体"/>
        </w:rPr>
        <w:t>风险分布图</w:t>
      </w:r>
    </w:p>
    <w:p w14:paraId="0954615A">
      <w:pPr>
        <w:autoSpaceDN w:val="0"/>
        <w:ind w:firstLine="420" w:firstLineChars="200"/>
        <w:rPr>
          <w:rFonts w:ascii="黑体" w:hAnsi="黑体"/>
          <w:bCs/>
          <w:szCs w:val="28"/>
        </w:rPr>
      </w:pPr>
      <w:r>
        <w:rPr>
          <w:rFonts w:hint="eastAsia" w:ascii="黑体" w:hAnsi="黑体"/>
          <w:bCs/>
          <w:szCs w:val="28"/>
        </w:rPr>
        <w:t>企业汇总所有的风险辨识评估管控信息表，确定区域（领域）的风险等级，绘制“红橙黄蓝”四色企业安全生产风险分布图，充实风险管控档案。将作业场所、生产设施等区域存在的不同等级风险标示在平面布置图或地理坐标图中，并设置在企业醒目位置，向本企业从业人员或外来人员公示企业风险分布情况。</w:t>
      </w:r>
    </w:p>
    <w:p w14:paraId="2EA8BA49">
      <w:pPr>
        <w:pStyle w:val="3"/>
        <w:spacing w:before="312" w:after="312"/>
        <w:ind w:left="432" w:hanging="432"/>
      </w:pPr>
      <w:bookmarkStart w:id="56" w:name="_Toc19087"/>
      <w:r>
        <w:rPr>
          <w:rFonts w:hint="eastAsia"/>
        </w:rPr>
        <w:t>持续改进</w:t>
      </w:r>
      <w:bookmarkEnd w:id="56"/>
    </w:p>
    <w:p w14:paraId="1A984D72">
      <w:pPr>
        <w:pStyle w:val="4"/>
        <w:spacing w:before="156" w:after="156"/>
      </w:pPr>
      <w:r>
        <w:rPr>
          <w:rFonts w:hint="eastAsia"/>
        </w:rPr>
        <w:t>评审</w:t>
      </w:r>
    </w:p>
    <w:p w14:paraId="3F398200">
      <w:pPr>
        <w:autoSpaceDN w:val="0"/>
        <w:ind w:firstLine="420" w:firstLineChars="200"/>
        <w:rPr>
          <w:rFonts w:ascii="黑体" w:hAnsi="黑体"/>
          <w:bCs/>
          <w:szCs w:val="28"/>
        </w:rPr>
      </w:pPr>
      <w:r>
        <w:rPr>
          <w:rFonts w:hint="eastAsia" w:ascii="黑体" w:hAnsi="黑体"/>
          <w:bCs/>
          <w:szCs w:val="28"/>
        </w:rPr>
        <w:t>企业每年至少对风险分级管控工作进行一次系统性评审。企业针对非常规作业活动、新增功能性区域、装置或设施等变化，适时开展风险辨识评估管控工作。</w:t>
      </w:r>
    </w:p>
    <w:p w14:paraId="177556EC">
      <w:pPr>
        <w:pStyle w:val="4"/>
        <w:spacing w:before="156" w:after="156"/>
      </w:pPr>
      <w:r>
        <w:rPr>
          <w:rFonts w:hint="eastAsia"/>
        </w:rPr>
        <w:t>变更</w:t>
      </w:r>
    </w:p>
    <w:p w14:paraId="591D7807">
      <w:pPr>
        <w:autoSpaceDN w:val="0"/>
        <w:ind w:firstLine="420" w:firstLineChars="200"/>
        <w:rPr>
          <w:rFonts w:ascii="黑体" w:hAnsi="黑体"/>
          <w:bCs/>
          <w:szCs w:val="28"/>
        </w:rPr>
      </w:pPr>
      <w:r>
        <w:rPr>
          <w:rFonts w:hint="eastAsia" w:ascii="黑体" w:hAnsi="黑体"/>
          <w:bCs/>
          <w:szCs w:val="28"/>
        </w:rPr>
        <w:t>发生下列情形之一时，企业充分分析变化对风险管控的影响，及时开展风险分析，更新风险信息：</w:t>
      </w:r>
    </w:p>
    <w:p w14:paraId="585D1E2B">
      <w:pPr>
        <w:autoSpaceDN w:val="0"/>
        <w:ind w:firstLine="420" w:firstLineChars="200"/>
        <w:rPr>
          <w:rFonts w:ascii="黑体" w:hAnsi="黑体"/>
          <w:bCs/>
          <w:szCs w:val="28"/>
        </w:rPr>
      </w:pPr>
      <w:r>
        <w:rPr>
          <w:rFonts w:hint="eastAsia" w:asciiTheme="minorEastAsia" w:hAnsiTheme="minorEastAsia" w:eastAsiaTheme="minorEastAsia"/>
          <w:lang w:val="en-US" w:eastAsia="zh-CN"/>
        </w:rPr>
        <w:t>a</w:t>
      </w:r>
      <w:r>
        <w:rPr>
          <w:rFonts w:hint="eastAsia" w:asciiTheme="minorEastAsia" w:hAnsiTheme="minorEastAsia" w:eastAsiaTheme="minorEastAsia"/>
        </w:rPr>
        <w:t>）</w:t>
      </w:r>
      <w:r>
        <w:rPr>
          <w:rFonts w:hint="eastAsia" w:ascii="黑体" w:hAnsi="黑体"/>
          <w:bCs/>
          <w:szCs w:val="28"/>
        </w:rPr>
        <w:t>法规、标准等增减、修订变化；</w:t>
      </w:r>
    </w:p>
    <w:p w14:paraId="7FE2D06B">
      <w:pPr>
        <w:autoSpaceDN w:val="0"/>
        <w:ind w:firstLine="420" w:firstLineChars="200"/>
        <w:rPr>
          <w:rFonts w:ascii="黑体" w:hAnsi="黑体"/>
          <w:bCs/>
          <w:szCs w:val="28"/>
        </w:rPr>
      </w:pPr>
      <w:r>
        <w:rPr>
          <w:rFonts w:hint="eastAsia" w:asciiTheme="minorEastAsia" w:hAnsiTheme="minorEastAsia" w:eastAsiaTheme="minorEastAsia"/>
          <w:lang w:val="en-US" w:eastAsia="zh-CN"/>
        </w:rPr>
        <w:t>b</w:t>
      </w:r>
      <w:r>
        <w:rPr>
          <w:rFonts w:hint="eastAsia" w:asciiTheme="minorEastAsia" w:hAnsiTheme="minorEastAsia" w:eastAsiaTheme="minorEastAsia"/>
        </w:rPr>
        <w:t>）</w:t>
      </w:r>
      <w:r>
        <w:rPr>
          <w:rFonts w:hint="eastAsia" w:ascii="黑体" w:hAnsi="黑体"/>
          <w:bCs/>
          <w:szCs w:val="28"/>
        </w:rPr>
        <w:t>发生事故后，有对事故、事件或其他信息的新认识；</w:t>
      </w:r>
    </w:p>
    <w:p w14:paraId="162C98CD">
      <w:pPr>
        <w:autoSpaceDN w:val="0"/>
        <w:ind w:firstLine="420" w:firstLineChars="200"/>
        <w:rPr>
          <w:rFonts w:ascii="黑体" w:hAnsi="黑体"/>
          <w:bCs/>
          <w:szCs w:val="28"/>
        </w:rPr>
      </w:pPr>
      <w:r>
        <w:rPr>
          <w:rFonts w:hint="eastAsia" w:asciiTheme="minorEastAsia" w:hAnsiTheme="minorEastAsia" w:eastAsiaTheme="minorEastAsia"/>
          <w:lang w:val="en-US" w:eastAsia="zh-CN"/>
        </w:rPr>
        <w:t>c</w:t>
      </w:r>
      <w:r>
        <w:rPr>
          <w:rFonts w:hint="eastAsia" w:asciiTheme="minorEastAsia" w:hAnsiTheme="minorEastAsia" w:eastAsiaTheme="minorEastAsia"/>
        </w:rPr>
        <w:t>）</w:t>
      </w:r>
      <w:r>
        <w:rPr>
          <w:rFonts w:hint="eastAsia" w:ascii="黑体" w:hAnsi="黑体"/>
          <w:bCs/>
          <w:szCs w:val="28"/>
        </w:rPr>
        <w:t>组织机构发生重大调整；</w:t>
      </w:r>
    </w:p>
    <w:p w14:paraId="2C137ABC">
      <w:pPr>
        <w:autoSpaceDN w:val="0"/>
        <w:ind w:firstLine="420" w:firstLineChars="200"/>
        <w:rPr>
          <w:rFonts w:ascii="黑体" w:hAnsi="黑体"/>
          <w:bCs/>
          <w:szCs w:val="28"/>
        </w:rPr>
      </w:pPr>
      <w:r>
        <w:rPr>
          <w:rFonts w:hint="eastAsia" w:asciiTheme="minorEastAsia" w:hAnsiTheme="minorEastAsia" w:eastAsiaTheme="minorEastAsia"/>
          <w:lang w:val="en-US" w:eastAsia="zh-CN"/>
        </w:rPr>
        <w:t>d</w:t>
      </w:r>
      <w:r>
        <w:rPr>
          <w:rFonts w:hint="eastAsia" w:asciiTheme="minorEastAsia" w:hAnsiTheme="minorEastAsia" w:eastAsiaTheme="minorEastAsia"/>
        </w:rPr>
        <w:t>）</w:t>
      </w:r>
      <w:r>
        <w:rPr>
          <w:rFonts w:hint="eastAsia" w:ascii="黑体" w:hAnsi="黑体"/>
          <w:bCs/>
          <w:szCs w:val="28"/>
        </w:rPr>
        <w:t>经营范围发生变化；</w:t>
      </w:r>
    </w:p>
    <w:p w14:paraId="1BE12595">
      <w:pPr>
        <w:autoSpaceDN w:val="0"/>
        <w:ind w:firstLine="420" w:firstLineChars="200"/>
        <w:rPr>
          <w:rFonts w:ascii="黑体" w:hAnsi="黑体"/>
          <w:bCs/>
          <w:szCs w:val="28"/>
        </w:rPr>
      </w:pPr>
      <w:r>
        <w:rPr>
          <w:rFonts w:hint="eastAsia" w:asciiTheme="minorEastAsia" w:hAnsiTheme="minorEastAsia" w:eastAsiaTheme="minorEastAsia"/>
          <w:lang w:val="en-US" w:eastAsia="zh-CN"/>
        </w:rPr>
        <w:t>e</w:t>
      </w:r>
      <w:r>
        <w:rPr>
          <w:rFonts w:hint="eastAsia" w:asciiTheme="minorEastAsia" w:hAnsiTheme="minorEastAsia" w:eastAsiaTheme="minorEastAsia"/>
        </w:rPr>
        <w:t>）</w:t>
      </w:r>
      <w:r>
        <w:rPr>
          <w:rFonts w:hint="eastAsia" w:ascii="黑体" w:hAnsi="黑体"/>
          <w:bCs/>
          <w:szCs w:val="28"/>
        </w:rPr>
        <w:t>辨识出新的风险；</w:t>
      </w:r>
    </w:p>
    <w:p w14:paraId="57ED7564">
      <w:pPr>
        <w:autoSpaceDN w:val="0"/>
        <w:ind w:firstLine="420" w:firstLineChars="200"/>
        <w:rPr>
          <w:rFonts w:ascii="黑体" w:hAnsi="黑体"/>
          <w:bCs/>
          <w:szCs w:val="28"/>
        </w:rPr>
      </w:pPr>
      <w:r>
        <w:rPr>
          <w:rFonts w:hint="eastAsia" w:asciiTheme="minorEastAsia" w:hAnsiTheme="minorEastAsia" w:eastAsiaTheme="minorEastAsia"/>
          <w:lang w:val="en-US" w:eastAsia="zh-CN"/>
        </w:rPr>
        <w:t>f</w:t>
      </w:r>
      <w:r>
        <w:rPr>
          <w:rFonts w:hint="eastAsia" w:asciiTheme="minorEastAsia" w:hAnsiTheme="minorEastAsia" w:eastAsiaTheme="minorEastAsia"/>
        </w:rPr>
        <w:t>）</w:t>
      </w:r>
      <w:r>
        <w:rPr>
          <w:rFonts w:hint="eastAsia" w:ascii="黑体" w:hAnsi="黑体"/>
          <w:bCs/>
          <w:szCs w:val="28"/>
        </w:rPr>
        <w:t>风险等级变化；</w:t>
      </w:r>
    </w:p>
    <w:p w14:paraId="75E18F4F">
      <w:pPr>
        <w:pStyle w:val="21"/>
        <w:rPr>
          <w:rFonts w:hint="eastAsia" w:ascii="黑体" w:hAnsi="黑体"/>
          <w:bCs/>
          <w:kern w:val="2"/>
          <w:szCs w:val="28"/>
        </w:rPr>
      </w:pPr>
      <w:r>
        <w:rPr>
          <w:rFonts w:hint="eastAsia" w:asciiTheme="minorEastAsia" w:hAnsiTheme="minorEastAsia" w:eastAsiaTheme="minorEastAsia"/>
          <w:lang w:val="en-US" w:eastAsia="zh-CN"/>
        </w:rPr>
        <w:t>g</w:t>
      </w:r>
      <w:r>
        <w:rPr>
          <w:rFonts w:hint="eastAsia" w:asciiTheme="minorEastAsia" w:hAnsiTheme="minorEastAsia" w:eastAsiaTheme="minorEastAsia"/>
        </w:rPr>
        <w:t>）</w:t>
      </w:r>
      <w:r>
        <w:rPr>
          <w:rFonts w:hint="eastAsia" w:ascii="黑体" w:hAnsi="黑体"/>
          <w:bCs/>
          <w:kern w:val="2"/>
          <w:szCs w:val="28"/>
        </w:rPr>
        <w:t>企业认为应当变更的其他情况。</w:t>
      </w:r>
    </w:p>
    <w:p w14:paraId="5C02A616">
      <w:pPr>
        <w:pStyle w:val="21"/>
        <w:rPr>
          <w:rFonts w:hint="eastAsia" w:ascii="黑体" w:hAnsi="黑体"/>
          <w:bCs/>
          <w:kern w:val="2"/>
          <w:szCs w:val="28"/>
        </w:rPr>
      </w:pPr>
    </w:p>
    <w:p w14:paraId="6B917D29">
      <w:pPr>
        <w:pStyle w:val="21"/>
        <w:rPr>
          <w:rFonts w:asciiTheme="minorEastAsia" w:hAnsiTheme="minorEastAsia" w:eastAsiaTheme="minorEastAsia"/>
          <w:szCs w:val="21"/>
        </w:rPr>
      </w:pPr>
    </w:p>
    <w:p w14:paraId="45CBF60C">
      <w:pPr>
        <w:pStyle w:val="21"/>
        <w:jc w:val="center"/>
        <w:rPr>
          <w:rFonts w:asciiTheme="minorEastAsia" w:hAnsiTheme="minorEastAsia" w:eastAsiaTheme="minorEastAsia"/>
          <w:szCs w:val="21"/>
        </w:rPr>
        <w:sectPr>
          <w:headerReference r:id="rId8" w:type="default"/>
          <w:footerReference r:id="rId9" w:type="default"/>
          <w:footerReference r:id="rId10" w:type="even"/>
          <w:pgSz w:w="11906" w:h="16838"/>
          <w:pgMar w:top="1418" w:right="1134" w:bottom="1134" w:left="1134" w:header="1417" w:footer="1134" w:gutter="0"/>
          <w:pgNumType w:start="1"/>
          <w:cols w:space="425" w:num="1"/>
          <w:docGrid w:type="linesAndChars" w:linePitch="312" w:charSpace="0"/>
        </w:sectPr>
      </w:pPr>
      <w:bookmarkStart w:id="57" w:name="BookMark8"/>
      <w:r>
        <w:drawing>
          <wp:inline distT="0" distB="0" distL="0" distR="0">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3"/>
                    <a:stretch>
                      <a:fillRect/>
                    </a:stretch>
                  </pic:blipFill>
                  <pic:spPr>
                    <a:xfrm>
                      <a:off x="0" y="0"/>
                      <a:ext cx="1485900" cy="317500"/>
                    </a:xfrm>
                    <a:prstGeom prst="rect">
                      <a:avLst/>
                    </a:prstGeom>
                  </pic:spPr>
                </pic:pic>
              </a:graphicData>
            </a:graphic>
          </wp:inline>
        </w:drawing>
      </w:r>
      <w:bookmarkEnd w:id="57"/>
    </w:p>
    <w:p w14:paraId="3A570BBB">
      <w:pPr>
        <w:pStyle w:val="3"/>
        <w:numPr>
          <w:ilvl w:val="0"/>
          <w:numId w:val="0"/>
        </w:numPr>
        <w:tabs>
          <w:tab w:val="clear" w:pos="0"/>
        </w:tabs>
        <w:spacing w:before="0" w:beforeLines="0" w:after="0" w:afterLines="0"/>
        <w:jc w:val="center"/>
      </w:pPr>
      <w:bookmarkStart w:id="58" w:name="_Toc19571"/>
      <w:r>
        <w:rPr>
          <w:rFonts w:hint="eastAsia"/>
        </w:rPr>
        <w:t>附录A</w:t>
      </w:r>
      <w:bookmarkEnd w:id="58"/>
    </w:p>
    <w:p w14:paraId="25A839C3">
      <w:pPr>
        <w:pStyle w:val="21"/>
        <w:ind w:firstLine="0" w:firstLineChars="0"/>
        <w:jc w:val="center"/>
        <w:rPr>
          <w:rFonts w:ascii="黑体" w:hAnsi="黑体" w:eastAsia="黑体" w:cs="黑体"/>
          <w:szCs w:val="21"/>
        </w:rPr>
      </w:pPr>
      <w:r>
        <w:rPr>
          <w:rFonts w:hint="eastAsia" w:ascii="黑体" w:hAnsi="黑体" w:eastAsia="黑体" w:cs="黑体"/>
          <w:szCs w:val="21"/>
        </w:rPr>
        <w:t>（资料性）</w:t>
      </w:r>
    </w:p>
    <w:p w14:paraId="6040D875">
      <w:pPr>
        <w:pStyle w:val="21"/>
        <w:ind w:firstLine="0" w:firstLineChars="0"/>
        <w:jc w:val="center"/>
        <w:rPr>
          <w:rFonts w:ascii="黑体" w:hAnsi="黑体" w:eastAsia="黑体" w:cs="黑体"/>
          <w:szCs w:val="21"/>
        </w:rPr>
      </w:pPr>
      <w:r>
        <w:rPr>
          <w:rFonts w:hint="eastAsia" w:ascii="黑体" w:hAnsi="黑体" w:eastAsia="黑体" w:cs="黑体"/>
          <w:szCs w:val="21"/>
        </w:rPr>
        <w:t>风险事件分析表示例</w:t>
      </w:r>
    </w:p>
    <w:p w14:paraId="17684A2B">
      <w:pPr>
        <w:pStyle w:val="21"/>
        <w:jc w:val="center"/>
        <w:rPr>
          <w:rFonts w:ascii="黑体" w:hAnsi="黑体" w:eastAsia="黑体" w:cs="黑体"/>
          <w:szCs w:val="21"/>
        </w:rPr>
      </w:pPr>
    </w:p>
    <w:p w14:paraId="2D40C6E9">
      <w:pPr>
        <w:pStyle w:val="21"/>
        <w:ind w:firstLine="0" w:firstLineChars="0"/>
        <w:jc w:val="center"/>
        <w:rPr>
          <w:rFonts w:asciiTheme="minorEastAsia" w:hAnsiTheme="minorEastAsia" w:eastAsiaTheme="minorEastAsia"/>
          <w:szCs w:val="21"/>
        </w:rPr>
      </w:pPr>
      <w:r>
        <w:rPr>
          <w:rFonts w:hint="eastAsia" w:ascii="黑体" w:hAnsi="黑体" w:eastAsia="黑体" w:cs="黑体"/>
          <w:szCs w:val="21"/>
        </w:rPr>
        <w:t>表A.1 风险事件分析表示例</w:t>
      </w:r>
    </w:p>
    <w:tbl>
      <w:tblPr>
        <w:tblStyle w:val="1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2438"/>
        <w:gridCol w:w="2438"/>
        <w:gridCol w:w="2438"/>
      </w:tblGrid>
      <w:tr w14:paraId="4D7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96" w:type="dxa"/>
            <w:tcBorders>
              <w:tl2br w:val="single" w:color="auto" w:sz="4" w:space="0"/>
            </w:tcBorders>
            <w:shd w:val="clear" w:color="auto" w:fill="FFFFFF" w:themeFill="background1"/>
            <w:vAlign w:val="center"/>
          </w:tcPr>
          <w:p w14:paraId="30085DF0">
            <w:pPr>
              <w:autoSpaceDN w:val="0"/>
              <w:jc w:val="right"/>
              <w:rPr>
                <w:rFonts w:asciiTheme="minorEastAsia" w:hAnsiTheme="minorEastAsia"/>
                <w:bCs/>
                <w:szCs w:val="21"/>
              </w:rPr>
            </w:pPr>
            <w:r>
              <w:rPr>
                <w:rFonts w:hint="eastAsia" w:asciiTheme="minorEastAsia" w:hAnsiTheme="minorEastAsia"/>
                <w:bCs/>
                <w:szCs w:val="21"/>
              </w:rPr>
              <w:t>作业</w:t>
            </w:r>
            <w:r>
              <w:rPr>
                <w:rFonts w:asciiTheme="minorEastAsia" w:hAnsiTheme="minorEastAsia"/>
                <w:bCs/>
                <w:szCs w:val="21"/>
              </w:rPr>
              <w:t>单元</w:t>
            </w:r>
          </w:p>
          <w:p w14:paraId="6ADCD768">
            <w:pPr>
              <w:autoSpaceDN w:val="0"/>
              <w:jc w:val="left"/>
              <w:rPr>
                <w:rFonts w:asciiTheme="minorEastAsia" w:hAnsiTheme="minorEastAsia"/>
                <w:bCs/>
                <w:szCs w:val="21"/>
              </w:rPr>
            </w:pPr>
            <w:r>
              <w:rPr>
                <w:rFonts w:hint="eastAsia" w:asciiTheme="minorEastAsia" w:hAnsiTheme="minorEastAsia"/>
                <w:bCs/>
                <w:szCs w:val="21"/>
              </w:rPr>
              <w:t>事件主体</w:t>
            </w:r>
          </w:p>
        </w:tc>
        <w:tc>
          <w:tcPr>
            <w:tcW w:w="2438" w:type="dxa"/>
            <w:shd w:val="clear" w:color="auto" w:fill="FFFFFF" w:themeFill="background1"/>
            <w:vAlign w:val="center"/>
          </w:tcPr>
          <w:p w14:paraId="5C18C25D">
            <w:pPr>
              <w:autoSpaceDN w:val="0"/>
              <w:jc w:val="center"/>
              <w:rPr>
                <w:rFonts w:hint="eastAsia" w:asciiTheme="minorEastAsia" w:hAnsiTheme="minorEastAsia"/>
                <w:szCs w:val="21"/>
              </w:rPr>
            </w:pPr>
            <w:r>
              <w:rPr>
                <w:rFonts w:hint="eastAsia" w:asciiTheme="minorEastAsia" w:hAnsiTheme="minorEastAsia"/>
                <w:szCs w:val="21"/>
                <w:lang w:val="en-US" w:eastAsia="zh-CN"/>
              </w:rPr>
              <w:t>停车单元</w:t>
            </w:r>
          </w:p>
        </w:tc>
        <w:tc>
          <w:tcPr>
            <w:tcW w:w="2438" w:type="dxa"/>
            <w:shd w:val="clear" w:color="auto" w:fill="FFFFFF" w:themeFill="background1"/>
            <w:vAlign w:val="center"/>
          </w:tcPr>
          <w:p w14:paraId="4F1A6B96">
            <w:pPr>
              <w:autoSpaceDN w:val="0"/>
              <w:jc w:val="center"/>
              <w:rPr>
                <w:rFonts w:hint="eastAsia" w:asciiTheme="minorEastAsia" w:hAnsiTheme="minorEastAsia"/>
                <w:szCs w:val="21"/>
              </w:rPr>
            </w:pPr>
            <w:r>
              <w:rPr>
                <w:rFonts w:hint="eastAsia" w:asciiTheme="minorEastAsia" w:hAnsiTheme="minorEastAsia"/>
                <w:szCs w:val="21"/>
                <w:lang w:val="en-US" w:eastAsia="zh-CN"/>
              </w:rPr>
              <w:t>装载单元</w:t>
            </w:r>
          </w:p>
        </w:tc>
        <w:tc>
          <w:tcPr>
            <w:tcW w:w="2438" w:type="dxa"/>
            <w:shd w:val="clear" w:color="auto" w:fill="FFFFFF" w:themeFill="background1"/>
            <w:vAlign w:val="center"/>
          </w:tcPr>
          <w:p w14:paraId="6DE51E3D">
            <w:pPr>
              <w:autoSpaceDN w:val="0"/>
              <w:jc w:val="center"/>
              <w:rPr>
                <w:rFonts w:hint="eastAsia" w:asciiTheme="minorEastAsia" w:hAnsiTheme="minorEastAsia"/>
                <w:szCs w:val="21"/>
              </w:rPr>
            </w:pPr>
            <w:r>
              <w:rPr>
                <w:rFonts w:hint="eastAsia" w:asciiTheme="minorEastAsia" w:hAnsiTheme="minorEastAsia"/>
                <w:szCs w:val="21"/>
                <w:lang w:val="en-US" w:eastAsia="zh-CN"/>
              </w:rPr>
              <w:t>运输单元</w:t>
            </w:r>
          </w:p>
        </w:tc>
      </w:tr>
      <w:tr w14:paraId="68AD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6" w:type="dxa"/>
            <w:vAlign w:val="center"/>
          </w:tcPr>
          <w:p w14:paraId="1C858667">
            <w:pPr>
              <w:autoSpaceDN w:val="0"/>
              <w:jc w:val="center"/>
              <w:rPr>
                <w:rFonts w:asciiTheme="minorEastAsia" w:hAnsiTheme="minorEastAsia"/>
                <w:szCs w:val="21"/>
              </w:rPr>
            </w:pPr>
            <w:r>
              <w:rPr>
                <w:rFonts w:hint="eastAsia" w:asciiTheme="minorEastAsia" w:hAnsiTheme="minorEastAsia"/>
                <w:szCs w:val="21"/>
              </w:rPr>
              <w:t>驾驶员、押运员</w:t>
            </w:r>
          </w:p>
        </w:tc>
        <w:tc>
          <w:tcPr>
            <w:tcW w:w="2438" w:type="dxa"/>
            <w:vAlign w:val="center"/>
          </w:tcPr>
          <w:p w14:paraId="59BC7875">
            <w:pPr>
              <w:autoSpaceDN w:val="0"/>
              <w:jc w:val="center"/>
              <w:rPr>
                <w:rFonts w:asciiTheme="minorEastAsia" w:hAnsiTheme="minorEastAsia"/>
                <w:szCs w:val="21"/>
              </w:rPr>
            </w:pPr>
            <w:r>
              <w:rPr>
                <w:rFonts w:hint="eastAsia" w:asciiTheme="minorEastAsia" w:hAnsiTheme="minorEastAsia"/>
                <w:szCs w:val="21"/>
              </w:rPr>
              <w:t>突发疾病</w:t>
            </w:r>
          </w:p>
          <w:p w14:paraId="4829D02C">
            <w:pPr>
              <w:autoSpaceDN w:val="0"/>
              <w:jc w:val="center"/>
              <w:rPr>
                <w:rFonts w:asciiTheme="minorEastAsia" w:hAnsiTheme="minorEastAsia"/>
                <w:szCs w:val="21"/>
              </w:rPr>
            </w:pPr>
            <w:r>
              <w:rPr>
                <w:rFonts w:hint="eastAsia" w:asciiTheme="minorEastAsia" w:hAnsiTheme="minorEastAsia"/>
                <w:szCs w:val="21"/>
              </w:rPr>
              <w:t>车辆伤害</w:t>
            </w:r>
          </w:p>
          <w:p w14:paraId="2E664B2C">
            <w:pPr>
              <w:autoSpaceDN w:val="0"/>
              <w:jc w:val="center"/>
              <w:rPr>
                <w:rFonts w:asciiTheme="minorEastAsia" w:hAnsiTheme="minorEastAsia"/>
                <w:szCs w:val="21"/>
              </w:rPr>
            </w:pPr>
            <w:r>
              <w:rPr>
                <w:rFonts w:hint="eastAsia" w:asciiTheme="minorEastAsia" w:hAnsiTheme="minorEastAsia"/>
                <w:szCs w:val="21"/>
              </w:rPr>
              <w:t>物体打击</w:t>
            </w:r>
          </w:p>
          <w:p w14:paraId="792E0F52">
            <w:pPr>
              <w:autoSpaceDN w:val="0"/>
              <w:jc w:val="center"/>
              <w:rPr>
                <w:rFonts w:asciiTheme="minorEastAsia" w:hAnsiTheme="minorEastAsia"/>
                <w:szCs w:val="21"/>
              </w:rPr>
            </w:pPr>
            <w:r>
              <w:rPr>
                <w:rFonts w:hint="eastAsia" w:asciiTheme="minorEastAsia" w:hAnsiTheme="minorEastAsia"/>
                <w:szCs w:val="21"/>
              </w:rPr>
              <w:t>火灾</w:t>
            </w:r>
          </w:p>
          <w:p w14:paraId="16544595">
            <w:pPr>
              <w:autoSpaceDN w:val="0"/>
              <w:jc w:val="center"/>
              <w:rPr>
                <w:rFonts w:asciiTheme="minorEastAsia" w:hAnsiTheme="minorEastAsia"/>
                <w:szCs w:val="21"/>
              </w:rPr>
            </w:pPr>
            <w:r>
              <w:rPr>
                <w:rFonts w:hint="eastAsia" w:asciiTheme="minorEastAsia" w:hAnsiTheme="minorEastAsia"/>
                <w:szCs w:val="21"/>
              </w:rPr>
              <w:t>灼烫</w:t>
            </w:r>
          </w:p>
          <w:p w14:paraId="7ABCE055">
            <w:pPr>
              <w:autoSpaceDN w:val="0"/>
              <w:jc w:val="center"/>
              <w:rPr>
                <w:rFonts w:asciiTheme="minorEastAsia" w:hAnsiTheme="minorEastAsia"/>
                <w:szCs w:val="21"/>
              </w:rPr>
            </w:pPr>
            <w:r>
              <w:rPr>
                <w:rFonts w:hint="eastAsia" w:asciiTheme="minorEastAsia" w:hAnsiTheme="minorEastAsia"/>
                <w:szCs w:val="21"/>
              </w:rPr>
              <w:t>火药爆炸</w:t>
            </w:r>
          </w:p>
          <w:p w14:paraId="451F96CC">
            <w:pPr>
              <w:autoSpaceDN w:val="0"/>
              <w:jc w:val="center"/>
              <w:rPr>
                <w:rFonts w:asciiTheme="minorEastAsia" w:hAnsiTheme="minorEastAsia"/>
                <w:szCs w:val="21"/>
              </w:rPr>
            </w:pPr>
            <w:r>
              <w:rPr>
                <w:rFonts w:hint="eastAsia" w:asciiTheme="minorEastAsia" w:hAnsiTheme="minorEastAsia"/>
                <w:szCs w:val="21"/>
              </w:rPr>
              <w:t>容器爆炸</w:t>
            </w:r>
          </w:p>
          <w:p w14:paraId="1E0F0B5A">
            <w:pPr>
              <w:autoSpaceDN w:val="0"/>
              <w:jc w:val="center"/>
              <w:rPr>
                <w:rFonts w:asciiTheme="minorEastAsia" w:hAnsiTheme="minorEastAsia"/>
                <w:szCs w:val="21"/>
              </w:rPr>
            </w:pPr>
            <w:r>
              <w:rPr>
                <w:rFonts w:hint="eastAsia" w:asciiTheme="minorEastAsia" w:hAnsiTheme="minorEastAsia"/>
                <w:szCs w:val="21"/>
              </w:rPr>
              <w:t>中毒和窒息</w:t>
            </w:r>
          </w:p>
          <w:p w14:paraId="6A9E1324">
            <w:pPr>
              <w:autoSpaceDN w:val="0"/>
              <w:jc w:val="center"/>
              <w:rPr>
                <w:rFonts w:asciiTheme="minorEastAsia" w:hAnsiTheme="minorEastAsia"/>
                <w:szCs w:val="21"/>
              </w:rPr>
            </w:pPr>
            <w:r>
              <w:rPr>
                <w:rFonts w:hint="eastAsia" w:asciiTheme="minorEastAsia" w:hAnsiTheme="minorEastAsia"/>
                <w:szCs w:val="21"/>
              </w:rPr>
              <w:t>其他伤害</w:t>
            </w:r>
          </w:p>
        </w:tc>
        <w:tc>
          <w:tcPr>
            <w:tcW w:w="2438" w:type="dxa"/>
            <w:vAlign w:val="center"/>
          </w:tcPr>
          <w:p w14:paraId="0EC6A321">
            <w:pPr>
              <w:autoSpaceDN w:val="0"/>
              <w:jc w:val="center"/>
              <w:rPr>
                <w:rFonts w:asciiTheme="minorEastAsia" w:hAnsiTheme="minorEastAsia"/>
                <w:szCs w:val="21"/>
              </w:rPr>
            </w:pPr>
            <w:r>
              <w:rPr>
                <w:rFonts w:hint="eastAsia" w:asciiTheme="minorEastAsia" w:hAnsiTheme="minorEastAsia"/>
                <w:szCs w:val="21"/>
              </w:rPr>
              <w:t>突发疾病</w:t>
            </w:r>
          </w:p>
          <w:p w14:paraId="72FE3B97">
            <w:pPr>
              <w:autoSpaceDN w:val="0"/>
              <w:jc w:val="center"/>
              <w:rPr>
                <w:rFonts w:asciiTheme="minorEastAsia" w:hAnsiTheme="minorEastAsia"/>
                <w:szCs w:val="21"/>
              </w:rPr>
            </w:pPr>
            <w:r>
              <w:rPr>
                <w:rFonts w:hint="eastAsia" w:asciiTheme="minorEastAsia" w:hAnsiTheme="minorEastAsia"/>
                <w:szCs w:val="21"/>
              </w:rPr>
              <w:t>机械伤害</w:t>
            </w:r>
          </w:p>
          <w:p w14:paraId="1AC49DF1">
            <w:pPr>
              <w:autoSpaceDN w:val="0"/>
              <w:jc w:val="center"/>
              <w:rPr>
                <w:rFonts w:asciiTheme="minorEastAsia" w:hAnsiTheme="minorEastAsia"/>
                <w:szCs w:val="21"/>
              </w:rPr>
            </w:pPr>
            <w:r>
              <w:rPr>
                <w:rFonts w:hint="eastAsia" w:asciiTheme="minorEastAsia" w:hAnsiTheme="minorEastAsia"/>
                <w:szCs w:val="21"/>
              </w:rPr>
              <w:t>高处坠落</w:t>
            </w:r>
          </w:p>
          <w:p w14:paraId="414EF8F0">
            <w:pPr>
              <w:autoSpaceDN w:val="0"/>
              <w:jc w:val="center"/>
              <w:rPr>
                <w:rFonts w:asciiTheme="minorEastAsia" w:hAnsiTheme="minorEastAsia"/>
                <w:szCs w:val="21"/>
              </w:rPr>
            </w:pPr>
            <w:r>
              <w:rPr>
                <w:rFonts w:hint="eastAsia" w:asciiTheme="minorEastAsia" w:hAnsiTheme="minorEastAsia"/>
                <w:szCs w:val="21"/>
              </w:rPr>
              <w:t>物体打击</w:t>
            </w:r>
          </w:p>
          <w:p w14:paraId="6D5DD5FB">
            <w:pPr>
              <w:autoSpaceDN w:val="0"/>
              <w:jc w:val="center"/>
              <w:rPr>
                <w:rFonts w:asciiTheme="minorEastAsia" w:hAnsiTheme="minorEastAsia"/>
                <w:szCs w:val="21"/>
              </w:rPr>
            </w:pPr>
            <w:r>
              <w:rPr>
                <w:rFonts w:hint="eastAsia" w:asciiTheme="minorEastAsia" w:hAnsiTheme="minorEastAsia"/>
                <w:szCs w:val="21"/>
              </w:rPr>
              <w:t>车辆伤害</w:t>
            </w:r>
          </w:p>
          <w:p w14:paraId="540B1D9A">
            <w:pPr>
              <w:autoSpaceDN w:val="0"/>
              <w:jc w:val="center"/>
              <w:rPr>
                <w:rFonts w:asciiTheme="minorEastAsia" w:hAnsiTheme="minorEastAsia"/>
                <w:szCs w:val="21"/>
              </w:rPr>
            </w:pPr>
            <w:r>
              <w:rPr>
                <w:rFonts w:hint="eastAsia" w:asciiTheme="minorEastAsia" w:hAnsiTheme="minorEastAsia"/>
                <w:szCs w:val="21"/>
              </w:rPr>
              <w:t>其他伤害</w:t>
            </w:r>
          </w:p>
        </w:tc>
        <w:tc>
          <w:tcPr>
            <w:tcW w:w="2438" w:type="dxa"/>
            <w:vAlign w:val="center"/>
          </w:tcPr>
          <w:p w14:paraId="5E1CA841">
            <w:pPr>
              <w:autoSpaceDN w:val="0"/>
              <w:jc w:val="center"/>
              <w:rPr>
                <w:rFonts w:asciiTheme="minorEastAsia" w:hAnsiTheme="minorEastAsia"/>
                <w:szCs w:val="21"/>
              </w:rPr>
            </w:pPr>
            <w:r>
              <w:rPr>
                <w:rFonts w:hint="eastAsia" w:asciiTheme="minorEastAsia" w:hAnsiTheme="minorEastAsia"/>
                <w:szCs w:val="21"/>
              </w:rPr>
              <w:t>突发疾病</w:t>
            </w:r>
          </w:p>
          <w:p w14:paraId="582ED8E9">
            <w:pPr>
              <w:autoSpaceDN w:val="0"/>
              <w:jc w:val="center"/>
              <w:rPr>
                <w:rFonts w:asciiTheme="minorEastAsia" w:hAnsiTheme="minorEastAsia"/>
                <w:szCs w:val="21"/>
              </w:rPr>
            </w:pPr>
            <w:r>
              <w:rPr>
                <w:rFonts w:hint="eastAsia" w:asciiTheme="minorEastAsia" w:hAnsiTheme="minorEastAsia"/>
                <w:szCs w:val="21"/>
              </w:rPr>
              <w:t>车辆伤害</w:t>
            </w:r>
          </w:p>
          <w:p w14:paraId="6ADA0EB8">
            <w:pPr>
              <w:autoSpaceDN w:val="0"/>
              <w:jc w:val="center"/>
              <w:rPr>
                <w:rFonts w:asciiTheme="minorEastAsia" w:hAnsiTheme="minorEastAsia"/>
                <w:szCs w:val="21"/>
              </w:rPr>
            </w:pPr>
            <w:r>
              <w:rPr>
                <w:rFonts w:hint="eastAsia" w:asciiTheme="minorEastAsia" w:hAnsiTheme="minorEastAsia"/>
                <w:szCs w:val="21"/>
              </w:rPr>
              <w:t>火灾</w:t>
            </w:r>
          </w:p>
          <w:p w14:paraId="4DDE729E">
            <w:pPr>
              <w:autoSpaceDN w:val="0"/>
              <w:jc w:val="center"/>
              <w:rPr>
                <w:rFonts w:asciiTheme="minorEastAsia" w:hAnsiTheme="minorEastAsia"/>
                <w:szCs w:val="21"/>
              </w:rPr>
            </w:pPr>
            <w:r>
              <w:rPr>
                <w:rFonts w:hint="eastAsia" w:asciiTheme="minorEastAsia" w:hAnsiTheme="minorEastAsia"/>
                <w:szCs w:val="21"/>
              </w:rPr>
              <w:t>灼烫</w:t>
            </w:r>
          </w:p>
          <w:p w14:paraId="5DFE8445">
            <w:pPr>
              <w:autoSpaceDN w:val="0"/>
              <w:jc w:val="center"/>
              <w:rPr>
                <w:rFonts w:asciiTheme="minorEastAsia" w:hAnsiTheme="minorEastAsia"/>
                <w:szCs w:val="21"/>
              </w:rPr>
            </w:pPr>
            <w:r>
              <w:rPr>
                <w:rFonts w:hint="eastAsia" w:asciiTheme="minorEastAsia" w:hAnsiTheme="minorEastAsia"/>
                <w:szCs w:val="21"/>
              </w:rPr>
              <w:t>火药爆炸</w:t>
            </w:r>
          </w:p>
          <w:p w14:paraId="6857A3AC">
            <w:pPr>
              <w:autoSpaceDN w:val="0"/>
              <w:jc w:val="center"/>
              <w:rPr>
                <w:rFonts w:asciiTheme="minorEastAsia" w:hAnsiTheme="minorEastAsia"/>
                <w:szCs w:val="21"/>
              </w:rPr>
            </w:pPr>
            <w:r>
              <w:rPr>
                <w:rFonts w:hint="eastAsia" w:asciiTheme="minorEastAsia" w:hAnsiTheme="minorEastAsia"/>
                <w:szCs w:val="21"/>
              </w:rPr>
              <w:t>容器爆炸</w:t>
            </w:r>
          </w:p>
          <w:p w14:paraId="19126E83">
            <w:pPr>
              <w:autoSpaceDN w:val="0"/>
              <w:jc w:val="center"/>
              <w:rPr>
                <w:rFonts w:asciiTheme="minorEastAsia" w:hAnsiTheme="minorEastAsia"/>
                <w:szCs w:val="21"/>
              </w:rPr>
            </w:pPr>
            <w:r>
              <w:rPr>
                <w:rFonts w:hint="eastAsia" w:asciiTheme="minorEastAsia" w:hAnsiTheme="minorEastAsia"/>
                <w:szCs w:val="21"/>
              </w:rPr>
              <w:t>中毒和窒息</w:t>
            </w:r>
          </w:p>
          <w:p w14:paraId="6DA4A08D">
            <w:pPr>
              <w:autoSpaceDN w:val="0"/>
              <w:jc w:val="center"/>
              <w:rPr>
                <w:rFonts w:asciiTheme="minorEastAsia" w:hAnsiTheme="minorEastAsia"/>
                <w:szCs w:val="21"/>
              </w:rPr>
            </w:pPr>
            <w:r>
              <w:rPr>
                <w:rFonts w:hint="eastAsia" w:asciiTheme="minorEastAsia" w:hAnsiTheme="minorEastAsia"/>
                <w:szCs w:val="21"/>
              </w:rPr>
              <w:t>其他伤害</w:t>
            </w:r>
          </w:p>
        </w:tc>
      </w:tr>
      <w:tr w14:paraId="4BB6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96" w:type="dxa"/>
            <w:vAlign w:val="center"/>
          </w:tcPr>
          <w:p w14:paraId="72E85255">
            <w:pPr>
              <w:autoSpaceDN w:val="0"/>
              <w:jc w:val="center"/>
              <w:rPr>
                <w:rFonts w:asciiTheme="minorEastAsia" w:hAnsiTheme="minorEastAsia"/>
                <w:szCs w:val="21"/>
              </w:rPr>
            </w:pPr>
            <w:r>
              <w:rPr>
                <w:rFonts w:hint="eastAsia" w:asciiTheme="minorEastAsia" w:hAnsiTheme="minorEastAsia"/>
                <w:szCs w:val="21"/>
              </w:rPr>
              <w:t>车辆及容器包装</w:t>
            </w:r>
          </w:p>
        </w:tc>
        <w:tc>
          <w:tcPr>
            <w:tcW w:w="2438" w:type="dxa"/>
            <w:vAlign w:val="center"/>
          </w:tcPr>
          <w:p w14:paraId="703C48B9">
            <w:pPr>
              <w:autoSpaceDN w:val="0"/>
              <w:jc w:val="center"/>
              <w:rPr>
                <w:rFonts w:asciiTheme="minorEastAsia" w:hAnsiTheme="minorEastAsia"/>
                <w:szCs w:val="21"/>
              </w:rPr>
            </w:pPr>
            <w:r>
              <w:rPr>
                <w:rFonts w:hint="eastAsia" w:asciiTheme="minorEastAsia" w:hAnsiTheme="minorEastAsia"/>
                <w:szCs w:val="21"/>
              </w:rPr>
              <w:t>交通事故</w:t>
            </w:r>
          </w:p>
          <w:p w14:paraId="79061C8C">
            <w:pPr>
              <w:autoSpaceDN w:val="0"/>
              <w:jc w:val="center"/>
              <w:rPr>
                <w:rFonts w:asciiTheme="minorEastAsia" w:hAnsiTheme="minorEastAsia"/>
                <w:szCs w:val="21"/>
              </w:rPr>
            </w:pPr>
            <w:r>
              <w:rPr>
                <w:rFonts w:hint="eastAsia" w:asciiTheme="minorEastAsia" w:hAnsiTheme="minorEastAsia"/>
                <w:szCs w:val="21"/>
              </w:rPr>
              <w:t>火灾事故</w:t>
            </w:r>
          </w:p>
          <w:p w14:paraId="5AF42313">
            <w:pPr>
              <w:autoSpaceDN w:val="0"/>
              <w:jc w:val="center"/>
              <w:rPr>
                <w:rFonts w:asciiTheme="minorEastAsia" w:hAnsiTheme="minorEastAsia"/>
                <w:szCs w:val="21"/>
              </w:rPr>
            </w:pPr>
            <w:r>
              <w:rPr>
                <w:rFonts w:hint="eastAsia" w:asciiTheme="minorEastAsia" w:hAnsiTheme="minorEastAsia"/>
                <w:szCs w:val="21"/>
              </w:rPr>
              <w:t>爆炸事故</w:t>
            </w:r>
          </w:p>
          <w:p w14:paraId="31E15EA6">
            <w:pPr>
              <w:autoSpaceDN w:val="0"/>
              <w:jc w:val="center"/>
              <w:rPr>
                <w:rFonts w:asciiTheme="minorEastAsia" w:hAnsiTheme="minorEastAsia"/>
                <w:szCs w:val="21"/>
              </w:rPr>
            </w:pPr>
            <w:r>
              <w:rPr>
                <w:rFonts w:hint="eastAsia" w:asciiTheme="minorEastAsia" w:hAnsiTheme="minorEastAsia"/>
                <w:szCs w:val="21"/>
              </w:rPr>
              <w:t>泄漏事故</w:t>
            </w:r>
          </w:p>
        </w:tc>
        <w:tc>
          <w:tcPr>
            <w:tcW w:w="2438" w:type="dxa"/>
            <w:vAlign w:val="center"/>
          </w:tcPr>
          <w:p w14:paraId="0894BEE1">
            <w:pPr>
              <w:autoSpaceDN w:val="0"/>
              <w:jc w:val="center"/>
              <w:rPr>
                <w:rFonts w:asciiTheme="minorEastAsia" w:hAnsiTheme="minorEastAsia"/>
                <w:szCs w:val="21"/>
              </w:rPr>
            </w:pPr>
            <w:r>
              <w:rPr>
                <w:rFonts w:hint="eastAsia" w:asciiTheme="minorEastAsia" w:hAnsiTheme="minorEastAsia"/>
                <w:szCs w:val="21"/>
              </w:rPr>
              <w:t>火灾事故</w:t>
            </w:r>
          </w:p>
          <w:p w14:paraId="1F70D71B">
            <w:pPr>
              <w:autoSpaceDN w:val="0"/>
              <w:jc w:val="center"/>
              <w:rPr>
                <w:rFonts w:asciiTheme="minorEastAsia" w:hAnsiTheme="minorEastAsia"/>
                <w:szCs w:val="21"/>
              </w:rPr>
            </w:pPr>
            <w:r>
              <w:rPr>
                <w:rFonts w:hint="eastAsia" w:asciiTheme="minorEastAsia" w:hAnsiTheme="minorEastAsia"/>
                <w:szCs w:val="21"/>
              </w:rPr>
              <w:t>交通事故</w:t>
            </w:r>
          </w:p>
        </w:tc>
        <w:tc>
          <w:tcPr>
            <w:tcW w:w="2438" w:type="dxa"/>
            <w:vAlign w:val="center"/>
          </w:tcPr>
          <w:p w14:paraId="150C8C0E">
            <w:pPr>
              <w:autoSpaceDN w:val="0"/>
              <w:jc w:val="center"/>
              <w:rPr>
                <w:rFonts w:asciiTheme="minorEastAsia" w:hAnsiTheme="minorEastAsia"/>
                <w:szCs w:val="21"/>
              </w:rPr>
            </w:pPr>
            <w:r>
              <w:rPr>
                <w:rFonts w:hint="eastAsia" w:asciiTheme="minorEastAsia" w:hAnsiTheme="minorEastAsia"/>
                <w:szCs w:val="21"/>
              </w:rPr>
              <w:t>交通事故</w:t>
            </w:r>
          </w:p>
          <w:p w14:paraId="4F634927">
            <w:pPr>
              <w:autoSpaceDN w:val="0"/>
              <w:jc w:val="center"/>
              <w:rPr>
                <w:rFonts w:asciiTheme="minorEastAsia" w:hAnsiTheme="minorEastAsia"/>
                <w:szCs w:val="21"/>
              </w:rPr>
            </w:pPr>
            <w:r>
              <w:rPr>
                <w:rFonts w:hint="eastAsia" w:asciiTheme="minorEastAsia" w:hAnsiTheme="minorEastAsia"/>
                <w:szCs w:val="21"/>
              </w:rPr>
              <w:t>火灾事故</w:t>
            </w:r>
          </w:p>
          <w:p w14:paraId="4C386413">
            <w:pPr>
              <w:autoSpaceDN w:val="0"/>
              <w:jc w:val="center"/>
              <w:rPr>
                <w:rFonts w:asciiTheme="minorEastAsia" w:hAnsiTheme="minorEastAsia"/>
                <w:szCs w:val="21"/>
              </w:rPr>
            </w:pPr>
            <w:r>
              <w:rPr>
                <w:rFonts w:hint="eastAsia" w:asciiTheme="minorEastAsia" w:hAnsiTheme="minorEastAsia"/>
                <w:szCs w:val="21"/>
              </w:rPr>
              <w:t>爆炸事故</w:t>
            </w:r>
          </w:p>
          <w:p w14:paraId="7ABE6E15">
            <w:pPr>
              <w:autoSpaceDN w:val="0"/>
              <w:jc w:val="center"/>
              <w:rPr>
                <w:rFonts w:asciiTheme="minorEastAsia" w:hAnsiTheme="minorEastAsia"/>
                <w:szCs w:val="21"/>
              </w:rPr>
            </w:pPr>
            <w:r>
              <w:rPr>
                <w:rFonts w:hint="eastAsia" w:asciiTheme="minorEastAsia" w:hAnsiTheme="minorEastAsia"/>
                <w:szCs w:val="21"/>
              </w:rPr>
              <w:t>泄漏事故</w:t>
            </w:r>
          </w:p>
        </w:tc>
      </w:tr>
    </w:tbl>
    <w:p w14:paraId="64014C8C">
      <w:pPr>
        <w:pStyle w:val="21"/>
        <w:rPr>
          <w:rFonts w:asciiTheme="minorEastAsia" w:hAnsiTheme="minorEastAsia" w:eastAsiaTheme="minorEastAsia"/>
          <w:szCs w:val="21"/>
        </w:rPr>
      </w:pPr>
    </w:p>
    <w:p w14:paraId="4B90A6C2">
      <w:pPr>
        <w:pStyle w:val="21"/>
        <w:rPr>
          <w:rFonts w:asciiTheme="minorEastAsia" w:hAnsiTheme="minorEastAsia" w:eastAsiaTheme="minorEastAsia"/>
          <w:szCs w:val="21"/>
        </w:rPr>
        <w:sectPr>
          <w:pgSz w:w="11906" w:h="16838"/>
          <w:pgMar w:top="1418" w:right="1134" w:bottom="1134" w:left="1134" w:header="851" w:footer="992" w:gutter="0"/>
          <w:cols w:space="425" w:num="1"/>
          <w:docGrid w:type="linesAndChars" w:linePitch="312" w:charSpace="0"/>
        </w:sectPr>
      </w:pPr>
    </w:p>
    <w:p w14:paraId="147EA97A">
      <w:pPr>
        <w:pStyle w:val="3"/>
        <w:numPr>
          <w:ilvl w:val="0"/>
          <w:numId w:val="0"/>
        </w:numPr>
        <w:tabs>
          <w:tab w:val="clear" w:pos="0"/>
        </w:tabs>
        <w:spacing w:before="0" w:beforeLines="0" w:after="0" w:afterLines="0"/>
        <w:jc w:val="center"/>
      </w:pPr>
      <w:bookmarkStart w:id="59" w:name="_Toc18896"/>
      <w:r>
        <w:rPr>
          <w:rFonts w:hint="eastAsia"/>
        </w:rPr>
        <w:t>附录B</w:t>
      </w:r>
      <w:bookmarkEnd w:id="59"/>
    </w:p>
    <w:p w14:paraId="3FCF62A3">
      <w:pPr>
        <w:pStyle w:val="21"/>
        <w:ind w:firstLine="0" w:firstLineChars="0"/>
        <w:jc w:val="center"/>
        <w:rPr>
          <w:rFonts w:ascii="黑体" w:hAnsi="黑体" w:eastAsia="黑体" w:cs="黑体"/>
          <w:szCs w:val="21"/>
        </w:rPr>
      </w:pPr>
      <w:r>
        <w:rPr>
          <w:rFonts w:hint="eastAsia" w:ascii="黑体" w:hAnsi="黑体" w:eastAsia="黑体" w:cs="黑体"/>
          <w:szCs w:val="21"/>
        </w:rPr>
        <w:t>（资料性）</w:t>
      </w:r>
    </w:p>
    <w:p w14:paraId="57DE4F67">
      <w:pPr>
        <w:pStyle w:val="21"/>
        <w:ind w:firstLine="0" w:firstLineChars="0"/>
        <w:jc w:val="center"/>
        <w:rPr>
          <w:rFonts w:ascii="黑体" w:hAnsi="黑体" w:eastAsia="黑体" w:cs="黑体"/>
          <w:szCs w:val="21"/>
        </w:rPr>
      </w:pPr>
      <w:r>
        <w:rPr>
          <w:rFonts w:hint="eastAsia" w:ascii="黑体" w:hAnsi="黑体" w:eastAsia="黑体" w:cs="黑体"/>
          <w:szCs w:val="21"/>
        </w:rPr>
        <w:t>岗位安全风险辨识清单示例</w:t>
      </w:r>
    </w:p>
    <w:p w14:paraId="588DE4C0">
      <w:pPr>
        <w:pStyle w:val="21"/>
        <w:jc w:val="center"/>
        <w:rPr>
          <w:rFonts w:ascii="黑体" w:hAnsi="黑体" w:eastAsia="黑体" w:cs="黑体"/>
          <w:szCs w:val="21"/>
        </w:rPr>
      </w:pPr>
    </w:p>
    <w:p w14:paraId="327BA3C3">
      <w:pPr>
        <w:pStyle w:val="21"/>
        <w:ind w:firstLine="0" w:firstLineChars="0"/>
        <w:jc w:val="center"/>
        <w:rPr>
          <w:rFonts w:ascii="黑体" w:hAnsi="黑体" w:eastAsia="黑体" w:cs="黑体"/>
          <w:szCs w:val="21"/>
        </w:rPr>
      </w:pPr>
      <w:r>
        <w:rPr>
          <w:rFonts w:hint="eastAsia" w:ascii="黑体" w:hAnsi="黑体" w:eastAsia="黑体" w:cs="黑体"/>
          <w:szCs w:val="21"/>
        </w:rPr>
        <w:t>表B.1 岗位安全风险辨识清单示例</w:t>
      </w:r>
    </w:p>
    <w:tbl>
      <w:tblPr>
        <w:tblStyle w:val="4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4961"/>
        <w:gridCol w:w="1019"/>
      </w:tblGrid>
      <w:tr w14:paraId="4444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13" w:type="dxa"/>
            <w:vMerge w:val="restart"/>
            <w:shd w:val="clear" w:color="auto" w:fill="FFFFFF" w:themeFill="background1"/>
            <w:vAlign w:val="center"/>
          </w:tcPr>
          <w:p w14:paraId="3FA74124">
            <w:pPr>
              <w:autoSpaceDN w:val="0"/>
              <w:jc w:val="center"/>
              <w:rPr>
                <w:rFonts w:asciiTheme="minorEastAsia" w:hAnsiTheme="minorEastAsia"/>
                <w:bCs/>
                <w:szCs w:val="21"/>
              </w:rPr>
            </w:pPr>
            <w:r>
              <w:rPr>
                <w:rFonts w:hint="eastAsia" w:asciiTheme="minorEastAsia" w:hAnsiTheme="minorEastAsia"/>
                <w:bCs/>
                <w:szCs w:val="21"/>
              </w:rPr>
              <w:t>致险因素</w:t>
            </w:r>
          </w:p>
        </w:tc>
        <w:tc>
          <w:tcPr>
            <w:tcW w:w="1276" w:type="dxa"/>
            <w:vMerge w:val="restart"/>
            <w:shd w:val="clear" w:color="auto" w:fill="FFFFFF" w:themeFill="background1"/>
            <w:vAlign w:val="center"/>
          </w:tcPr>
          <w:p w14:paraId="2F7F1B0B">
            <w:pPr>
              <w:autoSpaceDN w:val="0"/>
              <w:jc w:val="center"/>
              <w:rPr>
                <w:rFonts w:asciiTheme="minorEastAsia" w:hAnsiTheme="minorEastAsia"/>
                <w:bCs/>
                <w:szCs w:val="21"/>
              </w:rPr>
            </w:pPr>
            <w:r>
              <w:rPr>
                <w:rFonts w:hint="eastAsia" w:asciiTheme="minorEastAsia" w:hAnsiTheme="minorEastAsia"/>
                <w:bCs/>
                <w:szCs w:val="21"/>
              </w:rPr>
              <w:t>风险事件</w:t>
            </w:r>
          </w:p>
        </w:tc>
        <w:tc>
          <w:tcPr>
            <w:tcW w:w="5980" w:type="dxa"/>
            <w:gridSpan w:val="2"/>
            <w:shd w:val="clear" w:color="auto" w:fill="FFFFFF" w:themeFill="background1"/>
            <w:vAlign w:val="center"/>
          </w:tcPr>
          <w:p w14:paraId="61DAF9E6">
            <w:pPr>
              <w:autoSpaceDN w:val="0"/>
              <w:jc w:val="center"/>
              <w:rPr>
                <w:rFonts w:asciiTheme="minorEastAsia" w:hAnsiTheme="minorEastAsia"/>
                <w:bCs/>
                <w:szCs w:val="21"/>
              </w:rPr>
            </w:pPr>
            <w:r>
              <w:rPr>
                <w:rFonts w:hint="eastAsia" w:asciiTheme="minorEastAsia" w:hAnsiTheme="minorEastAsia"/>
                <w:bCs/>
                <w:szCs w:val="21"/>
              </w:rPr>
              <w:t>现有控制措施情况</w:t>
            </w:r>
          </w:p>
        </w:tc>
      </w:tr>
      <w:tr w14:paraId="1908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13" w:type="dxa"/>
            <w:vMerge w:val="continue"/>
            <w:shd w:val="clear" w:color="auto" w:fill="FFFFFF" w:themeFill="background1"/>
            <w:vAlign w:val="center"/>
          </w:tcPr>
          <w:p w14:paraId="68142425">
            <w:pPr>
              <w:autoSpaceDN w:val="0"/>
              <w:jc w:val="center"/>
              <w:rPr>
                <w:rFonts w:asciiTheme="minorEastAsia" w:hAnsiTheme="minorEastAsia"/>
                <w:bCs/>
                <w:szCs w:val="21"/>
              </w:rPr>
            </w:pPr>
          </w:p>
        </w:tc>
        <w:tc>
          <w:tcPr>
            <w:tcW w:w="1276" w:type="dxa"/>
            <w:vMerge w:val="continue"/>
            <w:shd w:val="clear" w:color="auto" w:fill="FFFFFF" w:themeFill="background1"/>
            <w:vAlign w:val="center"/>
          </w:tcPr>
          <w:p w14:paraId="13A169CF">
            <w:pPr>
              <w:autoSpaceDN w:val="0"/>
              <w:jc w:val="center"/>
              <w:rPr>
                <w:rFonts w:asciiTheme="minorEastAsia" w:hAnsiTheme="minorEastAsia"/>
                <w:bCs/>
                <w:szCs w:val="21"/>
              </w:rPr>
            </w:pPr>
          </w:p>
        </w:tc>
        <w:tc>
          <w:tcPr>
            <w:tcW w:w="4961" w:type="dxa"/>
            <w:shd w:val="clear" w:color="auto" w:fill="FFFFFF" w:themeFill="background1"/>
            <w:vAlign w:val="center"/>
          </w:tcPr>
          <w:p w14:paraId="07A08481">
            <w:pPr>
              <w:autoSpaceDN w:val="0"/>
              <w:jc w:val="center"/>
              <w:rPr>
                <w:rFonts w:asciiTheme="minorEastAsia" w:hAnsiTheme="minorEastAsia"/>
                <w:bCs/>
                <w:szCs w:val="21"/>
              </w:rPr>
            </w:pPr>
            <w:r>
              <w:rPr>
                <w:rFonts w:hint="eastAsia" w:asciiTheme="minorEastAsia" w:hAnsiTheme="minorEastAsia"/>
                <w:bCs/>
                <w:szCs w:val="21"/>
              </w:rPr>
              <w:t>措施</w:t>
            </w:r>
          </w:p>
        </w:tc>
        <w:tc>
          <w:tcPr>
            <w:tcW w:w="1019" w:type="dxa"/>
            <w:shd w:val="clear" w:color="auto" w:fill="FFFFFF" w:themeFill="background1"/>
            <w:vAlign w:val="center"/>
          </w:tcPr>
          <w:p w14:paraId="7840A8C8">
            <w:pPr>
              <w:autoSpaceDN w:val="0"/>
              <w:jc w:val="center"/>
              <w:rPr>
                <w:rFonts w:asciiTheme="minorEastAsia" w:hAnsiTheme="minorEastAsia"/>
                <w:bCs/>
                <w:szCs w:val="21"/>
              </w:rPr>
            </w:pPr>
            <w:r>
              <w:rPr>
                <w:rFonts w:hint="eastAsia" w:asciiTheme="minorEastAsia" w:hAnsiTheme="minorEastAsia"/>
                <w:bCs/>
                <w:szCs w:val="21"/>
              </w:rPr>
              <w:t>有效性</w:t>
            </w:r>
          </w:p>
        </w:tc>
      </w:tr>
      <w:tr w14:paraId="7C87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Merge w:val="restart"/>
            <w:vAlign w:val="center"/>
          </w:tcPr>
          <w:p w14:paraId="4DC28DDB">
            <w:pPr>
              <w:autoSpaceDN w:val="0"/>
              <w:jc w:val="center"/>
              <w:rPr>
                <w:rFonts w:asciiTheme="minorEastAsia" w:hAnsiTheme="minorEastAsia"/>
                <w:bCs/>
                <w:szCs w:val="21"/>
              </w:rPr>
            </w:pPr>
            <w:r>
              <w:rPr>
                <w:rFonts w:hint="eastAsia" w:asciiTheme="minorEastAsia" w:hAnsiTheme="minorEastAsia"/>
                <w:bCs/>
                <w:szCs w:val="21"/>
              </w:rPr>
              <w:t>驾驶员长时间驾驶作业导致身体疲劳</w:t>
            </w:r>
          </w:p>
        </w:tc>
        <w:tc>
          <w:tcPr>
            <w:tcW w:w="1276" w:type="dxa"/>
            <w:vMerge w:val="restart"/>
            <w:shd w:val="clear" w:color="auto" w:fill="FFFFFF" w:themeFill="background1"/>
            <w:vAlign w:val="center"/>
          </w:tcPr>
          <w:p w14:paraId="6265FD2E">
            <w:pPr>
              <w:autoSpaceDN w:val="0"/>
              <w:jc w:val="center"/>
              <w:rPr>
                <w:rFonts w:asciiTheme="minorEastAsia" w:hAnsiTheme="minorEastAsia"/>
                <w:szCs w:val="21"/>
              </w:rPr>
            </w:pPr>
            <w:r>
              <w:rPr>
                <w:rFonts w:hint="eastAsia" w:asciiTheme="minorEastAsia" w:hAnsiTheme="minorEastAsia"/>
                <w:szCs w:val="21"/>
              </w:rPr>
              <w:t>交通事故</w:t>
            </w:r>
          </w:p>
        </w:tc>
        <w:tc>
          <w:tcPr>
            <w:tcW w:w="4961" w:type="dxa"/>
            <w:shd w:val="clear" w:color="auto" w:fill="FFFFFF" w:themeFill="background1"/>
            <w:vAlign w:val="center"/>
          </w:tcPr>
          <w:p w14:paraId="67FB66A5">
            <w:pPr>
              <w:autoSpaceDN w:val="0"/>
              <w:jc w:val="center"/>
              <w:rPr>
                <w:rFonts w:asciiTheme="minorEastAsia" w:hAnsiTheme="minorEastAsia"/>
                <w:szCs w:val="21"/>
              </w:rPr>
            </w:pPr>
            <w:r>
              <w:rPr>
                <w:rFonts w:hint="eastAsia" w:asciiTheme="minorEastAsia" w:hAnsiTheme="minorEastAsia"/>
                <w:szCs w:val="21"/>
              </w:rPr>
              <w:t>明确驾驶时间限制和超时处罚规定</w:t>
            </w:r>
          </w:p>
        </w:tc>
        <w:tc>
          <w:tcPr>
            <w:tcW w:w="1019" w:type="dxa"/>
            <w:shd w:val="clear" w:color="auto" w:fill="FFFFFF" w:themeFill="background1"/>
            <w:vAlign w:val="center"/>
          </w:tcPr>
          <w:p w14:paraId="4C5F9DE7">
            <w:pPr>
              <w:autoSpaceDN w:val="0"/>
              <w:jc w:val="center"/>
              <w:rPr>
                <w:rFonts w:asciiTheme="minorEastAsia" w:hAnsiTheme="minorEastAsia"/>
                <w:szCs w:val="21"/>
              </w:rPr>
            </w:pPr>
            <w:r>
              <w:rPr>
                <w:rFonts w:hint="eastAsia" w:asciiTheme="minorEastAsia" w:hAnsiTheme="minorEastAsia"/>
                <w:szCs w:val="21"/>
              </w:rPr>
              <w:t>√</w:t>
            </w:r>
          </w:p>
        </w:tc>
      </w:tr>
      <w:tr w14:paraId="1BCA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Merge w:val="continue"/>
            <w:vAlign w:val="center"/>
          </w:tcPr>
          <w:p w14:paraId="06F04120">
            <w:pPr>
              <w:autoSpaceDN w:val="0"/>
              <w:jc w:val="center"/>
              <w:rPr>
                <w:rFonts w:ascii="宋体" w:hAnsi="宋体"/>
                <w:szCs w:val="21"/>
              </w:rPr>
            </w:pPr>
          </w:p>
        </w:tc>
        <w:tc>
          <w:tcPr>
            <w:tcW w:w="1276" w:type="dxa"/>
            <w:vMerge w:val="continue"/>
            <w:shd w:val="clear" w:color="auto" w:fill="FFFFFF" w:themeFill="background1"/>
            <w:vAlign w:val="center"/>
          </w:tcPr>
          <w:p w14:paraId="5BCE96A3">
            <w:pPr>
              <w:autoSpaceDN w:val="0"/>
              <w:jc w:val="center"/>
              <w:rPr>
                <w:szCs w:val="21"/>
              </w:rPr>
            </w:pPr>
          </w:p>
        </w:tc>
        <w:tc>
          <w:tcPr>
            <w:tcW w:w="4961" w:type="dxa"/>
            <w:shd w:val="clear" w:color="auto" w:fill="FFFFFF" w:themeFill="background1"/>
            <w:vAlign w:val="center"/>
          </w:tcPr>
          <w:p w14:paraId="214ACE15">
            <w:pPr>
              <w:autoSpaceDN w:val="0"/>
              <w:jc w:val="center"/>
              <w:rPr>
                <w:rFonts w:asciiTheme="minorEastAsia" w:hAnsiTheme="minorEastAsia"/>
                <w:szCs w:val="21"/>
              </w:rPr>
            </w:pPr>
            <w:r>
              <w:rPr>
                <w:rFonts w:hint="eastAsia" w:asciiTheme="minorEastAsia" w:hAnsiTheme="minorEastAsia"/>
                <w:szCs w:val="21"/>
              </w:rPr>
              <w:t>专职动态监控人员及时提示驾驶员停车休息</w:t>
            </w:r>
          </w:p>
        </w:tc>
        <w:tc>
          <w:tcPr>
            <w:tcW w:w="1019" w:type="dxa"/>
            <w:shd w:val="clear" w:color="auto" w:fill="FFFFFF" w:themeFill="background1"/>
            <w:vAlign w:val="center"/>
          </w:tcPr>
          <w:p w14:paraId="34E9FB34">
            <w:pPr>
              <w:jc w:val="center"/>
              <w:rPr>
                <w:szCs w:val="21"/>
              </w:rPr>
            </w:pPr>
            <w:r>
              <w:rPr>
                <w:rFonts w:hint="eastAsia" w:asciiTheme="minorEastAsia" w:hAnsiTheme="minorEastAsia"/>
                <w:szCs w:val="21"/>
              </w:rPr>
              <w:t>√</w:t>
            </w:r>
          </w:p>
        </w:tc>
      </w:tr>
      <w:tr w14:paraId="117A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Merge w:val="continue"/>
            <w:vAlign w:val="center"/>
          </w:tcPr>
          <w:p w14:paraId="1B9DDF80">
            <w:pPr>
              <w:autoSpaceDN w:val="0"/>
              <w:jc w:val="center"/>
              <w:rPr>
                <w:rFonts w:ascii="宋体" w:hAnsi="宋体"/>
                <w:szCs w:val="21"/>
              </w:rPr>
            </w:pPr>
          </w:p>
        </w:tc>
        <w:tc>
          <w:tcPr>
            <w:tcW w:w="1276" w:type="dxa"/>
            <w:vMerge w:val="continue"/>
            <w:shd w:val="clear" w:color="auto" w:fill="FFFFFF" w:themeFill="background1"/>
            <w:vAlign w:val="center"/>
          </w:tcPr>
          <w:p w14:paraId="3ED1D8C0">
            <w:pPr>
              <w:autoSpaceDN w:val="0"/>
              <w:jc w:val="center"/>
              <w:rPr>
                <w:szCs w:val="21"/>
              </w:rPr>
            </w:pPr>
          </w:p>
        </w:tc>
        <w:tc>
          <w:tcPr>
            <w:tcW w:w="4961" w:type="dxa"/>
            <w:shd w:val="clear" w:color="auto" w:fill="FFFFFF" w:themeFill="background1"/>
            <w:vAlign w:val="center"/>
          </w:tcPr>
          <w:p w14:paraId="37E9107B">
            <w:pPr>
              <w:autoSpaceDN w:val="0"/>
              <w:jc w:val="center"/>
              <w:rPr>
                <w:rFonts w:asciiTheme="minorEastAsia" w:hAnsiTheme="minorEastAsia"/>
                <w:szCs w:val="21"/>
              </w:rPr>
            </w:pPr>
            <w:r>
              <w:rPr>
                <w:rFonts w:hint="eastAsia" w:asciiTheme="minorEastAsia" w:hAnsiTheme="minorEastAsia"/>
                <w:szCs w:val="21"/>
              </w:rPr>
              <w:t>押运员监督驾驶员作业时间</w:t>
            </w:r>
          </w:p>
        </w:tc>
        <w:tc>
          <w:tcPr>
            <w:tcW w:w="1019" w:type="dxa"/>
            <w:shd w:val="clear" w:color="auto" w:fill="FFFFFF" w:themeFill="background1"/>
            <w:vAlign w:val="center"/>
          </w:tcPr>
          <w:p w14:paraId="0D1F688F">
            <w:pPr>
              <w:jc w:val="center"/>
              <w:rPr>
                <w:szCs w:val="21"/>
              </w:rPr>
            </w:pPr>
            <w:r>
              <w:rPr>
                <w:rFonts w:hint="eastAsia" w:asciiTheme="minorEastAsia" w:hAnsiTheme="minorEastAsia"/>
                <w:szCs w:val="21"/>
              </w:rPr>
              <w:t>√</w:t>
            </w:r>
          </w:p>
        </w:tc>
      </w:tr>
      <w:tr w14:paraId="57EC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Merge w:val="continue"/>
            <w:vAlign w:val="center"/>
          </w:tcPr>
          <w:p w14:paraId="77513F23">
            <w:pPr>
              <w:autoSpaceDN w:val="0"/>
              <w:jc w:val="center"/>
              <w:rPr>
                <w:rFonts w:ascii="宋体" w:hAnsi="宋体"/>
                <w:szCs w:val="21"/>
              </w:rPr>
            </w:pPr>
          </w:p>
        </w:tc>
        <w:tc>
          <w:tcPr>
            <w:tcW w:w="1276" w:type="dxa"/>
            <w:vMerge w:val="continue"/>
            <w:shd w:val="clear" w:color="auto" w:fill="FFFFFF" w:themeFill="background1"/>
            <w:vAlign w:val="center"/>
          </w:tcPr>
          <w:p w14:paraId="7E0F1B30">
            <w:pPr>
              <w:autoSpaceDN w:val="0"/>
              <w:jc w:val="center"/>
              <w:rPr>
                <w:szCs w:val="21"/>
              </w:rPr>
            </w:pPr>
          </w:p>
        </w:tc>
        <w:tc>
          <w:tcPr>
            <w:tcW w:w="4961" w:type="dxa"/>
            <w:shd w:val="clear" w:color="auto" w:fill="FFFFFF" w:themeFill="background1"/>
            <w:vAlign w:val="center"/>
          </w:tcPr>
          <w:p w14:paraId="5AAEB6EF">
            <w:pPr>
              <w:autoSpaceDN w:val="0"/>
              <w:jc w:val="center"/>
              <w:rPr>
                <w:rFonts w:asciiTheme="minorEastAsia" w:hAnsiTheme="minorEastAsia"/>
                <w:szCs w:val="21"/>
              </w:rPr>
            </w:pPr>
            <w:r>
              <w:rPr>
                <w:rFonts w:hint="eastAsia" w:asciiTheme="minorEastAsia" w:hAnsiTheme="minorEastAsia"/>
                <w:szCs w:val="21"/>
              </w:rPr>
              <w:t>设置驾驶作业时间警示报警</w:t>
            </w:r>
          </w:p>
        </w:tc>
        <w:tc>
          <w:tcPr>
            <w:tcW w:w="1019" w:type="dxa"/>
            <w:shd w:val="clear" w:color="auto" w:fill="FFFFFF" w:themeFill="background1"/>
            <w:vAlign w:val="center"/>
          </w:tcPr>
          <w:p w14:paraId="537A7470">
            <w:pPr>
              <w:jc w:val="center"/>
              <w:rPr>
                <w:szCs w:val="21"/>
              </w:rPr>
            </w:pPr>
            <w:r>
              <w:rPr>
                <w:rFonts w:hint="eastAsia" w:asciiTheme="minorEastAsia" w:hAnsiTheme="minorEastAsia"/>
                <w:szCs w:val="21"/>
              </w:rPr>
              <w:t>√</w:t>
            </w:r>
          </w:p>
        </w:tc>
      </w:tr>
      <w:tr w14:paraId="0364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Merge w:val="continue"/>
            <w:vAlign w:val="center"/>
          </w:tcPr>
          <w:p w14:paraId="4AACCF95">
            <w:pPr>
              <w:autoSpaceDN w:val="0"/>
              <w:jc w:val="center"/>
              <w:rPr>
                <w:rFonts w:ascii="宋体" w:hAnsi="宋体"/>
                <w:szCs w:val="21"/>
              </w:rPr>
            </w:pPr>
          </w:p>
        </w:tc>
        <w:tc>
          <w:tcPr>
            <w:tcW w:w="1276" w:type="dxa"/>
            <w:vMerge w:val="continue"/>
            <w:shd w:val="clear" w:color="auto" w:fill="FFFFFF" w:themeFill="background1"/>
            <w:vAlign w:val="center"/>
          </w:tcPr>
          <w:p w14:paraId="4F4298F4">
            <w:pPr>
              <w:autoSpaceDN w:val="0"/>
              <w:jc w:val="center"/>
              <w:rPr>
                <w:szCs w:val="21"/>
              </w:rPr>
            </w:pPr>
          </w:p>
        </w:tc>
        <w:tc>
          <w:tcPr>
            <w:tcW w:w="4961" w:type="dxa"/>
            <w:shd w:val="clear" w:color="auto" w:fill="FFFFFF" w:themeFill="background1"/>
            <w:vAlign w:val="center"/>
          </w:tcPr>
          <w:p w14:paraId="6092B369">
            <w:pPr>
              <w:autoSpaceDN w:val="0"/>
              <w:jc w:val="center"/>
              <w:rPr>
                <w:rFonts w:asciiTheme="minorEastAsia" w:hAnsiTheme="minorEastAsia"/>
                <w:szCs w:val="21"/>
              </w:rPr>
            </w:pPr>
            <w:r>
              <w:rPr>
                <w:rFonts w:hint="eastAsia" w:asciiTheme="minorEastAsia" w:hAnsiTheme="minorEastAsia"/>
                <w:szCs w:val="21"/>
              </w:rPr>
              <w:t>长距离线路运输，企业配备两名驾驶员</w:t>
            </w:r>
          </w:p>
        </w:tc>
        <w:tc>
          <w:tcPr>
            <w:tcW w:w="1019" w:type="dxa"/>
            <w:shd w:val="clear" w:color="auto" w:fill="FFFFFF" w:themeFill="background1"/>
            <w:vAlign w:val="center"/>
          </w:tcPr>
          <w:p w14:paraId="5C8548EF">
            <w:pPr>
              <w:jc w:val="center"/>
              <w:rPr>
                <w:szCs w:val="21"/>
              </w:rPr>
            </w:pPr>
            <w:r>
              <w:rPr>
                <w:rFonts w:hint="eastAsia" w:asciiTheme="minorEastAsia" w:hAnsiTheme="minorEastAsia"/>
                <w:szCs w:val="21"/>
              </w:rPr>
              <w:t>√</w:t>
            </w:r>
          </w:p>
        </w:tc>
      </w:tr>
    </w:tbl>
    <w:p w14:paraId="3657AB87">
      <w:pPr>
        <w:pStyle w:val="21"/>
        <w:rPr>
          <w:rFonts w:asciiTheme="minorEastAsia" w:hAnsiTheme="minorEastAsia" w:eastAsiaTheme="minorEastAsia"/>
          <w:szCs w:val="21"/>
        </w:rPr>
      </w:pPr>
    </w:p>
    <w:p w14:paraId="1C2A2A82">
      <w:pPr>
        <w:pStyle w:val="21"/>
        <w:rPr>
          <w:rFonts w:asciiTheme="minorEastAsia" w:hAnsiTheme="minorEastAsia" w:eastAsiaTheme="minorEastAsia"/>
          <w:szCs w:val="21"/>
        </w:rPr>
        <w:sectPr>
          <w:pgSz w:w="11906" w:h="16838"/>
          <w:pgMar w:top="1418" w:right="1134" w:bottom="1134" w:left="1134" w:header="851" w:footer="992" w:gutter="0"/>
          <w:cols w:space="425" w:num="1"/>
          <w:docGrid w:type="linesAndChars" w:linePitch="312" w:charSpace="0"/>
        </w:sectPr>
      </w:pPr>
    </w:p>
    <w:p w14:paraId="78FE9145">
      <w:pPr>
        <w:pStyle w:val="3"/>
        <w:numPr>
          <w:ilvl w:val="0"/>
          <w:numId w:val="0"/>
        </w:numPr>
        <w:tabs>
          <w:tab w:val="clear" w:pos="0"/>
        </w:tabs>
        <w:spacing w:before="0" w:beforeLines="0" w:after="0" w:afterLines="0"/>
        <w:jc w:val="center"/>
      </w:pPr>
      <w:bookmarkStart w:id="60" w:name="_Toc24783"/>
      <w:r>
        <w:rPr>
          <w:rFonts w:hint="eastAsia"/>
        </w:rPr>
        <w:t>附录C</w:t>
      </w:r>
      <w:bookmarkEnd w:id="60"/>
    </w:p>
    <w:p w14:paraId="347BCAE1">
      <w:pPr>
        <w:pStyle w:val="21"/>
        <w:ind w:firstLine="0" w:firstLineChars="0"/>
        <w:jc w:val="center"/>
        <w:rPr>
          <w:rFonts w:ascii="黑体" w:hAnsi="黑体" w:eastAsia="黑体" w:cs="黑体"/>
          <w:szCs w:val="21"/>
        </w:rPr>
      </w:pPr>
      <w:r>
        <w:rPr>
          <w:rFonts w:hint="eastAsia" w:ascii="黑体" w:hAnsi="黑体" w:eastAsia="黑体" w:cs="黑体"/>
          <w:szCs w:val="21"/>
        </w:rPr>
        <w:t>（规范性）</w:t>
      </w:r>
    </w:p>
    <w:p w14:paraId="5E263651">
      <w:pPr>
        <w:pStyle w:val="21"/>
        <w:ind w:firstLine="0" w:firstLineChars="0"/>
        <w:jc w:val="center"/>
        <w:rPr>
          <w:rFonts w:ascii="黑体" w:hAnsi="黑体" w:eastAsia="黑体" w:cs="黑体"/>
          <w:szCs w:val="21"/>
        </w:rPr>
      </w:pPr>
      <w:r>
        <w:rPr>
          <w:rFonts w:hint="eastAsia" w:ascii="黑体" w:hAnsi="黑体" w:eastAsia="黑体" w:cs="黑体"/>
          <w:szCs w:val="21"/>
        </w:rPr>
        <w:t>致险因素分析汇总表</w:t>
      </w:r>
    </w:p>
    <w:p w14:paraId="541EBAF4">
      <w:pPr>
        <w:pStyle w:val="21"/>
        <w:jc w:val="center"/>
        <w:rPr>
          <w:rFonts w:ascii="黑体" w:hAnsi="黑体" w:eastAsia="黑体" w:cs="黑体"/>
          <w:szCs w:val="21"/>
        </w:rPr>
      </w:pPr>
    </w:p>
    <w:p w14:paraId="12F2EF9B">
      <w:pPr>
        <w:pStyle w:val="21"/>
        <w:ind w:firstLine="0" w:firstLineChars="0"/>
        <w:jc w:val="center"/>
        <w:rPr>
          <w:rFonts w:ascii="黑体" w:hAnsi="黑体" w:eastAsia="黑体" w:cs="黑体"/>
          <w:szCs w:val="21"/>
        </w:rPr>
      </w:pPr>
      <w:r>
        <w:rPr>
          <w:rFonts w:hint="eastAsia" w:ascii="黑体" w:hAnsi="黑体" w:eastAsia="黑体" w:cs="黑体"/>
          <w:szCs w:val="21"/>
        </w:rPr>
        <w:t>表C.1 岗位安全风险辨识清单</w:t>
      </w:r>
    </w:p>
    <w:tbl>
      <w:tblPr>
        <w:tblStyle w:val="1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997"/>
        <w:gridCol w:w="1266"/>
        <w:gridCol w:w="1701"/>
        <w:gridCol w:w="1276"/>
        <w:gridCol w:w="1276"/>
      </w:tblGrid>
      <w:tr w14:paraId="1915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1" w:type="dxa"/>
            <w:vMerge w:val="restart"/>
            <w:shd w:val="clear" w:color="auto" w:fill="FFFFFF" w:themeFill="background1"/>
            <w:vAlign w:val="center"/>
          </w:tcPr>
          <w:p w14:paraId="3D6FC976">
            <w:pPr>
              <w:autoSpaceDN w:val="0"/>
              <w:jc w:val="center"/>
              <w:rPr>
                <w:rFonts w:ascii="宋体" w:hAnsi="宋体" w:cs="宋体"/>
                <w:szCs w:val="21"/>
                <w:lang w:eastAsia="en-US"/>
              </w:rPr>
            </w:pPr>
            <w:r>
              <w:rPr>
                <w:rFonts w:hint="eastAsia" w:ascii="宋体" w:hAnsi="宋体" w:cs="宋体"/>
                <w:spacing w:val="2"/>
                <w:szCs w:val="21"/>
              </w:rPr>
              <w:t>序号</w:t>
            </w:r>
          </w:p>
        </w:tc>
        <w:tc>
          <w:tcPr>
            <w:tcW w:w="1417" w:type="dxa"/>
            <w:vMerge w:val="restart"/>
            <w:shd w:val="clear" w:color="auto" w:fill="FFFFFF" w:themeFill="background1"/>
            <w:vAlign w:val="center"/>
          </w:tcPr>
          <w:p w14:paraId="525F9BBC">
            <w:pPr>
              <w:autoSpaceDN w:val="0"/>
              <w:jc w:val="center"/>
              <w:rPr>
                <w:rFonts w:ascii="宋体" w:hAnsi="宋体" w:cs="宋体"/>
                <w:szCs w:val="21"/>
                <w:lang w:eastAsia="en-US"/>
              </w:rPr>
            </w:pPr>
            <w:r>
              <w:rPr>
                <w:rFonts w:hint="eastAsia" w:ascii="宋体" w:hAnsi="宋体" w:cs="宋体"/>
                <w:spacing w:val="2"/>
                <w:szCs w:val="21"/>
                <w:lang w:eastAsia="en-US"/>
              </w:rPr>
              <w:t>作业</w:t>
            </w:r>
            <w:r>
              <w:rPr>
                <w:rFonts w:hint="eastAsia" w:ascii="宋体" w:hAnsi="宋体" w:cs="宋体"/>
                <w:spacing w:val="2"/>
                <w:szCs w:val="21"/>
              </w:rPr>
              <w:t>单元</w:t>
            </w:r>
          </w:p>
        </w:tc>
        <w:tc>
          <w:tcPr>
            <w:tcW w:w="997" w:type="dxa"/>
            <w:vMerge w:val="restart"/>
            <w:shd w:val="clear" w:color="auto" w:fill="FFFFFF" w:themeFill="background1"/>
            <w:vAlign w:val="center"/>
          </w:tcPr>
          <w:p w14:paraId="23EEA57A">
            <w:pPr>
              <w:autoSpaceDN w:val="0"/>
              <w:jc w:val="center"/>
              <w:rPr>
                <w:rFonts w:ascii="宋体" w:hAnsi="宋体" w:cs="宋体"/>
                <w:szCs w:val="21"/>
                <w:lang w:eastAsia="en-US"/>
              </w:rPr>
            </w:pPr>
            <w:r>
              <w:rPr>
                <w:rFonts w:hint="eastAsia" w:ascii="宋体" w:hAnsi="宋体" w:cs="宋体"/>
                <w:spacing w:val="2"/>
                <w:szCs w:val="21"/>
                <w:lang w:eastAsia="en-US"/>
              </w:rPr>
              <w:t>典</w:t>
            </w:r>
            <w:r>
              <w:rPr>
                <w:rFonts w:hint="eastAsia" w:ascii="宋体" w:hAnsi="宋体" w:cs="宋体"/>
                <w:szCs w:val="21"/>
                <w:lang w:eastAsia="en-US"/>
              </w:rPr>
              <w:t>型风险</w:t>
            </w:r>
            <w:r>
              <w:rPr>
                <w:rFonts w:hint="eastAsia" w:ascii="宋体" w:hAnsi="宋体" w:cs="宋体"/>
                <w:spacing w:val="2"/>
                <w:szCs w:val="21"/>
                <w:lang w:eastAsia="en-US"/>
              </w:rPr>
              <w:t>事</w:t>
            </w:r>
            <w:r>
              <w:rPr>
                <w:rFonts w:hint="eastAsia" w:ascii="宋体" w:hAnsi="宋体" w:cs="宋体"/>
                <w:szCs w:val="21"/>
                <w:lang w:eastAsia="en-US"/>
              </w:rPr>
              <w:t>件</w:t>
            </w:r>
          </w:p>
        </w:tc>
        <w:tc>
          <w:tcPr>
            <w:tcW w:w="5519" w:type="dxa"/>
            <w:gridSpan w:val="4"/>
            <w:shd w:val="clear" w:color="auto" w:fill="FFFFFF" w:themeFill="background1"/>
            <w:vAlign w:val="center"/>
          </w:tcPr>
          <w:p w14:paraId="57C0BC29">
            <w:pPr>
              <w:autoSpaceDN w:val="0"/>
              <w:jc w:val="center"/>
              <w:rPr>
                <w:rFonts w:ascii="宋体" w:hAnsi="宋体" w:cs="宋体"/>
                <w:spacing w:val="2"/>
                <w:szCs w:val="21"/>
                <w:lang w:eastAsia="en-US"/>
              </w:rPr>
            </w:pPr>
            <w:r>
              <w:rPr>
                <w:rFonts w:hint="eastAsia" w:ascii="宋体" w:hAnsi="宋体" w:cs="宋体"/>
                <w:spacing w:val="2"/>
                <w:szCs w:val="21"/>
                <w:lang w:eastAsia="en-US"/>
              </w:rPr>
              <w:t>致</w:t>
            </w:r>
            <w:r>
              <w:rPr>
                <w:rFonts w:hint="eastAsia" w:ascii="宋体" w:hAnsi="宋体" w:cs="宋体"/>
                <w:szCs w:val="21"/>
                <w:lang w:eastAsia="en-US"/>
              </w:rPr>
              <w:t>险因素</w:t>
            </w:r>
          </w:p>
        </w:tc>
      </w:tr>
      <w:tr w14:paraId="05A5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1" w:type="dxa"/>
            <w:vMerge w:val="continue"/>
            <w:shd w:val="clear" w:color="auto" w:fill="FFFFFF" w:themeFill="background1"/>
            <w:vAlign w:val="center"/>
          </w:tcPr>
          <w:p w14:paraId="611C91D1">
            <w:pPr>
              <w:autoSpaceDN w:val="0"/>
              <w:jc w:val="center"/>
              <w:rPr>
                <w:rFonts w:ascii="宋体" w:hAnsi="宋体" w:cs="宋体"/>
                <w:szCs w:val="21"/>
                <w:lang w:eastAsia="en-US"/>
              </w:rPr>
            </w:pPr>
          </w:p>
        </w:tc>
        <w:tc>
          <w:tcPr>
            <w:tcW w:w="1417" w:type="dxa"/>
            <w:vMerge w:val="continue"/>
            <w:shd w:val="clear" w:color="auto" w:fill="FFFFFF" w:themeFill="background1"/>
            <w:vAlign w:val="center"/>
          </w:tcPr>
          <w:p w14:paraId="7D9F703C">
            <w:pPr>
              <w:autoSpaceDN w:val="0"/>
              <w:jc w:val="center"/>
              <w:rPr>
                <w:rFonts w:ascii="宋体" w:hAnsi="宋体" w:cs="宋体"/>
                <w:szCs w:val="21"/>
                <w:lang w:eastAsia="en-US"/>
              </w:rPr>
            </w:pPr>
          </w:p>
        </w:tc>
        <w:tc>
          <w:tcPr>
            <w:tcW w:w="997" w:type="dxa"/>
            <w:vMerge w:val="continue"/>
            <w:shd w:val="clear" w:color="auto" w:fill="FFFFFF" w:themeFill="background1"/>
            <w:vAlign w:val="center"/>
          </w:tcPr>
          <w:p w14:paraId="76BB0BF8">
            <w:pPr>
              <w:autoSpaceDN w:val="0"/>
              <w:jc w:val="center"/>
              <w:rPr>
                <w:rFonts w:ascii="宋体" w:hAnsi="宋体" w:cs="宋体"/>
                <w:szCs w:val="21"/>
                <w:lang w:eastAsia="en-US"/>
              </w:rPr>
            </w:pPr>
          </w:p>
        </w:tc>
        <w:tc>
          <w:tcPr>
            <w:tcW w:w="1266" w:type="dxa"/>
            <w:shd w:val="clear" w:color="auto" w:fill="FFFFFF" w:themeFill="background1"/>
            <w:vAlign w:val="center"/>
          </w:tcPr>
          <w:p w14:paraId="437A9A59">
            <w:pPr>
              <w:autoSpaceDN w:val="0"/>
              <w:jc w:val="center"/>
              <w:rPr>
                <w:rFonts w:ascii="宋体" w:hAnsi="宋体" w:cs="宋体"/>
                <w:szCs w:val="21"/>
                <w:lang w:eastAsia="en-US"/>
              </w:rPr>
            </w:pPr>
            <w:r>
              <w:rPr>
                <w:rFonts w:hint="eastAsia" w:ascii="宋体" w:hAnsi="宋体" w:cs="宋体"/>
                <w:spacing w:val="2"/>
                <w:szCs w:val="21"/>
                <w:lang w:eastAsia="en-US"/>
              </w:rPr>
              <w:t>人</w:t>
            </w:r>
            <w:r>
              <w:rPr>
                <w:rFonts w:hint="eastAsia" w:ascii="宋体" w:hAnsi="宋体" w:cs="宋体"/>
                <w:szCs w:val="21"/>
                <w:lang w:eastAsia="en-US"/>
              </w:rPr>
              <w:t>的因素</w:t>
            </w:r>
          </w:p>
        </w:tc>
        <w:tc>
          <w:tcPr>
            <w:tcW w:w="1701" w:type="dxa"/>
            <w:shd w:val="clear" w:color="auto" w:fill="FFFFFF" w:themeFill="background1"/>
            <w:vAlign w:val="center"/>
          </w:tcPr>
          <w:p w14:paraId="17EE5CE5">
            <w:pPr>
              <w:autoSpaceDN w:val="0"/>
              <w:jc w:val="center"/>
              <w:rPr>
                <w:rFonts w:ascii="宋体" w:hAnsi="宋体" w:cs="宋体"/>
                <w:szCs w:val="21"/>
                <w:lang w:eastAsia="en-US"/>
              </w:rPr>
            </w:pPr>
            <w:r>
              <w:rPr>
                <w:rFonts w:hint="eastAsia" w:ascii="宋体" w:hAnsi="宋体" w:cs="宋体"/>
                <w:spacing w:val="2"/>
                <w:szCs w:val="21"/>
                <w:lang w:eastAsia="en-US"/>
              </w:rPr>
              <w:t>设</w:t>
            </w:r>
            <w:r>
              <w:rPr>
                <w:rFonts w:hint="eastAsia" w:ascii="宋体" w:hAnsi="宋体" w:cs="宋体"/>
                <w:szCs w:val="21"/>
                <w:lang w:eastAsia="en-US"/>
              </w:rPr>
              <w:t>施设备</w:t>
            </w:r>
            <w:r>
              <w:rPr>
                <w:rFonts w:hint="eastAsia" w:ascii="宋体" w:hAnsi="宋体" w:cs="宋体"/>
                <w:spacing w:val="2"/>
                <w:szCs w:val="21"/>
                <w:lang w:eastAsia="en-US"/>
              </w:rPr>
              <w:t>因素</w:t>
            </w:r>
          </w:p>
        </w:tc>
        <w:tc>
          <w:tcPr>
            <w:tcW w:w="1276" w:type="dxa"/>
            <w:shd w:val="clear" w:color="auto" w:fill="FFFFFF" w:themeFill="background1"/>
            <w:vAlign w:val="center"/>
          </w:tcPr>
          <w:p w14:paraId="6164B2EB">
            <w:pPr>
              <w:autoSpaceDN w:val="0"/>
              <w:jc w:val="center"/>
              <w:rPr>
                <w:rFonts w:ascii="宋体" w:hAnsi="宋体" w:cs="宋体"/>
                <w:szCs w:val="21"/>
                <w:lang w:eastAsia="en-US"/>
              </w:rPr>
            </w:pPr>
            <w:r>
              <w:rPr>
                <w:rFonts w:hint="eastAsia" w:ascii="宋体" w:hAnsi="宋体" w:cs="宋体"/>
                <w:spacing w:val="2"/>
                <w:szCs w:val="21"/>
                <w:lang w:eastAsia="en-US"/>
              </w:rPr>
              <w:t>环</w:t>
            </w:r>
            <w:r>
              <w:rPr>
                <w:rFonts w:hint="eastAsia" w:ascii="宋体" w:hAnsi="宋体" w:cs="宋体"/>
                <w:szCs w:val="21"/>
                <w:lang w:eastAsia="en-US"/>
              </w:rPr>
              <w:t>境因素</w:t>
            </w:r>
          </w:p>
        </w:tc>
        <w:tc>
          <w:tcPr>
            <w:tcW w:w="1276" w:type="dxa"/>
            <w:shd w:val="clear" w:color="auto" w:fill="FFFFFF" w:themeFill="background1"/>
            <w:vAlign w:val="center"/>
          </w:tcPr>
          <w:p w14:paraId="7FF0FF98">
            <w:pPr>
              <w:autoSpaceDN w:val="0"/>
              <w:jc w:val="center"/>
              <w:rPr>
                <w:rFonts w:ascii="宋体" w:hAnsi="宋体" w:cs="宋体"/>
                <w:szCs w:val="21"/>
                <w:lang w:eastAsia="en-US"/>
              </w:rPr>
            </w:pPr>
            <w:r>
              <w:rPr>
                <w:rFonts w:hint="eastAsia" w:ascii="宋体" w:hAnsi="宋体" w:cs="宋体"/>
                <w:spacing w:val="2"/>
                <w:szCs w:val="21"/>
                <w:lang w:eastAsia="en-US"/>
              </w:rPr>
              <w:t>管</w:t>
            </w:r>
            <w:r>
              <w:rPr>
                <w:rFonts w:hint="eastAsia" w:ascii="宋体" w:hAnsi="宋体" w:cs="宋体"/>
                <w:szCs w:val="21"/>
                <w:lang w:eastAsia="en-US"/>
              </w:rPr>
              <w:t>理因素</w:t>
            </w:r>
          </w:p>
        </w:tc>
      </w:tr>
      <w:tr w14:paraId="6926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7FAD6301">
            <w:pPr>
              <w:autoSpaceDN w:val="0"/>
              <w:jc w:val="center"/>
              <w:rPr>
                <w:rFonts w:hint="eastAsia" w:asciiTheme="minorEastAsia" w:hAnsiTheme="minorEastAsia" w:eastAsiaTheme="minorEastAsia" w:cstheme="minorEastAsia"/>
                <w:kern w:val="2"/>
                <w:sz w:val="21"/>
                <w:szCs w:val="21"/>
                <w:lang w:val="en-US" w:eastAsia="zh-CN" w:bidi="ar-SA"/>
              </w:rPr>
            </w:pPr>
          </w:p>
        </w:tc>
        <w:tc>
          <w:tcPr>
            <w:tcW w:w="1417" w:type="dxa"/>
            <w:vAlign w:val="center"/>
          </w:tcPr>
          <w:p w14:paraId="3E9524EF">
            <w:pPr>
              <w:autoSpaceDN w:val="0"/>
              <w:jc w:val="center"/>
              <w:rPr>
                <w:rFonts w:hint="eastAsia" w:asciiTheme="minorEastAsia" w:hAnsiTheme="minorEastAsia" w:eastAsiaTheme="minorEastAsia" w:cstheme="minorEastAsia"/>
                <w:kern w:val="2"/>
                <w:sz w:val="21"/>
                <w:szCs w:val="21"/>
                <w:lang w:val="en-US" w:eastAsia="zh-CN" w:bidi="ar-SA"/>
              </w:rPr>
            </w:pPr>
          </w:p>
        </w:tc>
        <w:tc>
          <w:tcPr>
            <w:tcW w:w="997" w:type="dxa"/>
            <w:vAlign w:val="center"/>
          </w:tcPr>
          <w:p w14:paraId="716447C3">
            <w:pPr>
              <w:autoSpaceDN w:val="0"/>
              <w:jc w:val="center"/>
              <w:rPr>
                <w:rFonts w:ascii="宋体" w:hAnsi="宋体" w:cs="宋体"/>
                <w:szCs w:val="21"/>
              </w:rPr>
            </w:pPr>
          </w:p>
        </w:tc>
        <w:tc>
          <w:tcPr>
            <w:tcW w:w="1266" w:type="dxa"/>
            <w:vAlign w:val="center"/>
          </w:tcPr>
          <w:p w14:paraId="7B44980F">
            <w:pPr>
              <w:autoSpaceDN w:val="0"/>
              <w:jc w:val="center"/>
              <w:rPr>
                <w:rFonts w:ascii="宋体" w:hAnsi="宋体" w:cs="宋体"/>
                <w:szCs w:val="21"/>
              </w:rPr>
            </w:pPr>
          </w:p>
        </w:tc>
        <w:tc>
          <w:tcPr>
            <w:tcW w:w="1701" w:type="dxa"/>
            <w:vAlign w:val="center"/>
          </w:tcPr>
          <w:p w14:paraId="76683E28">
            <w:pPr>
              <w:autoSpaceDN w:val="0"/>
              <w:jc w:val="center"/>
              <w:rPr>
                <w:rFonts w:ascii="宋体" w:hAnsi="宋体" w:cs="宋体"/>
                <w:szCs w:val="21"/>
              </w:rPr>
            </w:pPr>
          </w:p>
        </w:tc>
        <w:tc>
          <w:tcPr>
            <w:tcW w:w="1276" w:type="dxa"/>
            <w:vAlign w:val="center"/>
          </w:tcPr>
          <w:p w14:paraId="22CB7890">
            <w:pPr>
              <w:autoSpaceDN w:val="0"/>
              <w:jc w:val="center"/>
              <w:rPr>
                <w:rFonts w:ascii="宋体" w:hAnsi="宋体" w:cs="宋体"/>
                <w:szCs w:val="21"/>
              </w:rPr>
            </w:pPr>
          </w:p>
        </w:tc>
        <w:tc>
          <w:tcPr>
            <w:tcW w:w="1276" w:type="dxa"/>
            <w:vAlign w:val="center"/>
          </w:tcPr>
          <w:p w14:paraId="0B1E4128">
            <w:pPr>
              <w:autoSpaceDN w:val="0"/>
              <w:jc w:val="center"/>
              <w:rPr>
                <w:rFonts w:ascii="宋体" w:hAnsi="宋体" w:cs="宋体"/>
                <w:szCs w:val="21"/>
              </w:rPr>
            </w:pPr>
          </w:p>
        </w:tc>
      </w:tr>
      <w:tr w14:paraId="6C34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3DCF1A4C">
            <w:pPr>
              <w:autoSpaceDN w:val="0"/>
              <w:jc w:val="center"/>
              <w:rPr>
                <w:rFonts w:hint="eastAsia" w:asciiTheme="minorEastAsia" w:hAnsiTheme="minorEastAsia" w:eastAsiaTheme="minorEastAsia" w:cstheme="minorEastAsia"/>
                <w:kern w:val="2"/>
                <w:sz w:val="21"/>
                <w:szCs w:val="21"/>
                <w:lang w:val="en-US" w:eastAsia="zh-CN" w:bidi="ar-SA"/>
              </w:rPr>
            </w:pPr>
          </w:p>
        </w:tc>
        <w:tc>
          <w:tcPr>
            <w:tcW w:w="1417" w:type="dxa"/>
            <w:vAlign w:val="center"/>
          </w:tcPr>
          <w:p w14:paraId="5B5B789A">
            <w:pPr>
              <w:autoSpaceDN w:val="0"/>
              <w:jc w:val="center"/>
              <w:rPr>
                <w:rFonts w:hint="eastAsia" w:asciiTheme="minorEastAsia" w:hAnsiTheme="minorEastAsia" w:eastAsiaTheme="minorEastAsia" w:cstheme="minorEastAsia"/>
                <w:kern w:val="2"/>
                <w:sz w:val="21"/>
                <w:szCs w:val="21"/>
                <w:lang w:val="en-US" w:eastAsia="zh-CN" w:bidi="ar-SA"/>
              </w:rPr>
            </w:pPr>
          </w:p>
        </w:tc>
        <w:tc>
          <w:tcPr>
            <w:tcW w:w="997" w:type="dxa"/>
            <w:vAlign w:val="center"/>
          </w:tcPr>
          <w:p w14:paraId="5B5413B0">
            <w:pPr>
              <w:autoSpaceDN w:val="0"/>
              <w:jc w:val="center"/>
              <w:rPr>
                <w:rFonts w:ascii="宋体" w:hAnsi="宋体" w:cs="宋体"/>
                <w:szCs w:val="21"/>
              </w:rPr>
            </w:pPr>
          </w:p>
        </w:tc>
        <w:tc>
          <w:tcPr>
            <w:tcW w:w="1266" w:type="dxa"/>
            <w:vAlign w:val="center"/>
          </w:tcPr>
          <w:p w14:paraId="134E6725">
            <w:pPr>
              <w:autoSpaceDN w:val="0"/>
              <w:jc w:val="center"/>
              <w:rPr>
                <w:rFonts w:ascii="宋体" w:hAnsi="宋体" w:cs="宋体"/>
                <w:szCs w:val="21"/>
              </w:rPr>
            </w:pPr>
          </w:p>
        </w:tc>
        <w:tc>
          <w:tcPr>
            <w:tcW w:w="1701" w:type="dxa"/>
            <w:vAlign w:val="center"/>
          </w:tcPr>
          <w:p w14:paraId="7E83F8C3">
            <w:pPr>
              <w:autoSpaceDN w:val="0"/>
              <w:jc w:val="center"/>
              <w:rPr>
                <w:rFonts w:ascii="宋体" w:hAnsi="宋体" w:cs="宋体"/>
                <w:szCs w:val="21"/>
              </w:rPr>
            </w:pPr>
          </w:p>
        </w:tc>
        <w:tc>
          <w:tcPr>
            <w:tcW w:w="1276" w:type="dxa"/>
            <w:vAlign w:val="center"/>
          </w:tcPr>
          <w:p w14:paraId="79D8BF81">
            <w:pPr>
              <w:autoSpaceDN w:val="0"/>
              <w:jc w:val="center"/>
              <w:rPr>
                <w:rFonts w:ascii="宋体" w:hAnsi="宋体" w:cs="宋体"/>
                <w:szCs w:val="21"/>
              </w:rPr>
            </w:pPr>
          </w:p>
        </w:tc>
        <w:tc>
          <w:tcPr>
            <w:tcW w:w="1276" w:type="dxa"/>
            <w:vAlign w:val="center"/>
          </w:tcPr>
          <w:p w14:paraId="3ED4FEFF">
            <w:pPr>
              <w:autoSpaceDN w:val="0"/>
              <w:jc w:val="center"/>
              <w:rPr>
                <w:rFonts w:ascii="宋体" w:hAnsi="宋体" w:cs="宋体"/>
                <w:szCs w:val="21"/>
              </w:rPr>
            </w:pPr>
          </w:p>
        </w:tc>
      </w:tr>
      <w:tr w14:paraId="6D2D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6BD2CE28">
            <w:pPr>
              <w:autoSpaceDN w:val="0"/>
              <w:jc w:val="center"/>
              <w:rPr>
                <w:rFonts w:hint="eastAsia" w:asciiTheme="minorEastAsia" w:hAnsiTheme="minorEastAsia" w:eastAsiaTheme="minorEastAsia" w:cstheme="minorEastAsia"/>
                <w:kern w:val="2"/>
                <w:sz w:val="21"/>
                <w:szCs w:val="21"/>
                <w:lang w:val="en-US" w:eastAsia="zh-CN" w:bidi="ar-SA"/>
              </w:rPr>
            </w:pPr>
          </w:p>
        </w:tc>
        <w:tc>
          <w:tcPr>
            <w:tcW w:w="1417" w:type="dxa"/>
            <w:vAlign w:val="center"/>
          </w:tcPr>
          <w:p w14:paraId="1CBA88CC">
            <w:pPr>
              <w:autoSpaceDN w:val="0"/>
              <w:jc w:val="center"/>
              <w:rPr>
                <w:rFonts w:hint="eastAsia" w:asciiTheme="minorEastAsia" w:hAnsiTheme="minorEastAsia" w:eastAsiaTheme="minorEastAsia" w:cstheme="minorEastAsia"/>
                <w:kern w:val="2"/>
                <w:sz w:val="21"/>
                <w:szCs w:val="21"/>
                <w:lang w:val="en-US" w:eastAsia="zh-CN" w:bidi="ar-SA"/>
              </w:rPr>
            </w:pPr>
          </w:p>
        </w:tc>
        <w:tc>
          <w:tcPr>
            <w:tcW w:w="997" w:type="dxa"/>
            <w:vAlign w:val="center"/>
          </w:tcPr>
          <w:p w14:paraId="53BBD3D3">
            <w:pPr>
              <w:autoSpaceDN w:val="0"/>
              <w:jc w:val="center"/>
              <w:rPr>
                <w:rFonts w:ascii="宋体" w:hAnsi="宋体" w:cs="宋体"/>
                <w:szCs w:val="21"/>
              </w:rPr>
            </w:pPr>
          </w:p>
        </w:tc>
        <w:tc>
          <w:tcPr>
            <w:tcW w:w="1266" w:type="dxa"/>
            <w:vAlign w:val="center"/>
          </w:tcPr>
          <w:p w14:paraId="3164D10C">
            <w:pPr>
              <w:autoSpaceDN w:val="0"/>
              <w:jc w:val="center"/>
              <w:rPr>
                <w:rFonts w:ascii="宋体" w:hAnsi="宋体" w:cs="宋体"/>
                <w:szCs w:val="21"/>
              </w:rPr>
            </w:pPr>
          </w:p>
        </w:tc>
        <w:tc>
          <w:tcPr>
            <w:tcW w:w="1701" w:type="dxa"/>
            <w:vAlign w:val="center"/>
          </w:tcPr>
          <w:p w14:paraId="750ABB0C">
            <w:pPr>
              <w:autoSpaceDN w:val="0"/>
              <w:jc w:val="center"/>
              <w:rPr>
                <w:rFonts w:ascii="宋体" w:hAnsi="宋体" w:cs="宋体"/>
                <w:szCs w:val="21"/>
              </w:rPr>
            </w:pPr>
          </w:p>
        </w:tc>
        <w:tc>
          <w:tcPr>
            <w:tcW w:w="1276" w:type="dxa"/>
            <w:vAlign w:val="center"/>
          </w:tcPr>
          <w:p w14:paraId="5D615265">
            <w:pPr>
              <w:autoSpaceDN w:val="0"/>
              <w:jc w:val="center"/>
              <w:rPr>
                <w:rFonts w:ascii="宋体" w:hAnsi="宋体" w:cs="宋体"/>
                <w:szCs w:val="21"/>
              </w:rPr>
            </w:pPr>
          </w:p>
        </w:tc>
        <w:tc>
          <w:tcPr>
            <w:tcW w:w="1276" w:type="dxa"/>
            <w:vAlign w:val="center"/>
          </w:tcPr>
          <w:p w14:paraId="7B022093">
            <w:pPr>
              <w:autoSpaceDN w:val="0"/>
              <w:jc w:val="center"/>
              <w:rPr>
                <w:rFonts w:ascii="宋体" w:hAnsi="宋体" w:cs="宋体"/>
                <w:szCs w:val="21"/>
              </w:rPr>
            </w:pPr>
          </w:p>
        </w:tc>
      </w:tr>
      <w:tr w14:paraId="1439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F05F834">
            <w:pPr>
              <w:autoSpaceDN w:val="0"/>
              <w:jc w:val="center"/>
              <w:rPr>
                <w:rFonts w:hint="eastAsia" w:asciiTheme="minorEastAsia" w:hAnsiTheme="minorEastAsia" w:eastAsiaTheme="minorEastAsia" w:cstheme="minorEastAsia"/>
                <w:kern w:val="2"/>
                <w:sz w:val="21"/>
                <w:szCs w:val="21"/>
                <w:lang w:val="en-US" w:eastAsia="zh-CN" w:bidi="ar-SA"/>
              </w:rPr>
            </w:pPr>
          </w:p>
        </w:tc>
        <w:tc>
          <w:tcPr>
            <w:tcW w:w="1417" w:type="dxa"/>
            <w:vAlign w:val="center"/>
          </w:tcPr>
          <w:p w14:paraId="5D9C827B">
            <w:pPr>
              <w:autoSpaceDN w:val="0"/>
              <w:jc w:val="center"/>
              <w:rPr>
                <w:rFonts w:hint="eastAsia" w:asciiTheme="minorEastAsia" w:hAnsiTheme="minorEastAsia" w:eastAsiaTheme="minorEastAsia" w:cstheme="minorEastAsia"/>
                <w:kern w:val="2"/>
                <w:sz w:val="21"/>
                <w:szCs w:val="21"/>
                <w:lang w:val="en-US" w:eastAsia="zh-CN" w:bidi="ar-SA"/>
              </w:rPr>
            </w:pPr>
          </w:p>
        </w:tc>
        <w:tc>
          <w:tcPr>
            <w:tcW w:w="997" w:type="dxa"/>
            <w:vAlign w:val="center"/>
          </w:tcPr>
          <w:p w14:paraId="3A5ED7AA">
            <w:pPr>
              <w:autoSpaceDN w:val="0"/>
              <w:jc w:val="center"/>
              <w:rPr>
                <w:rFonts w:ascii="宋体" w:hAnsi="宋体" w:cs="宋体"/>
                <w:szCs w:val="21"/>
              </w:rPr>
            </w:pPr>
          </w:p>
        </w:tc>
        <w:tc>
          <w:tcPr>
            <w:tcW w:w="1266" w:type="dxa"/>
            <w:vAlign w:val="center"/>
          </w:tcPr>
          <w:p w14:paraId="083C3A56">
            <w:pPr>
              <w:autoSpaceDN w:val="0"/>
              <w:jc w:val="center"/>
              <w:rPr>
                <w:rFonts w:ascii="宋体" w:hAnsi="宋体" w:cs="宋体"/>
                <w:szCs w:val="21"/>
              </w:rPr>
            </w:pPr>
          </w:p>
        </w:tc>
        <w:tc>
          <w:tcPr>
            <w:tcW w:w="1701" w:type="dxa"/>
            <w:vAlign w:val="center"/>
          </w:tcPr>
          <w:p w14:paraId="0A4AA0ED">
            <w:pPr>
              <w:autoSpaceDN w:val="0"/>
              <w:jc w:val="center"/>
              <w:rPr>
                <w:rFonts w:ascii="宋体" w:hAnsi="宋体" w:cs="宋体"/>
                <w:szCs w:val="21"/>
              </w:rPr>
            </w:pPr>
          </w:p>
        </w:tc>
        <w:tc>
          <w:tcPr>
            <w:tcW w:w="1276" w:type="dxa"/>
            <w:vAlign w:val="center"/>
          </w:tcPr>
          <w:p w14:paraId="37C5363B">
            <w:pPr>
              <w:autoSpaceDN w:val="0"/>
              <w:jc w:val="center"/>
              <w:rPr>
                <w:rFonts w:ascii="宋体" w:hAnsi="宋体" w:cs="宋体"/>
                <w:szCs w:val="21"/>
              </w:rPr>
            </w:pPr>
          </w:p>
        </w:tc>
        <w:tc>
          <w:tcPr>
            <w:tcW w:w="1276" w:type="dxa"/>
            <w:vAlign w:val="center"/>
          </w:tcPr>
          <w:p w14:paraId="48495819">
            <w:pPr>
              <w:autoSpaceDN w:val="0"/>
              <w:jc w:val="center"/>
              <w:rPr>
                <w:rFonts w:ascii="宋体" w:hAnsi="宋体" w:cs="宋体"/>
                <w:szCs w:val="21"/>
              </w:rPr>
            </w:pPr>
          </w:p>
        </w:tc>
      </w:tr>
    </w:tbl>
    <w:p w14:paraId="51AD3A67">
      <w:pPr>
        <w:pStyle w:val="21"/>
        <w:rPr>
          <w:rFonts w:asciiTheme="minorEastAsia" w:hAnsiTheme="minorEastAsia" w:eastAsiaTheme="minorEastAsia"/>
          <w:szCs w:val="21"/>
        </w:rPr>
      </w:pPr>
    </w:p>
    <w:p w14:paraId="6BB2D9DF">
      <w:pPr>
        <w:jc w:val="center"/>
        <w:sectPr>
          <w:pgSz w:w="11906" w:h="16838"/>
          <w:pgMar w:top="1418" w:right="1134" w:bottom="1134" w:left="1134" w:header="851" w:footer="992" w:gutter="0"/>
          <w:cols w:space="425" w:num="1"/>
          <w:docGrid w:type="linesAndChars" w:linePitch="312" w:charSpace="0"/>
        </w:sectPr>
      </w:pPr>
    </w:p>
    <w:p w14:paraId="54902F59">
      <w:pPr>
        <w:pStyle w:val="3"/>
        <w:numPr>
          <w:ilvl w:val="0"/>
          <w:numId w:val="0"/>
        </w:numPr>
        <w:tabs>
          <w:tab w:val="clear" w:pos="0"/>
        </w:tabs>
        <w:spacing w:before="0" w:beforeLines="0" w:after="0" w:afterLines="0"/>
        <w:jc w:val="center"/>
      </w:pPr>
      <w:bookmarkStart w:id="61" w:name="_Toc26108"/>
      <w:r>
        <w:rPr>
          <w:rFonts w:hint="eastAsia"/>
        </w:rPr>
        <w:t>附录D</w:t>
      </w:r>
      <w:bookmarkEnd w:id="61"/>
    </w:p>
    <w:p w14:paraId="1C7ACE31">
      <w:pPr>
        <w:pStyle w:val="21"/>
        <w:ind w:firstLine="0" w:firstLineChars="0"/>
        <w:jc w:val="center"/>
        <w:rPr>
          <w:rFonts w:ascii="黑体" w:hAnsi="黑体" w:eastAsia="黑体" w:cs="黑体"/>
          <w:szCs w:val="21"/>
        </w:rPr>
      </w:pPr>
      <w:r>
        <w:rPr>
          <w:rFonts w:hint="eastAsia" w:ascii="黑体" w:hAnsi="黑体" w:eastAsia="黑体" w:cs="黑体"/>
          <w:szCs w:val="21"/>
        </w:rPr>
        <w:t>（规范性）</w:t>
      </w:r>
    </w:p>
    <w:p w14:paraId="6EF35E51">
      <w:pPr>
        <w:pStyle w:val="21"/>
        <w:ind w:firstLine="0" w:firstLineChars="0"/>
        <w:jc w:val="center"/>
        <w:rPr>
          <w:rFonts w:ascii="黑体" w:hAnsi="黑体" w:eastAsia="黑体" w:cs="黑体"/>
          <w:szCs w:val="21"/>
        </w:rPr>
      </w:pPr>
      <w:r>
        <w:rPr>
          <w:rFonts w:hint="eastAsia" w:ascii="黑体" w:hAnsi="黑体" w:eastAsia="黑体" w:cs="黑体"/>
          <w:szCs w:val="21"/>
        </w:rPr>
        <w:t>风险辨识评估管控清单</w:t>
      </w:r>
    </w:p>
    <w:p w14:paraId="3A217681">
      <w:pPr>
        <w:pStyle w:val="21"/>
        <w:ind w:firstLine="0" w:firstLineChars="0"/>
        <w:jc w:val="center"/>
        <w:rPr>
          <w:rFonts w:ascii="黑体" w:hAnsi="黑体" w:eastAsia="黑体" w:cs="黑体"/>
          <w:szCs w:val="21"/>
        </w:rPr>
      </w:pPr>
    </w:p>
    <w:p w14:paraId="22D099EB">
      <w:pPr>
        <w:pStyle w:val="21"/>
        <w:ind w:firstLine="0" w:firstLineChars="0"/>
        <w:jc w:val="center"/>
        <w:rPr>
          <w:rFonts w:ascii="黑体" w:hAnsi="黑体" w:eastAsia="黑体" w:cs="黑体"/>
          <w:szCs w:val="21"/>
        </w:rPr>
      </w:pPr>
      <w:r>
        <w:rPr>
          <w:rFonts w:hint="eastAsia" w:ascii="黑体" w:hAnsi="黑体" w:eastAsia="黑体" w:cs="黑体"/>
          <w:szCs w:val="21"/>
        </w:rPr>
        <w:t>表D.1 风险辨识评估管控清单</w:t>
      </w:r>
    </w:p>
    <w:tbl>
      <w:tblPr>
        <w:tblStyle w:val="17"/>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94"/>
        <w:gridCol w:w="1077"/>
        <w:gridCol w:w="1191"/>
        <w:gridCol w:w="697"/>
        <w:gridCol w:w="851"/>
        <w:gridCol w:w="708"/>
        <w:gridCol w:w="709"/>
        <w:gridCol w:w="664"/>
        <w:gridCol w:w="1179"/>
        <w:gridCol w:w="1057"/>
        <w:gridCol w:w="1134"/>
        <w:gridCol w:w="1134"/>
        <w:gridCol w:w="1134"/>
        <w:gridCol w:w="698"/>
        <w:gridCol w:w="698"/>
      </w:tblGrid>
      <w:tr w14:paraId="199C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67" w:type="dxa"/>
            <w:vMerge w:val="restart"/>
            <w:shd w:val="clear" w:color="auto" w:fill="auto"/>
            <w:vAlign w:val="center"/>
          </w:tcPr>
          <w:p w14:paraId="15668F0C">
            <w:pPr>
              <w:autoSpaceDN w:val="0"/>
              <w:jc w:val="center"/>
              <w:rPr>
                <w:rFonts w:ascii="宋体" w:hAnsi="宋体"/>
                <w:bCs/>
                <w:szCs w:val="21"/>
              </w:rPr>
            </w:pPr>
            <w:r>
              <w:rPr>
                <w:rFonts w:ascii="宋体" w:hAnsi="宋体"/>
                <w:spacing w:val="2"/>
                <w:szCs w:val="21"/>
              </w:rPr>
              <w:t>序号</w:t>
            </w:r>
          </w:p>
        </w:tc>
        <w:tc>
          <w:tcPr>
            <w:tcW w:w="794" w:type="dxa"/>
            <w:vMerge w:val="restart"/>
            <w:shd w:val="clear" w:color="auto" w:fill="auto"/>
            <w:vAlign w:val="center"/>
          </w:tcPr>
          <w:p w14:paraId="4F40D4A4">
            <w:pPr>
              <w:autoSpaceDN w:val="0"/>
              <w:jc w:val="center"/>
              <w:rPr>
                <w:rFonts w:ascii="宋体" w:hAnsi="宋体"/>
                <w:bCs/>
                <w:szCs w:val="21"/>
              </w:rPr>
            </w:pPr>
            <w:r>
              <w:rPr>
                <w:rFonts w:ascii="宋体" w:hAnsi="宋体"/>
                <w:bCs/>
                <w:szCs w:val="21"/>
              </w:rPr>
              <w:t>作业单元</w:t>
            </w:r>
          </w:p>
        </w:tc>
        <w:tc>
          <w:tcPr>
            <w:tcW w:w="1077" w:type="dxa"/>
            <w:vMerge w:val="restart"/>
            <w:shd w:val="clear" w:color="auto" w:fill="auto"/>
            <w:vAlign w:val="center"/>
          </w:tcPr>
          <w:p w14:paraId="20094F61">
            <w:pPr>
              <w:autoSpaceDN w:val="0"/>
              <w:jc w:val="center"/>
              <w:rPr>
                <w:rFonts w:ascii="宋体" w:hAnsi="宋体"/>
                <w:szCs w:val="21"/>
              </w:rPr>
            </w:pPr>
            <w:r>
              <w:rPr>
                <w:rFonts w:ascii="宋体" w:hAnsi="宋体"/>
                <w:bCs/>
                <w:szCs w:val="21"/>
              </w:rPr>
              <w:t>致险因素</w:t>
            </w:r>
          </w:p>
        </w:tc>
        <w:tc>
          <w:tcPr>
            <w:tcW w:w="1191" w:type="dxa"/>
            <w:vMerge w:val="restart"/>
            <w:shd w:val="clear" w:color="auto" w:fill="auto"/>
            <w:vAlign w:val="center"/>
          </w:tcPr>
          <w:p w14:paraId="16B8B96B">
            <w:pPr>
              <w:autoSpaceDN w:val="0"/>
              <w:jc w:val="center"/>
              <w:rPr>
                <w:rFonts w:ascii="宋体" w:hAnsi="宋体"/>
                <w:bCs/>
                <w:szCs w:val="21"/>
              </w:rPr>
            </w:pPr>
            <w:r>
              <w:rPr>
                <w:rFonts w:ascii="宋体" w:hAnsi="宋体"/>
                <w:spacing w:val="2"/>
                <w:szCs w:val="21"/>
              </w:rPr>
              <w:t>典型风险事件</w:t>
            </w:r>
          </w:p>
        </w:tc>
        <w:tc>
          <w:tcPr>
            <w:tcW w:w="2965" w:type="dxa"/>
            <w:gridSpan w:val="4"/>
            <w:shd w:val="clear" w:color="auto" w:fill="auto"/>
            <w:vAlign w:val="center"/>
          </w:tcPr>
          <w:p w14:paraId="7FBFA301">
            <w:pPr>
              <w:autoSpaceDN w:val="0"/>
              <w:jc w:val="center"/>
              <w:rPr>
                <w:rFonts w:ascii="宋体" w:hAnsi="宋体"/>
                <w:bCs/>
                <w:szCs w:val="21"/>
              </w:rPr>
            </w:pPr>
            <w:r>
              <w:rPr>
                <w:rFonts w:ascii="宋体" w:hAnsi="宋体"/>
                <w:bCs/>
                <w:szCs w:val="21"/>
              </w:rPr>
              <w:t>风险评估</w:t>
            </w:r>
          </w:p>
        </w:tc>
        <w:tc>
          <w:tcPr>
            <w:tcW w:w="664" w:type="dxa"/>
            <w:vMerge w:val="restart"/>
            <w:shd w:val="clear" w:color="auto" w:fill="auto"/>
            <w:vAlign w:val="center"/>
          </w:tcPr>
          <w:p w14:paraId="51C0F58B">
            <w:pPr>
              <w:autoSpaceDN w:val="0"/>
              <w:jc w:val="center"/>
              <w:rPr>
                <w:rFonts w:ascii="宋体" w:hAnsi="宋体"/>
                <w:szCs w:val="21"/>
              </w:rPr>
            </w:pPr>
            <w:r>
              <w:rPr>
                <w:rFonts w:ascii="宋体" w:hAnsi="宋体"/>
                <w:bCs/>
                <w:szCs w:val="21"/>
              </w:rPr>
              <w:t>管控级别</w:t>
            </w:r>
          </w:p>
        </w:tc>
        <w:tc>
          <w:tcPr>
            <w:tcW w:w="5638" w:type="dxa"/>
            <w:gridSpan w:val="5"/>
            <w:shd w:val="clear" w:color="auto" w:fill="auto"/>
            <w:vAlign w:val="center"/>
          </w:tcPr>
          <w:p w14:paraId="3441AB89">
            <w:pPr>
              <w:autoSpaceDN w:val="0"/>
              <w:jc w:val="center"/>
              <w:rPr>
                <w:rFonts w:ascii="宋体" w:hAnsi="宋体"/>
                <w:bCs/>
                <w:szCs w:val="21"/>
              </w:rPr>
            </w:pPr>
            <w:r>
              <w:rPr>
                <w:rFonts w:ascii="宋体" w:hAnsi="宋体"/>
                <w:bCs/>
                <w:szCs w:val="21"/>
              </w:rPr>
              <w:t>管控措施</w:t>
            </w:r>
          </w:p>
        </w:tc>
        <w:tc>
          <w:tcPr>
            <w:tcW w:w="698" w:type="dxa"/>
            <w:vMerge w:val="restart"/>
            <w:shd w:val="clear" w:color="auto" w:fill="auto"/>
            <w:vAlign w:val="center"/>
          </w:tcPr>
          <w:p w14:paraId="6CA14342">
            <w:pPr>
              <w:autoSpaceDN w:val="0"/>
              <w:jc w:val="center"/>
              <w:rPr>
                <w:rFonts w:ascii="宋体" w:hAnsi="宋体"/>
                <w:bCs/>
                <w:szCs w:val="21"/>
              </w:rPr>
            </w:pPr>
            <w:r>
              <w:rPr>
                <w:rFonts w:hint="eastAsia" w:ascii="宋体" w:hAnsi="宋体"/>
                <w:bCs/>
                <w:szCs w:val="21"/>
              </w:rPr>
              <w:t>责任部门</w:t>
            </w:r>
          </w:p>
        </w:tc>
        <w:tc>
          <w:tcPr>
            <w:tcW w:w="698" w:type="dxa"/>
            <w:vMerge w:val="restart"/>
            <w:shd w:val="clear" w:color="auto" w:fill="auto"/>
            <w:vAlign w:val="center"/>
          </w:tcPr>
          <w:p w14:paraId="095A8CFC">
            <w:pPr>
              <w:autoSpaceDN w:val="0"/>
              <w:jc w:val="center"/>
              <w:rPr>
                <w:rFonts w:ascii="宋体" w:hAnsi="宋体"/>
                <w:bCs/>
                <w:szCs w:val="21"/>
              </w:rPr>
            </w:pPr>
            <w:r>
              <w:rPr>
                <w:rFonts w:hint="eastAsia" w:ascii="宋体" w:hAnsi="宋体"/>
                <w:bCs/>
                <w:szCs w:val="21"/>
              </w:rPr>
              <w:t>责任岗位</w:t>
            </w:r>
          </w:p>
        </w:tc>
      </w:tr>
      <w:tr w14:paraId="79BE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67" w:type="dxa"/>
            <w:vMerge w:val="continue"/>
            <w:shd w:val="clear" w:color="auto" w:fill="auto"/>
            <w:vAlign w:val="center"/>
          </w:tcPr>
          <w:p w14:paraId="6EC9ED5A">
            <w:pPr>
              <w:autoSpaceDN w:val="0"/>
              <w:jc w:val="center"/>
              <w:rPr>
                <w:rFonts w:ascii="宋体" w:hAnsi="宋体"/>
                <w:szCs w:val="21"/>
              </w:rPr>
            </w:pPr>
          </w:p>
        </w:tc>
        <w:tc>
          <w:tcPr>
            <w:tcW w:w="794" w:type="dxa"/>
            <w:vMerge w:val="continue"/>
            <w:shd w:val="clear" w:color="auto" w:fill="auto"/>
            <w:vAlign w:val="center"/>
          </w:tcPr>
          <w:p w14:paraId="0FEB84F1">
            <w:pPr>
              <w:autoSpaceDN w:val="0"/>
              <w:jc w:val="center"/>
              <w:rPr>
                <w:rFonts w:ascii="宋体" w:hAnsi="宋体"/>
                <w:szCs w:val="21"/>
              </w:rPr>
            </w:pPr>
          </w:p>
        </w:tc>
        <w:tc>
          <w:tcPr>
            <w:tcW w:w="1077" w:type="dxa"/>
            <w:vMerge w:val="continue"/>
            <w:shd w:val="clear" w:color="auto" w:fill="auto"/>
            <w:vAlign w:val="center"/>
          </w:tcPr>
          <w:p w14:paraId="27B29E17">
            <w:pPr>
              <w:autoSpaceDN w:val="0"/>
              <w:jc w:val="center"/>
              <w:rPr>
                <w:rFonts w:ascii="宋体" w:hAnsi="宋体"/>
                <w:szCs w:val="21"/>
              </w:rPr>
            </w:pPr>
          </w:p>
        </w:tc>
        <w:tc>
          <w:tcPr>
            <w:tcW w:w="1191" w:type="dxa"/>
            <w:vMerge w:val="continue"/>
            <w:shd w:val="clear" w:color="auto" w:fill="auto"/>
            <w:vAlign w:val="center"/>
          </w:tcPr>
          <w:p w14:paraId="063BF1A1">
            <w:pPr>
              <w:autoSpaceDN w:val="0"/>
              <w:jc w:val="center"/>
              <w:rPr>
                <w:rFonts w:ascii="宋体" w:hAnsi="宋体"/>
                <w:szCs w:val="21"/>
              </w:rPr>
            </w:pPr>
          </w:p>
        </w:tc>
        <w:tc>
          <w:tcPr>
            <w:tcW w:w="697" w:type="dxa"/>
            <w:shd w:val="clear" w:color="auto" w:fill="auto"/>
            <w:vAlign w:val="center"/>
          </w:tcPr>
          <w:p w14:paraId="57783395">
            <w:pPr>
              <w:autoSpaceDN w:val="0"/>
              <w:jc w:val="center"/>
              <w:rPr>
                <w:rFonts w:ascii="宋体" w:hAnsi="宋体"/>
                <w:bCs/>
                <w:szCs w:val="21"/>
              </w:rPr>
            </w:pPr>
            <w:r>
              <w:rPr>
                <w:rFonts w:ascii="宋体" w:hAnsi="宋体"/>
                <w:bCs/>
                <w:szCs w:val="21"/>
              </w:rPr>
              <w:t>可能性L</w:t>
            </w:r>
          </w:p>
        </w:tc>
        <w:tc>
          <w:tcPr>
            <w:tcW w:w="851" w:type="dxa"/>
            <w:shd w:val="clear" w:color="auto" w:fill="auto"/>
            <w:vAlign w:val="center"/>
          </w:tcPr>
          <w:p w14:paraId="114C0A9C">
            <w:pPr>
              <w:autoSpaceDN w:val="0"/>
              <w:jc w:val="center"/>
              <w:rPr>
                <w:rFonts w:ascii="宋体" w:hAnsi="宋体"/>
                <w:bCs/>
                <w:szCs w:val="21"/>
              </w:rPr>
            </w:pPr>
            <w:r>
              <w:rPr>
                <w:rFonts w:ascii="宋体" w:hAnsi="宋体"/>
                <w:bCs/>
                <w:szCs w:val="21"/>
              </w:rPr>
              <w:t>严重程度C</w:t>
            </w:r>
          </w:p>
        </w:tc>
        <w:tc>
          <w:tcPr>
            <w:tcW w:w="708" w:type="dxa"/>
            <w:shd w:val="clear" w:color="auto" w:fill="auto"/>
            <w:vAlign w:val="center"/>
          </w:tcPr>
          <w:p w14:paraId="104508F1">
            <w:pPr>
              <w:autoSpaceDN w:val="0"/>
              <w:jc w:val="center"/>
              <w:rPr>
                <w:rFonts w:ascii="宋体" w:hAnsi="宋体"/>
                <w:bCs/>
                <w:szCs w:val="21"/>
              </w:rPr>
            </w:pPr>
            <w:r>
              <w:rPr>
                <w:rFonts w:ascii="宋体" w:hAnsi="宋体"/>
                <w:bCs/>
                <w:szCs w:val="21"/>
              </w:rPr>
              <w:t>风险值D</w:t>
            </w:r>
          </w:p>
        </w:tc>
        <w:tc>
          <w:tcPr>
            <w:tcW w:w="709" w:type="dxa"/>
            <w:shd w:val="clear" w:color="auto" w:fill="auto"/>
            <w:vAlign w:val="center"/>
          </w:tcPr>
          <w:p w14:paraId="3496523B">
            <w:pPr>
              <w:autoSpaceDN w:val="0"/>
              <w:jc w:val="center"/>
              <w:rPr>
                <w:rFonts w:ascii="宋体" w:hAnsi="宋体"/>
                <w:bCs/>
                <w:szCs w:val="21"/>
              </w:rPr>
            </w:pPr>
            <w:r>
              <w:rPr>
                <w:rFonts w:ascii="宋体" w:hAnsi="宋体"/>
                <w:bCs/>
                <w:szCs w:val="21"/>
              </w:rPr>
              <w:t>风险等级</w:t>
            </w:r>
          </w:p>
        </w:tc>
        <w:tc>
          <w:tcPr>
            <w:tcW w:w="664" w:type="dxa"/>
            <w:vMerge w:val="continue"/>
            <w:shd w:val="clear" w:color="auto" w:fill="auto"/>
            <w:vAlign w:val="center"/>
          </w:tcPr>
          <w:p w14:paraId="39D30468">
            <w:pPr>
              <w:autoSpaceDN w:val="0"/>
              <w:jc w:val="center"/>
              <w:rPr>
                <w:rFonts w:ascii="宋体" w:hAnsi="宋体"/>
                <w:szCs w:val="21"/>
              </w:rPr>
            </w:pPr>
          </w:p>
        </w:tc>
        <w:tc>
          <w:tcPr>
            <w:tcW w:w="1179" w:type="dxa"/>
            <w:shd w:val="clear" w:color="auto" w:fill="auto"/>
            <w:vAlign w:val="center"/>
          </w:tcPr>
          <w:p w14:paraId="70CD0F5D">
            <w:pPr>
              <w:autoSpaceDN w:val="0"/>
              <w:jc w:val="center"/>
              <w:rPr>
                <w:rFonts w:ascii="宋体" w:hAnsi="宋体"/>
                <w:szCs w:val="21"/>
              </w:rPr>
            </w:pPr>
            <w:r>
              <w:rPr>
                <w:rFonts w:ascii="宋体" w:hAnsi="宋体"/>
                <w:szCs w:val="21"/>
              </w:rPr>
              <w:t>工程技术</w:t>
            </w:r>
          </w:p>
        </w:tc>
        <w:tc>
          <w:tcPr>
            <w:tcW w:w="1057" w:type="dxa"/>
            <w:shd w:val="clear" w:color="auto" w:fill="auto"/>
            <w:vAlign w:val="center"/>
          </w:tcPr>
          <w:p w14:paraId="02417C7C">
            <w:pPr>
              <w:autoSpaceDN w:val="0"/>
              <w:jc w:val="center"/>
              <w:rPr>
                <w:rFonts w:ascii="宋体" w:hAnsi="宋体"/>
                <w:szCs w:val="21"/>
              </w:rPr>
            </w:pPr>
            <w:r>
              <w:rPr>
                <w:rFonts w:ascii="宋体" w:hAnsi="宋体"/>
                <w:szCs w:val="21"/>
              </w:rPr>
              <w:t>安全管理</w:t>
            </w:r>
          </w:p>
        </w:tc>
        <w:tc>
          <w:tcPr>
            <w:tcW w:w="1134" w:type="dxa"/>
            <w:shd w:val="clear" w:color="auto" w:fill="auto"/>
            <w:vAlign w:val="center"/>
          </w:tcPr>
          <w:p w14:paraId="3C574AE2">
            <w:pPr>
              <w:autoSpaceDN w:val="0"/>
              <w:jc w:val="center"/>
              <w:rPr>
                <w:rFonts w:ascii="宋体" w:hAnsi="宋体"/>
                <w:szCs w:val="21"/>
              </w:rPr>
            </w:pPr>
            <w:r>
              <w:rPr>
                <w:rFonts w:ascii="宋体" w:hAnsi="宋体"/>
                <w:szCs w:val="21"/>
              </w:rPr>
              <w:t>培训教育</w:t>
            </w:r>
          </w:p>
        </w:tc>
        <w:tc>
          <w:tcPr>
            <w:tcW w:w="1134" w:type="dxa"/>
            <w:shd w:val="clear" w:color="auto" w:fill="auto"/>
            <w:vAlign w:val="center"/>
          </w:tcPr>
          <w:p w14:paraId="4B530F7C">
            <w:pPr>
              <w:autoSpaceDN w:val="0"/>
              <w:jc w:val="center"/>
              <w:rPr>
                <w:rFonts w:ascii="宋体" w:hAnsi="宋体"/>
                <w:szCs w:val="21"/>
              </w:rPr>
            </w:pPr>
            <w:r>
              <w:rPr>
                <w:rFonts w:ascii="宋体" w:hAnsi="宋体"/>
                <w:szCs w:val="21"/>
              </w:rPr>
              <w:t>个体防护</w:t>
            </w:r>
          </w:p>
        </w:tc>
        <w:tc>
          <w:tcPr>
            <w:tcW w:w="1134" w:type="dxa"/>
            <w:shd w:val="clear" w:color="auto" w:fill="auto"/>
            <w:vAlign w:val="center"/>
          </w:tcPr>
          <w:p w14:paraId="0049C4E2">
            <w:pPr>
              <w:autoSpaceDN w:val="0"/>
              <w:jc w:val="center"/>
              <w:rPr>
                <w:rFonts w:ascii="宋体" w:hAnsi="宋体"/>
                <w:szCs w:val="21"/>
              </w:rPr>
            </w:pPr>
            <w:r>
              <w:rPr>
                <w:rFonts w:ascii="宋体" w:hAnsi="宋体"/>
                <w:szCs w:val="21"/>
              </w:rPr>
              <w:t>应急处置</w:t>
            </w:r>
          </w:p>
        </w:tc>
        <w:tc>
          <w:tcPr>
            <w:tcW w:w="698" w:type="dxa"/>
            <w:vMerge w:val="continue"/>
            <w:shd w:val="clear" w:color="auto" w:fill="auto"/>
            <w:vAlign w:val="center"/>
          </w:tcPr>
          <w:p w14:paraId="6E0C2F75">
            <w:pPr>
              <w:autoSpaceDN w:val="0"/>
              <w:jc w:val="center"/>
              <w:rPr>
                <w:rFonts w:ascii="宋体" w:hAnsi="宋体"/>
                <w:szCs w:val="21"/>
              </w:rPr>
            </w:pPr>
          </w:p>
        </w:tc>
        <w:tc>
          <w:tcPr>
            <w:tcW w:w="698" w:type="dxa"/>
            <w:vMerge w:val="continue"/>
            <w:shd w:val="clear" w:color="auto" w:fill="auto"/>
            <w:vAlign w:val="center"/>
          </w:tcPr>
          <w:p w14:paraId="42C77D2A">
            <w:pPr>
              <w:autoSpaceDN w:val="0"/>
              <w:jc w:val="center"/>
              <w:rPr>
                <w:rFonts w:ascii="宋体" w:hAnsi="宋体"/>
                <w:szCs w:val="21"/>
              </w:rPr>
            </w:pPr>
          </w:p>
        </w:tc>
      </w:tr>
      <w:tr w14:paraId="2A47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67" w:type="dxa"/>
            <w:vAlign w:val="center"/>
          </w:tcPr>
          <w:p w14:paraId="5C9943F3">
            <w:pPr>
              <w:autoSpaceDN w:val="0"/>
              <w:jc w:val="center"/>
              <w:rPr>
                <w:rFonts w:ascii="宋体" w:hAnsi="宋体"/>
                <w:szCs w:val="21"/>
              </w:rPr>
            </w:pPr>
          </w:p>
        </w:tc>
        <w:tc>
          <w:tcPr>
            <w:tcW w:w="794" w:type="dxa"/>
            <w:vAlign w:val="center"/>
          </w:tcPr>
          <w:p w14:paraId="1B004221">
            <w:pPr>
              <w:autoSpaceDN w:val="0"/>
              <w:jc w:val="center"/>
              <w:rPr>
                <w:rFonts w:ascii="宋体" w:hAnsi="宋体"/>
                <w:szCs w:val="21"/>
              </w:rPr>
            </w:pPr>
          </w:p>
        </w:tc>
        <w:tc>
          <w:tcPr>
            <w:tcW w:w="1077" w:type="dxa"/>
            <w:vAlign w:val="center"/>
          </w:tcPr>
          <w:p w14:paraId="6D8DF1B5">
            <w:pPr>
              <w:autoSpaceDN w:val="0"/>
              <w:jc w:val="center"/>
              <w:rPr>
                <w:rFonts w:ascii="宋体" w:hAnsi="宋体"/>
                <w:szCs w:val="21"/>
              </w:rPr>
            </w:pPr>
          </w:p>
        </w:tc>
        <w:tc>
          <w:tcPr>
            <w:tcW w:w="1191" w:type="dxa"/>
            <w:vAlign w:val="center"/>
          </w:tcPr>
          <w:p w14:paraId="6D8754C9">
            <w:pPr>
              <w:autoSpaceDN w:val="0"/>
              <w:jc w:val="center"/>
              <w:rPr>
                <w:rFonts w:ascii="宋体" w:hAnsi="宋体"/>
                <w:szCs w:val="21"/>
              </w:rPr>
            </w:pPr>
          </w:p>
        </w:tc>
        <w:tc>
          <w:tcPr>
            <w:tcW w:w="697" w:type="dxa"/>
            <w:vAlign w:val="center"/>
          </w:tcPr>
          <w:p w14:paraId="55DB2BFD">
            <w:pPr>
              <w:autoSpaceDN w:val="0"/>
              <w:jc w:val="center"/>
              <w:rPr>
                <w:rFonts w:ascii="宋体" w:hAnsi="宋体"/>
                <w:szCs w:val="21"/>
              </w:rPr>
            </w:pPr>
          </w:p>
        </w:tc>
        <w:tc>
          <w:tcPr>
            <w:tcW w:w="851" w:type="dxa"/>
            <w:vAlign w:val="center"/>
          </w:tcPr>
          <w:p w14:paraId="7B5D777E">
            <w:pPr>
              <w:autoSpaceDN w:val="0"/>
              <w:jc w:val="center"/>
              <w:rPr>
                <w:rFonts w:ascii="宋体" w:hAnsi="宋体"/>
                <w:szCs w:val="21"/>
              </w:rPr>
            </w:pPr>
          </w:p>
        </w:tc>
        <w:tc>
          <w:tcPr>
            <w:tcW w:w="708" w:type="dxa"/>
            <w:vAlign w:val="center"/>
          </w:tcPr>
          <w:p w14:paraId="5424CE31">
            <w:pPr>
              <w:autoSpaceDN w:val="0"/>
              <w:jc w:val="center"/>
              <w:rPr>
                <w:rFonts w:ascii="宋体" w:hAnsi="宋体"/>
                <w:szCs w:val="21"/>
              </w:rPr>
            </w:pPr>
          </w:p>
        </w:tc>
        <w:tc>
          <w:tcPr>
            <w:tcW w:w="709" w:type="dxa"/>
            <w:shd w:val="clear" w:color="auto" w:fill="auto"/>
            <w:vAlign w:val="center"/>
          </w:tcPr>
          <w:p w14:paraId="739C9209">
            <w:pPr>
              <w:autoSpaceDN w:val="0"/>
              <w:jc w:val="center"/>
              <w:rPr>
                <w:rFonts w:ascii="宋体" w:hAnsi="宋体"/>
                <w:szCs w:val="21"/>
              </w:rPr>
            </w:pPr>
          </w:p>
        </w:tc>
        <w:tc>
          <w:tcPr>
            <w:tcW w:w="664" w:type="dxa"/>
            <w:vAlign w:val="center"/>
          </w:tcPr>
          <w:p w14:paraId="34882C0C">
            <w:pPr>
              <w:autoSpaceDN w:val="0"/>
              <w:jc w:val="center"/>
              <w:rPr>
                <w:rFonts w:ascii="宋体" w:hAnsi="宋体"/>
                <w:szCs w:val="21"/>
              </w:rPr>
            </w:pPr>
          </w:p>
        </w:tc>
        <w:tc>
          <w:tcPr>
            <w:tcW w:w="1179" w:type="dxa"/>
            <w:vAlign w:val="center"/>
          </w:tcPr>
          <w:p w14:paraId="5DE51C0F">
            <w:pPr>
              <w:autoSpaceDN w:val="0"/>
              <w:jc w:val="center"/>
              <w:rPr>
                <w:rFonts w:ascii="宋体" w:hAnsi="宋体"/>
                <w:szCs w:val="21"/>
              </w:rPr>
            </w:pPr>
          </w:p>
        </w:tc>
        <w:tc>
          <w:tcPr>
            <w:tcW w:w="1057" w:type="dxa"/>
            <w:vAlign w:val="center"/>
          </w:tcPr>
          <w:p w14:paraId="70DAE59C">
            <w:pPr>
              <w:autoSpaceDN w:val="0"/>
              <w:jc w:val="center"/>
              <w:rPr>
                <w:rFonts w:ascii="宋体" w:hAnsi="宋体"/>
                <w:szCs w:val="21"/>
              </w:rPr>
            </w:pPr>
          </w:p>
        </w:tc>
        <w:tc>
          <w:tcPr>
            <w:tcW w:w="1134" w:type="dxa"/>
            <w:vAlign w:val="center"/>
          </w:tcPr>
          <w:p w14:paraId="33B7FC74">
            <w:pPr>
              <w:autoSpaceDN w:val="0"/>
              <w:jc w:val="center"/>
              <w:rPr>
                <w:rFonts w:ascii="宋体" w:hAnsi="宋体"/>
                <w:szCs w:val="21"/>
              </w:rPr>
            </w:pPr>
          </w:p>
        </w:tc>
        <w:tc>
          <w:tcPr>
            <w:tcW w:w="1134" w:type="dxa"/>
            <w:vAlign w:val="center"/>
          </w:tcPr>
          <w:p w14:paraId="2E98C18B">
            <w:pPr>
              <w:autoSpaceDN w:val="0"/>
              <w:jc w:val="center"/>
              <w:rPr>
                <w:rFonts w:ascii="宋体" w:hAnsi="宋体"/>
                <w:szCs w:val="21"/>
              </w:rPr>
            </w:pPr>
          </w:p>
        </w:tc>
        <w:tc>
          <w:tcPr>
            <w:tcW w:w="1134" w:type="dxa"/>
            <w:vAlign w:val="center"/>
          </w:tcPr>
          <w:p w14:paraId="4457768B">
            <w:pPr>
              <w:autoSpaceDN w:val="0"/>
              <w:jc w:val="center"/>
              <w:rPr>
                <w:rFonts w:ascii="宋体" w:hAnsi="宋体"/>
                <w:szCs w:val="21"/>
              </w:rPr>
            </w:pPr>
          </w:p>
        </w:tc>
        <w:tc>
          <w:tcPr>
            <w:tcW w:w="698" w:type="dxa"/>
            <w:vAlign w:val="center"/>
          </w:tcPr>
          <w:p w14:paraId="54558996">
            <w:pPr>
              <w:autoSpaceDN w:val="0"/>
              <w:jc w:val="center"/>
              <w:rPr>
                <w:rFonts w:ascii="宋体" w:hAnsi="宋体"/>
                <w:szCs w:val="21"/>
              </w:rPr>
            </w:pPr>
          </w:p>
        </w:tc>
        <w:tc>
          <w:tcPr>
            <w:tcW w:w="698" w:type="dxa"/>
            <w:vAlign w:val="center"/>
          </w:tcPr>
          <w:p w14:paraId="40E15570">
            <w:pPr>
              <w:autoSpaceDN w:val="0"/>
              <w:jc w:val="center"/>
              <w:rPr>
                <w:rFonts w:ascii="宋体" w:hAnsi="宋体"/>
                <w:szCs w:val="21"/>
              </w:rPr>
            </w:pPr>
          </w:p>
        </w:tc>
      </w:tr>
      <w:tr w14:paraId="57E6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67" w:type="dxa"/>
            <w:vAlign w:val="center"/>
          </w:tcPr>
          <w:p w14:paraId="0FD8C352">
            <w:pPr>
              <w:autoSpaceDN w:val="0"/>
              <w:jc w:val="center"/>
              <w:rPr>
                <w:rFonts w:ascii="宋体" w:hAnsi="宋体"/>
                <w:szCs w:val="21"/>
              </w:rPr>
            </w:pPr>
          </w:p>
        </w:tc>
        <w:tc>
          <w:tcPr>
            <w:tcW w:w="794" w:type="dxa"/>
            <w:vAlign w:val="center"/>
          </w:tcPr>
          <w:p w14:paraId="62B1C927">
            <w:pPr>
              <w:autoSpaceDN w:val="0"/>
              <w:jc w:val="center"/>
              <w:rPr>
                <w:rFonts w:ascii="宋体" w:hAnsi="宋体"/>
                <w:szCs w:val="21"/>
              </w:rPr>
            </w:pPr>
          </w:p>
        </w:tc>
        <w:tc>
          <w:tcPr>
            <w:tcW w:w="1077" w:type="dxa"/>
            <w:vAlign w:val="center"/>
          </w:tcPr>
          <w:p w14:paraId="6712EEE1">
            <w:pPr>
              <w:autoSpaceDN w:val="0"/>
              <w:jc w:val="center"/>
              <w:rPr>
                <w:rFonts w:ascii="宋体" w:hAnsi="宋体"/>
                <w:szCs w:val="21"/>
              </w:rPr>
            </w:pPr>
          </w:p>
        </w:tc>
        <w:tc>
          <w:tcPr>
            <w:tcW w:w="1191" w:type="dxa"/>
            <w:vAlign w:val="center"/>
          </w:tcPr>
          <w:p w14:paraId="05F44C34">
            <w:pPr>
              <w:autoSpaceDN w:val="0"/>
              <w:jc w:val="center"/>
              <w:rPr>
                <w:rFonts w:ascii="宋体" w:hAnsi="宋体"/>
                <w:szCs w:val="21"/>
              </w:rPr>
            </w:pPr>
          </w:p>
        </w:tc>
        <w:tc>
          <w:tcPr>
            <w:tcW w:w="697" w:type="dxa"/>
            <w:vAlign w:val="center"/>
          </w:tcPr>
          <w:p w14:paraId="40B1ECFF">
            <w:pPr>
              <w:autoSpaceDN w:val="0"/>
              <w:jc w:val="center"/>
              <w:rPr>
                <w:rFonts w:ascii="宋体" w:hAnsi="宋体"/>
                <w:szCs w:val="21"/>
              </w:rPr>
            </w:pPr>
          </w:p>
        </w:tc>
        <w:tc>
          <w:tcPr>
            <w:tcW w:w="851" w:type="dxa"/>
            <w:vAlign w:val="center"/>
          </w:tcPr>
          <w:p w14:paraId="0EF86486">
            <w:pPr>
              <w:autoSpaceDN w:val="0"/>
              <w:jc w:val="center"/>
              <w:rPr>
                <w:rFonts w:ascii="宋体" w:hAnsi="宋体"/>
                <w:szCs w:val="21"/>
              </w:rPr>
            </w:pPr>
          </w:p>
        </w:tc>
        <w:tc>
          <w:tcPr>
            <w:tcW w:w="708" w:type="dxa"/>
            <w:vAlign w:val="center"/>
          </w:tcPr>
          <w:p w14:paraId="65D2C155">
            <w:pPr>
              <w:autoSpaceDN w:val="0"/>
              <w:jc w:val="center"/>
              <w:rPr>
                <w:rFonts w:ascii="宋体" w:hAnsi="宋体"/>
                <w:szCs w:val="21"/>
              </w:rPr>
            </w:pPr>
          </w:p>
        </w:tc>
        <w:tc>
          <w:tcPr>
            <w:tcW w:w="709" w:type="dxa"/>
            <w:shd w:val="clear" w:color="auto" w:fill="auto"/>
            <w:vAlign w:val="center"/>
          </w:tcPr>
          <w:p w14:paraId="72A5C78F">
            <w:pPr>
              <w:autoSpaceDN w:val="0"/>
              <w:jc w:val="center"/>
              <w:rPr>
                <w:rFonts w:ascii="宋体" w:hAnsi="宋体"/>
                <w:szCs w:val="21"/>
              </w:rPr>
            </w:pPr>
          </w:p>
        </w:tc>
        <w:tc>
          <w:tcPr>
            <w:tcW w:w="664" w:type="dxa"/>
            <w:vAlign w:val="center"/>
          </w:tcPr>
          <w:p w14:paraId="5A19D036">
            <w:pPr>
              <w:autoSpaceDN w:val="0"/>
              <w:jc w:val="center"/>
              <w:rPr>
                <w:rFonts w:ascii="宋体" w:hAnsi="宋体"/>
                <w:szCs w:val="21"/>
              </w:rPr>
            </w:pPr>
          </w:p>
        </w:tc>
        <w:tc>
          <w:tcPr>
            <w:tcW w:w="1179" w:type="dxa"/>
            <w:vAlign w:val="center"/>
          </w:tcPr>
          <w:p w14:paraId="21610362">
            <w:pPr>
              <w:autoSpaceDN w:val="0"/>
              <w:jc w:val="center"/>
              <w:rPr>
                <w:rFonts w:ascii="宋体" w:hAnsi="宋体"/>
                <w:szCs w:val="21"/>
              </w:rPr>
            </w:pPr>
          </w:p>
        </w:tc>
        <w:tc>
          <w:tcPr>
            <w:tcW w:w="1057" w:type="dxa"/>
            <w:vAlign w:val="center"/>
          </w:tcPr>
          <w:p w14:paraId="7448ED08">
            <w:pPr>
              <w:autoSpaceDN w:val="0"/>
              <w:jc w:val="center"/>
              <w:rPr>
                <w:rFonts w:ascii="宋体" w:hAnsi="宋体"/>
                <w:szCs w:val="21"/>
              </w:rPr>
            </w:pPr>
          </w:p>
        </w:tc>
        <w:tc>
          <w:tcPr>
            <w:tcW w:w="1134" w:type="dxa"/>
            <w:vAlign w:val="center"/>
          </w:tcPr>
          <w:p w14:paraId="334AC7DB">
            <w:pPr>
              <w:autoSpaceDN w:val="0"/>
              <w:jc w:val="center"/>
              <w:rPr>
                <w:rFonts w:ascii="宋体" w:hAnsi="宋体"/>
                <w:szCs w:val="21"/>
              </w:rPr>
            </w:pPr>
          </w:p>
        </w:tc>
        <w:tc>
          <w:tcPr>
            <w:tcW w:w="1134" w:type="dxa"/>
            <w:vAlign w:val="center"/>
          </w:tcPr>
          <w:p w14:paraId="3792DD98">
            <w:pPr>
              <w:autoSpaceDN w:val="0"/>
              <w:jc w:val="center"/>
              <w:rPr>
                <w:rFonts w:ascii="宋体" w:hAnsi="宋体"/>
                <w:szCs w:val="21"/>
              </w:rPr>
            </w:pPr>
          </w:p>
        </w:tc>
        <w:tc>
          <w:tcPr>
            <w:tcW w:w="1134" w:type="dxa"/>
            <w:vAlign w:val="center"/>
          </w:tcPr>
          <w:p w14:paraId="51D694A6">
            <w:pPr>
              <w:autoSpaceDN w:val="0"/>
              <w:jc w:val="center"/>
              <w:rPr>
                <w:rFonts w:ascii="宋体" w:hAnsi="宋体"/>
                <w:szCs w:val="21"/>
              </w:rPr>
            </w:pPr>
          </w:p>
        </w:tc>
        <w:tc>
          <w:tcPr>
            <w:tcW w:w="698" w:type="dxa"/>
            <w:vAlign w:val="center"/>
          </w:tcPr>
          <w:p w14:paraId="5BD15241">
            <w:pPr>
              <w:autoSpaceDN w:val="0"/>
              <w:jc w:val="center"/>
              <w:rPr>
                <w:rFonts w:ascii="宋体" w:hAnsi="宋体"/>
                <w:szCs w:val="21"/>
              </w:rPr>
            </w:pPr>
          </w:p>
        </w:tc>
        <w:tc>
          <w:tcPr>
            <w:tcW w:w="698" w:type="dxa"/>
            <w:vAlign w:val="center"/>
          </w:tcPr>
          <w:p w14:paraId="5525E113">
            <w:pPr>
              <w:autoSpaceDN w:val="0"/>
              <w:jc w:val="center"/>
              <w:rPr>
                <w:rFonts w:ascii="宋体" w:hAnsi="宋体"/>
                <w:szCs w:val="21"/>
              </w:rPr>
            </w:pPr>
          </w:p>
        </w:tc>
      </w:tr>
      <w:tr w14:paraId="07B8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67" w:type="dxa"/>
            <w:vAlign w:val="center"/>
          </w:tcPr>
          <w:p w14:paraId="73C464CB">
            <w:pPr>
              <w:autoSpaceDN w:val="0"/>
              <w:jc w:val="center"/>
              <w:rPr>
                <w:rFonts w:ascii="宋体" w:hAnsi="宋体"/>
                <w:szCs w:val="21"/>
              </w:rPr>
            </w:pPr>
          </w:p>
        </w:tc>
        <w:tc>
          <w:tcPr>
            <w:tcW w:w="794" w:type="dxa"/>
            <w:vAlign w:val="center"/>
          </w:tcPr>
          <w:p w14:paraId="3B7AEAED">
            <w:pPr>
              <w:autoSpaceDN w:val="0"/>
              <w:jc w:val="center"/>
              <w:rPr>
                <w:rFonts w:ascii="宋体" w:hAnsi="宋体"/>
                <w:szCs w:val="21"/>
              </w:rPr>
            </w:pPr>
          </w:p>
        </w:tc>
        <w:tc>
          <w:tcPr>
            <w:tcW w:w="1077" w:type="dxa"/>
            <w:vAlign w:val="center"/>
          </w:tcPr>
          <w:p w14:paraId="1D1DAA38">
            <w:pPr>
              <w:autoSpaceDN w:val="0"/>
              <w:jc w:val="center"/>
              <w:rPr>
                <w:rFonts w:ascii="宋体" w:hAnsi="宋体"/>
                <w:szCs w:val="21"/>
              </w:rPr>
            </w:pPr>
          </w:p>
        </w:tc>
        <w:tc>
          <w:tcPr>
            <w:tcW w:w="1191" w:type="dxa"/>
            <w:vAlign w:val="center"/>
          </w:tcPr>
          <w:p w14:paraId="3B289ED2">
            <w:pPr>
              <w:autoSpaceDN w:val="0"/>
              <w:jc w:val="center"/>
              <w:rPr>
                <w:rFonts w:ascii="宋体" w:hAnsi="宋体"/>
                <w:szCs w:val="21"/>
              </w:rPr>
            </w:pPr>
          </w:p>
        </w:tc>
        <w:tc>
          <w:tcPr>
            <w:tcW w:w="697" w:type="dxa"/>
            <w:vAlign w:val="center"/>
          </w:tcPr>
          <w:p w14:paraId="2A356798">
            <w:pPr>
              <w:autoSpaceDN w:val="0"/>
              <w:jc w:val="center"/>
              <w:rPr>
                <w:rFonts w:ascii="宋体" w:hAnsi="宋体"/>
                <w:szCs w:val="21"/>
              </w:rPr>
            </w:pPr>
          </w:p>
        </w:tc>
        <w:tc>
          <w:tcPr>
            <w:tcW w:w="851" w:type="dxa"/>
            <w:vAlign w:val="center"/>
          </w:tcPr>
          <w:p w14:paraId="614D7B5A">
            <w:pPr>
              <w:autoSpaceDN w:val="0"/>
              <w:jc w:val="center"/>
              <w:rPr>
                <w:rFonts w:ascii="宋体" w:hAnsi="宋体"/>
                <w:szCs w:val="21"/>
              </w:rPr>
            </w:pPr>
          </w:p>
        </w:tc>
        <w:tc>
          <w:tcPr>
            <w:tcW w:w="708" w:type="dxa"/>
            <w:vAlign w:val="center"/>
          </w:tcPr>
          <w:p w14:paraId="63DDE9A9">
            <w:pPr>
              <w:autoSpaceDN w:val="0"/>
              <w:jc w:val="center"/>
              <w:rPr>
                <w:rFonts w:ascii="宋体" w:hAnsi="宋体"/>
                <w:szCs w:val="21"/>
              </w:rPr>
            </w:pPr>
          </w:p>
        </w:tc>
        <w:tc>
          <w:tcPr>
            <w:tcW w:w="709" w:type="dxa"/>
            <w:shd w:val="clear" w:color="auto" w:fill="auto"/>
            <w:vAlign w:val="center"/>
          </w:tcPr>
          <w:p w14:paraId="24EE2F06">
            <w:pPr>
              <w:autoSpaceDN w:val="0"/>
              <w:jc w:val="center"/>
              <w:rPr>
                <w:rFonts w:ascii="宋体" w:hAnsi="宋体"/>
                <w:szCs w:val="21"/>
              </w:rPr>
            </w:pPr>
          </w:p>
        </w:tc>
        <w:tc>
          <w:tcPr>
            <w:tcW w:w="664" w:type="dxa"/>
            <w:vAlign w:val="center"/>
          </w:tcPr>
          <w:p w14:paraId="5BFF56D8">
            <w:pPr>
              <w:autoSpaceDN w:val="0"/>
              <w:jc w:val="center"/>
              <w:rPr>
                <w:rFonts w:ascii="宋体" w:hAnsi="宋体"/>
                <w:szCs w:val="21"/>
              </w:rPr>
            </w:pPr>
          </w:p>
        </w:tc>
        <w:tc>
          <w:tcPr>
            <w:tcW w:w="1179" w:type="dxa"/>
            <w:vAlign w:val="center"/>
          </w:tcPr>
          <w:p w14:paraId="1751888F">
            <w:pPr>
              <w:autoSpaceDN w:val="0"/>
              <w:jc w:val="center"/>
              <w:rPr>
                <w:rFonts w:ascii="宋体" w:hAnsi="宋体"/>
                <w:szCs w:val="21"/>
              </w:rPr>
            </w:pPr>
          </w:p>
        </w:tc>
        <w:tc>
          <w:tcPr>
            <w:tcW w:w="1057" w:type="dxa"/>
            <w:vAlign w:val="center"/>
          </w:tcPr>
          <w:p w14:paraId="072DF697">
            <w:pPr>
              <w:autoSpaceDN w:val="0"/>
              <w:jc w:val="center"/>
              <w:rPr>
                <w:rFonts w:ascii="宋体" w:hAnsi="宋体"/>
                <w:szCs w:val="21"/>
              </w:rPr>
            </w:pPr>
          </w:p>
        </w:tc>
        <w:tc>
          <w:tcPr>
            <w:tcW w:w="1134" w:type="dxa"/>
            <w:vAlign w:val="center"/>
          </w:tcPr>
          <w:p w14:paraId="69828328">
            <w:pPr>
              <w:autoSpaceDN w:val="0"/>
              <w:jc w:val="center"/>
              <w:rPr>
                <w:rFonts w:ascii="宋体" w:hAnsi="宋体"/>
                <w:szCs w:val="21"/>
              </w:rPr>
            </w:pPr>
          </w:p>
        </w:tc>
        <w:tc>
          <w:tcPr>
            <w:tcW w:w="1134" w:type="dxa"/>
            <w:vAlign w:val="center"/>
          </w:tcPr>
          <w:p w14:paraId="79B0D416">
            <w:pPr>
              <w:autoSpaceDN w:val="0"/>
              <w:jc w:val="center"/>
              <w:rPr>
                <w:rFonts w:ascii="宋体" w:hAnsi="宋体"/>
                <w:szCs w:val="21"/>
              </w:rPr>
            </w:pPr>
          </w:p>
        </w:tc>
        <w:tc>
          <w:tcPr>
            <w:tcW w:w="1134" w:type="dxa"/>
            <w:vAlign w:val="center"/>
          </w:tcPr>
          <w:p w14:paraId="60A29291">
            <w:pPr>
              <w:autoSpaceDN w:val="0"/>
              <w:jc w:val="center"/>
              <w:rPr>
                <w:rFonts w:ascii="宋体" w:hAnsi="宋体"/>
                <w:szCs w:val="21"/>
              </w:rPr>
            </w:pPr>
          </w:p>
        </w:tc>
        <w:tc>
          <w:tcPr>
            <w:tcW w:w="698" w:type="dxa"/>
            <w:vAlign w:val="center"/>
          </w:tcPr>
          <w:p w14:paraId="1B6B150A">
            <w:pPr>
              <w:autoSpaceDN w:val="0"/>
              <w:jc w:val="center"/>
              <w:rPr>
                <w:rFonts w:ascii="宋体" w:hAnsi="宋体"/>
                <w:szCs w:val="21"/>
              </w:rPr>
            </w:pPr>
          </w:p>
        </w:tc>
        <w:tc>
          <w:tcPr>
            <w:tcW w:w="698" w:type="dxa"/>
            <w:vAlign w:val="center"/>
          </w:tcPr>
          <w:p w14:paraId="2D321BF2">
            <w:pPr>
              <w:autoSpaceDN w:val="0"/>
              <w:jc w:val="center"/>
              <w:rPr>
                <w:rFonts w:ascii="宋体" w:hAnsi="宋体"/>
                <w:szCs w:val="21"/>
              </w:rPr>
            </w:pPr>
          </w:p>
        </w:tc>
      </w:tr>
      <w:tr w14:paraId="72A3D06D">
        <w:tblPrEx>
          <w:tblCellMar>
            <w:top w:w="0" w:type="dxa"/>
            <w:left w:w="108" w:type="dxa"/>
            <w:bottom w:w="0" w:type="dxa"/>
            <w:right w:w="108" w:type="dxa"/>
          </w:tblCellMar>
        </w:tblPrEx>
        <w:trPr>
          <w:trHeight w:val="1158" w:hRule="atLeast"/>
          <w:jc w:val="center"/>
        </w:trPr>
        <w:tc>
          <w:tcPr>
            <w:tcW w:w="567" w:type="dxa"/>
            <w:vAlign w:val="center"/>
          </w:tcPr>
          <w:p w14:paraId="740F0E4B">
            <w:pPr>
              <w:autoSpaceDN w:val="0"/>
              <w:jc w:val="center"/>
              <w:rPr>
                <w:rFonts w:ascii="宋体" w:hAnsi="宋体"/>
                <w:szCs w:val="21"/>
              </w:rPr>
            </w:pPr>
          </w:p>
        </w:tc>
        <w:tc>
          <w:tcPr>
            <w:tcW w:w="794" w:type="dxa"/>
            <w:vAlign w:val="center"/>
          </w:tcPr>
          <w:p w14:paraId="5A89F1C4">
            <w:pPr>
              <w:autoSpaceDN w:val="0"/>
              <w:jc w:val="center"/>
              <w:rPr>
                <w:rFonts w:ascii="宋体" w:hAnsi="宋体"/>
                <w:szCs w:val="21"/>
              </w:rPr>
            </w:pPr>
          </w:p>
        </w:tc>
        <w:tc>
          <w:tcPr>
            <w:tcW w:w="1077" w:type="dxa"/>
            <w:vAlign w:val="center"/>
          </w:tcPr>
          <w:p w14:paraId="52858FB0">
            <w:pPr>
              <w:autoSpaceDN w:val="0"/>
              <w:jc w:val="center"/>
              <w:rPr>
                <w:rFonts w:ascii="宋体" w:hAnsi="宋体"/>
                <w:szCs w:val="21"/>
              </w:rPr>
            </w:pPr>
          </w:p>
        </w:tc>
        <w:tc>
          <w:tcPr>
            <w:tcW w:w="1191" w:type="dxa"/>
            <w:vAlign w:val="center"/>
          </w:tcPr>
          <w:p w14:paraId="41432DB4">
            <w:pPr>
              <w:autoSpaceDN w:val="0"/>
              <w:jc w:val="center"/>
              <w:rPr>
                <w:rFonts w:ascii="宋体" w:hAnsi="宋体"/>
                <w:szCs w:val="21"/>
              </w:rPr>
            </w:pPr>
          </w:p>
        </w:tc>
        <w:tc>
          <w:tcPr>
            <w:tcW w:w="697" w:type="dxa"/>
            <w:vAlign w:val="center"/>
          </w:tcPr>
          <w:p w14:paraId="0CFCFE8C">
            <w:pPr>
              <w:autoSpaceDN w:val="0"/>
              <w:jc w:val="center"/>
              <w:rPr>
                <w:rFonts w:ascii="宋体" w:hAnsi="宋体"/>
                <w:szCs w:val="21"/>
              </w:rPr>
            </w:pPr>
          </w:p>
        </w:tc>
        <w:tc>
          <w:tcPr>
            <w:tcW w:w="851" w:type="dxa"/>
            <w:vAlign w:val="center"/>
          </w:tcPr>
          <w:p w14:paraId="3DC910CC">
            <w:pPr>
              <w:autoSpaceDN w:val="0"/>
              <w:jc w:val="center"/>
              <w:rPr>
                <w:rFonts w:ascii="宋体" w:hAnsi="宋体"/>
                <w:szCs w:val="21"/>
              </w:rPr>
            </w:pPr>
          </w:p>
        </w:tc>
        <w:tc>
          <w:tcPr>
            <w:tcW w:w="708" w:type="dxa"/>
            <w:vAlign w:val="center"/>
          </w:tcPr>
          <w:p w14:paraId="7B496A11">
            <w:pPr>
              <w:autoSpaceDN w:val="0"/>
              <w:jc w:val="center"/>
              <w:rPr>
                <w:rFonts w:ascii="宋体" w:hAnsi="宋体"/>
                <w:szCs w:val="21"/>
              </w:rPr>
            </w:pPr>
          </w:p>
        </w:tc>
        <w:tc>
          <w:tcPr>
            <w:tcW w:w="709" w:type="dxa"/>
            <w:shd w:val="clear" w:color="auto" w:fill="auto"/>
            <w:vAlign w:val="center"/>
          </w:tcPr>
          <w:p w14:paraId="34756293">
            <w:pPr>
              <w:autoSpaceDN w:val="0"/>
              <w:jc w:val="center"/>
              <w:rPr>
                <w:rFonts w:ascii="宋体" w:hAnsi="宋体"/>
                <w:szCs w:val="21"/>
              </w:rPr>
            </w:pPr>
          </w:p>
        </w:tc>
        <w:tc>
          <w:tcPr>
            <w:tcW w:w="664" w:type="dxa"/>
            <w:vAlign w:val="center"/>
          </w:tcPr>
          <w:p w14:paraId="5B464126">
            <w:pPr>
              <w:autoSpaceDN w:val="0"/>
              <w:jc w:val="center"/>
              <w:rPr>
                <w:rFonts w:ascii="宋体" w:hAnsi="宋体"/>
                <w:szCs w:val="21"/>
              </w:rPr>
            </w:pPr>
          </w:p>
        </w:tc>
        <w:tc>
          <w:tcPr>
            <w:tcW w:w="1179" w:type="dxa"/>
            <w:vAlign w:val="center"/>
          </w:tcPr>
          <w:p w14:paraId="3C57A4E4">
            <w:pPr>
              <w:autoSpaceDN w:val="0"/>
              <w:jc w:val="center"/>
              <w:rPr>
                <w:rFonts w:ascii="宋体" w:hAnsi="宋体"/>
                <w:szCs w:val="21"/>
              </w:rPr>
            </w:pPr>
          </w:p>
        </w:tc>
        <w:tc>
          <w:tcPr>
            <w:tcW w:w="1057" w:type="dxa"/>
            <w:vAlign w:val="center"/>
          </w:tcPr>
          <w:p w14:paraId="5A24A105">
            <w:pPr>
              <w:autoSpaceDN w:val="0"/>
              <w:jc w:val="center"/>
              <w:rPr>
                <w:rFonts w:ascii="宋体" w:hAnsi="宋体"/>
                <w:szCs w:val="21"/>
              </w:rPr>
            </w:pPr>
          </w:p>
        </w:tc>
        <w:tc>
          <w:tcPr>
            <w:tcW w:w="1134" w:type="dxa"/>
            <w:vAlign w:val="center"/>
          </w:tcPr>
          <w:p w14:paraId="47CD63B2">
            <w:pPr>
              <w:autoSpaceDN w:val="0"/>
              <w:jc w:val="center"/>
              <w:rPr>
                <w:rFonts w:ascii="宋体" w:hAnsi="宋体"/>
                <w:szCs w:val="21"/>
              </w:rPr>
            </w:pPr>
          </w:p>
        </w:tc>
        <w:tc>
          <w:tcPr>
            <w:tcW w:w="1134" w:type="dxa"/>
            <w:vAlign w:val="center"/>
          </w:tcPr>
          <w:p w14:paraId="1AE99388">
            <w:pPr>
              <w:autoSpaceDN w:val="0"/>
              <w:jc w:val="center"/>
              <w:rPr>
                <w:rFonts w:ascii="宋体" w:hAnsi="宋体"/>
                <w:szCs w:val="21"/>
              </w:rPr>
            </w:pPr>
          </w:p>
        </w:tc>
        <w:tc>
          <w:tcPr>
            <w:tcW w:w="1134" w:type="dxa"/>
            <w:vAlign w:val="center"/>
          </w:tcPr>
          <w:p w14:paraId="4B9E7814">
            <w:pPr>
              <w:autoSpaceDN w:val="0"/>
              <w:jc w:val="center"/>
              <w:rPr>
                <w:rFonts w:ascii="宋体" w:hAnsi="宋体"/>
                <w:szCs w:val="21"/>
              </w:rPr>
            </w:pPr>
          </w:p>
        </w:tc>
        <w:tc>
          <w:tcPr>
            <w:tcW w:w="698" w:type="dxa"/>
            <w:vAlign w:val="center"/>
          </w:tcPr>
          <w:p w14:paraId="6CA64DEB">
            <w:pPr>
              <w:autoSpaceDN w:val="0"/>
              <w:jc w:val="center"/>
              <w:rPr>
                <w:rFonts w:ascii="宋体" w:hAnsi="宋体"/>
                <w:szCs w:val="21"/>
              </w:rPr>
            </w:pPr>
          </w:p>
        </w:tc>
        <w:tc>
          <w:tcPr>
            <w:tcW w:w="698" w:type="dxa"/>
            <w:vAlign w:val="center"/>
          </w:tcPr>
          <w:p w14:paraId="16696AF7">
            <w:pPr>
              <w:autoSpaceDN w:val="0"/>
              <w:jc w:val="center"/>
              <w:rPr>
                <w:rFonts w:ascii="宋体" w:hAnsi="宋体"/>
                <w:szCs w:val="21"/>
              </w:rPr>
            </w:pPr>
          </w:p>
        </w:tc>
      </w:tr>
      <w:tr w14:paraId="3D48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67" w:type="dxa"/>
            <w:vAlign w:val="center"/>
          </w:tcPr>
          <w:p w14:paraId="6D279020">
            <w:pPr>
              <w:autoSpaceDN w:val="0"/>
              <w:jc w:val="center"/>
              <w:rPr>
                <w:rFonts w:ascii="宋体" w:hAnsi="宋体"/>
                <w:szCs w:val="21"/>
              </w:rPr>
            </w:pPr>
          </w:p>
        </w:tc>
        <w:tc>
          <w:tcPr>
            <w:tcW w:w="794" w:type="dxa"/>
            <w:vAlign w:val="center"/>
          </w:tcPr>
          <w:p w14:paraId="0D3CD65B">
            <w:pPr>
              <w:autoSpaceDN w:val="0"/>
              <w:jc w:val="center"/>
              <w:rPr>
                <w:rFonts w:ascii="宋体" w:hAnsi="宋体"/>
                <w:szCs w:val="21"/>
              </w:rPr>
            </w:pPr>
          </w:p>
        </w:tc>
        <w:tc>
          <w:tcPr>
            <w:tcW w:w="1077" w:type="dxa"/>
            <w:vAlign w:val="center"/>
          </w:tcPr>
          <w:p w14:paraId="13B4FBFB">
            <w:pPr>
              <w:autoSpaceDN w:val="0"/>
              <w:jc w:val="center"/>
              <w:rPr>
                <w:rFonts w:ascii="宋体" w:hAnsi="宋体"/>
                <w:szCs w:val="21"/>
              </w:rPr>
            </w:pPr>
          </w:p>
        </w:tc>
        <w:tc>
          <w:tcPr>
            <w:tcW w:w="1191" w:type="dxa"/>
            <w:vAlign w:val="center"/>
          </w:tcPr>
          <w:p w14:paraId="7DEEF1BC">
            <w:pPr>
              <w:autoSpaceDN w:val="0"/>
              <w:jc w:val="center"/>
              <w:rPr>
                <w:rFonts w:ascii="宋体" w:hAnsi="宋体"/>
                <w:szCs w:val="21"/>
              </w:rPr>
            </w:pPr>
          </w:p>
        </w:tc>
        <w:tc>
          <w:tcPr>
            <w:tcW w:w="697" w:type="dxa"/>
            <w:vAlign w:val="center"/>
          </w:tcPr>
          <w:p w14:paraId="0CC0A5C4">
            <w:pPr>
              <w:autoSpaceDN w:val="0"/>
              <w:jc w:val="center"/>
              <w:rPr>
                <w:rFonts w:ascii="宋体" w:hAnsi="宋体"/>
                <w:szCs w:val="21"/>
              </w:rPr>
            </w:pPr>
          </w:p>
        </w:tc>
        <w:tc>
          <w:tcPr>
            <w:tcW w:w="851" w:type="dxa"/>
            <w:vAlign w:val="center"/>
          </w:tcPr>
          <w:p w14:paraId="629DF644">
            <w:pPr>
              <w:autoSpaceDN w:val="0"/>
              <w:jc w:val="center"/>
              <w:rPr>
                <w:rFonts w:ascii="宋体" w:hAnsi="宋体"/>
                <w:szCs w:val="21"/>
              </w:rPr>
            </w:pPr>
          </w:p>
        </w:tc>
        <w:tc>
          <w:tcPr>
            <w:tcW w:w="708" w:type="dxa"/>
            <w:vAlign w:val="center"/>
          </w:tcPr>
          <w:p w14:paraId="28E405BD">
            <w:pPr>
              <w:autoSpaceDN w:val="0"/>
              <w:jc w:val="center"/>
              <w:rPr>
                <w:rFonts w:ascii="宋体" w:hAnsi="宋体"/>
                <w:szCs w:val="21"/>
              </w:rPr>
            </w:pPr>
          </w:p>
        </w:tc>
        <w:tc>
          <w:tcPr>
            <w:tcW w:w="709" w:type="dxa"/>
            <w:shd w:val="clear" w:color="auto" w:fill="auto"/>
            <w:vAlign w:val="center"/>
          </w:tcPr>
          <w:p w14:paraId="7E6531F6">
            <w:pPr>
              <w:autoSpaceDN w:val="0"/>
              <w:jc w:val="center"/>
              <w:rPr>
                <w:rFonts w:ascii="宋体" w:hAnsi="宋体"/>
                <w:szCs w:val="21"/>
              </w:rPr>
            </w:pPr>
          </w:p>
        </w:tc>
        <w:tc>
          <w:tcPr>
            <w:tcW w:w="664" w:type="dxa"/>
            <w:vAlign w:val="center"/>
          </w:tcPr>
          <w:p w14:paraId="31487D24">
            <w:pPr>
              <w:autoSpaceDN w:val="0"/>
              <w:jc w:val="center"/>
              <w:rPr>
                <w:rFonts w:ascii="宋体" w:hAnsi="宋体"/>
                <w:szCs w:val="21"/>
              </w:rPr>
            </w:pPr>
          </w:p>
        </w:tc>
        <w:tc>
          <w:tcPr>
            <w:tcW w:w="1179" w:type="dxa"/>
            <w:vAlign w:val="center"/>
          </w:tcPr>
          <w:p w14:paraId="0206B96C">
            <w:pPr>
              <w:autoSpaceDN w:val="0"/>
              <w:jc w:val="center"/>
              <w:rPr>
                <w:rFonts w:ascii="宋体" w:hAnsi="宋体"/>
                <w:szCs w:val="21"/>
              </w:rPr>
            </w:pPr>
          </w:p>
        </w:tc>
        <w:tc>
          <w:tcPr>
            <w:tcW w:w="1057" w:type="dxa"/>
            <w:vAlign w:val="center"/>
          </w:tcPr>
          <w:p w14:paraId="04C26224">
            <w:pPr>
              <w:autoSpaceDN w:val="0"/>
              <w:jc w:val="center"/>
              <w:rPr>
                <w:rFonts w:ascii="宋体" w:hAnsi="宋体"/>
                <w:szCs w:val="21"/>
              </w:rPr>
            </w:pPr>
          </w:p>
        </w:tc>
        <w:tc>
          <w:tcPr>
            <w:tcW w:w="1134" w:type="dxa"/>
            <w:vAlign w:val="center"/>
          </w:tcPr>
          <w:p w14:paraId="74A779F6">
            <w:pPr>
              <w:autoSpaceDN w:val="0"/>
              <w:jc w:val="center"/>
              <w:rPr>
                <w:rFonts w:ascii="宋体" w:hAnsi="宋体"/>
                <w:szCs w:val="21"/>
              </w:rPr>
            </w:pPr>
          </w:p>
        </w:tc>
        <w:tc>
          <w:tcPr>
            <w:tcW w:w="1134" w:type="dxa"/>
            <w:vAlign w:val="center"/>
          </w:tcPr>
          <w:p w14:paraId="21A93344">
            <w:pPr>
              <w:autoSpaceDN w:val="0"/>
              <w:jc w:val="center"/>
              <w:rPr>
                <w:rFonts w:ascii="宋体" w:hAnsi="宋体"/>
                <w:szCs w:val="21"/>
              </w:rPr>
            </w:pPr>
          </w:p>
        </w:tc>
        <w:tc>
          <w:tcPr>
            <w:tcW w:w="1134" w:type="dxa"/>
            <w:vAlign w:val="center"/>
          </w:tcPr>
          <w:p w14:paraId="2FBF1D6A">
            <w:pPr>
              <w:autoSpaceDN w:val="0"/>
              <w:jc w:val="center"/>
              <w:rPr>
                <w:rFonts w:ascii="宋体" w:hAnsi="宋体"/>
                <w:szCs w:val="21"/>
              </w:rPr>
            </w:pPr>
          </w:p>
        </w:tc>
        <w:tc>
          <w:tcPr>
            <w:tcW w:w="698" w:type="dxa"/>
            <w:vAlign w:val="center"/>
          </w:tcPr>
          <w:p w14:paraId="3DC2890F">
            <w:pPr>
              <w:autoSpaceDN w:val="0"/>
              <w:jc w:val="center"/>
              <w:rPr>
                <w:rFonts w:ascii="宋体" w:hAnsi="宋体"/>
                <w:szCs w:val="21"/>
              </w:rPr>
            </w:pPr>
          </w:p>
        </w:tc>
        <w:tc>
          <w:tcPr>
            <w:tcW w:w="698" w:type="dxa"/>
            <w:vAlign w:val="center"/>
          </w:tcPr>
          <w:p w14:paraId="51CD24D8">
            <w:pPr>
              <w:autoSpaceDN w:val="0"/>
              <w:jc w:val="center"/>
              <w:rPr>
                <w:rFonts w:ascii="宋体" w:hAnsi="宋体"/>
                <w:szCs w:val="21"/>
              </w:rPr>
            </w:pPr>
          </w:p>
        </w:tc>
      </w:tr>
    </w:tbl>
    <w:p w14:paraId="40A73CC8"/>
    <w:sectPr>
      <w:pgSz w:w="16838" w:h="11906" w:orient="landscape"/>
      <w:pgMar w:top="1418" w:right="1871"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0BD">
    <w:pPr>
      <w:pStyle w:val="1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AD21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8AD21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2615813"/>
      <w:docPartObj>
        <w:docPartGallery w:val="autotext"/>
      </w:docPartObj>
    </w:sdtPr>
    <w:sdtContent>
      <w:p w14:paraId="25AC22F0">
        <w:pPr>
          <w:pStyle w:val="12"/>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375"/>
    </w:sdtPr>
    <w:sdtEndPr>
      <w:rPr>
        <w:rFonts w:asciiTheme="minorEastAsia" w:hAnsiTheme="minorEastAsia" w:eastAsiaTheme="minorEastAsia"/>
      </w:rPr>
    </w:sdtEndPr>
    <w:sdtContent>
      <w:p w14:paraId="5995A793">
        <w:pPr>
          <w:pStyle w:val="12"/>
          <w:jc w:val="both"/>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8B155">
    <w:pPr>
      <w:pStyle w:val="12"/>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B9A3A">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EEB9A3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117389"/>
      <w:docPartObj>
        <w:docPartGallery w:val="autotext"/>
      </w:docPartObj>
    </w:sdtPr>
    <w:sdtContent>
      <w:p w14:paraId="7B2856C5">
        <w:pPr>
          <w:pStyle w:val="12"/>
          <w:jc w:val="left"/>
        </w:pPr>
        <w:r>
          <w:fldChar w:fldCharType="begin"/>
        </w:r>
        <w:r>
          <w:instrText xml:space="preserve">PAGE   \* MERGEFORMAT</w:instrText>
        </w:r>
        <w:r>
          <w:fldChar w:fldCharType="separate"/>
        </w:r>
        <w:r>
          <w:rPr>
            <w:lang w:val="zh-CN"/>
          </w:rPr>
          <w:t>2</w:t>
        </w:r>
        <w:r>
          <w:fldChar w:fldCharType="end"/>
        </w:r>
      </w:p>
    </w:sdtContent>
  </w:sdt>
  <w:p w14:paraId="235F6D6B">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75EE">
    <w:pPr>
      <w:widowControl w:val="0"/>
      <w:snapToGrid w:val="0"/>
      <w:spacing w:after="120"/>
      <w:jc w:val="both"/>
      <w:rPr>
        <w:rFonts w:hint="eastAsia" w:ascii="黑体" w:hAnsi="黑体" w:eastAsia="黑体" w:cs="Times New Roman"/>
        <w:kern w:val="2"/>
        <w:sz w:val="21"/>
        <w:szCs w:val="21"/>
        <w:lang w:val="en-US" w:eastAsia="zh-CN" w:bidi="ar-SA"/>
      </w:rPr>
    </w:pPr>
    <w:r>
      <w:rPr>
        <w:rFonts w:ascii="黑体" w:hAnsi="黑体" w:eastAsia="黑体" w:cs="Times New Roman"/>
        <w:kern w:val="2"/>
        <w:sz w:val="21"/>
        <w:szCs w:val="21"/>
        <w:lang w:val="en-US" w:eastAsia="zh-CN" w:bidi="ar-SA"/>
      </w:rPr>
      <w:t xml:space="preserve">DB 21/T </w:t>
    </w:r>
    <w:r>
      <w:rPr>
        <w:rFonts w:hint="eastAsia" w:ascii="黑体" w:hAnsi="黑体" w:eastAsia="黑体" w:cs="Times New Roman"/>
        <w:kern w:val="2"/>
        <w:sz w:val="21"/>
        <w:szCs w:val="21"/>
        <w:lang w:val="en-US" w:eastAsia="zh-CN" w:bidi="ar-SA"/>
      </w:rPr>
      <w:t>XXXX</w:t>
    </w:r>
    <w:r>
      <w:rPr>
        <w:rFonts w:ascii="黑体" w:hAnsi="黑体" w:eastAsia="黑体" w:cs="Times New Roman"/>
        <w:kern w:val="2"/>
        <w:sz w:val="21"/>
        <w:szCs w:val="21"/>
        <w:lang w:val="en-US" w:eastAsia="zh-CN" w:bidi="ar-SA"/>
      </w:rPr>
      <w:t>—202</w:t>
    </w:r>
    <w:r>
      <w:rPr>
        <w:rFonts w:hint="eastAsia" w:ascii="黑体" w:hAnsi="黑体" w:eastAsia="黑体" w:cs="Times New Roman"/>
        <w:kern w:val="2"/>
        <w:sz w:val="21"/>
        <w:szCs w:val="21"/>
        <w:lang w:val="en-US" w:eastAsia="zh-CN" w:bidi="ar-SA"/>
      </w:rPr>
      <w:t>5</w:t>
    </w:r>
  </w:p>
  <w:p w14:paraId="7A4DF424">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9423">
    <w:pPr>
      <w:widowControl w:val="0"/>
      <w:snapToGrid w:val="0"/>
      <w:spacing w:after="120"/>
      <w:jc w:val="right"/>
      <w:rPr>
        <w:rFonts w:hint="eastAsia" w:ascii="黑体" w:hAnsi="黑体" w:eastAsia="黑体" w:cs="Times New Roman"/>
        <w:kern w:val="2"/>
        <w:sz w:val="21"/>
        <w:szCs w:val="21"/>
        <w:lang w:val="en-US" w:eastAsia="zh-CN" w:bidi="ar-SA"/>
      </w:rPr>
    </w:pPr>
    <w:r>
      <w:rPr>
        <w:rFonts w:ascii="黑体" w:hAnsi="黑体" w:eastAsia="黑体" w:cs="Times New Roman"/>
        <w:kern w:val="2"/>
        <w:sz w:val="21"/>
        <w:szCs w:val="21"/>
        <w:lang w:val="en-US" w:eastAsia="zh-CN" w:bidi="ar-SA"/>
      </w:rPr>
      <w:t xml:space="preserve">DB 21/T </w:t>
    </w:r>
    <w:r>
      <w:rPr>
        <w:rFonts w:hint="eastAsia" w:ascii="黑体" w:hAnsi="黑体" w:eastAsia="黑体" w:cs="Times New Roman"/>
        <w:kern w:val="2"/>
        <w:sz w:val="21"/>
        <w:szCs w:val="21"/>
        <w:lang w:val="en-US" w:eastAsia="zh-CN" w:bidi="ar-SA"/>
      </w:rPr>
      <w:t>XXXX</w:t>
    </w:r>
    <w:r>
      <w:rPr>
        <w:rFonts w:ascii="黑体" w:hAnsi="黑体" w:eastAsia="黑体" w:cs="Times New Roman"/>
        <w:kern w:val="2"/>
        <w:sz w:val="21"/>
        <w:szCs w:val="21"/>
        <w:lang w:val="en-US" w:eastAsia="zh-CN" w:bidi="ar-SA"/>
      </w:rPr>
      <w:t>—202</w:t>
    </w:r>
    <w:r>
      <w:rPr>
        <w:rFonts w:hint="eastAsia" w:ascii="黑体" w:hAnsi="黑体" w:eastAsia="黑体" w:cs="Times New Roman"/>
        <w:kern w:val="2"/>
        <w:sz w:val="21"/>
        <w:szCs w:val="21"/>
        <w:lang w:val="en-US" w:eastAsia="zh-CN" w:bidi="ar-SA"/>
      </w:rPr>
      <w:t>5</w:t>
    </w:r>
  </w:p>
  <w:p w14:paraId="083D0917">
    <w:pPr>
      <w:pStyle w:val="1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709B">
    <w:pPr>
      <w:widowControl w:val="0"/>
      <w:snapToGrid w:val="0"/>
      <w:spacing w:after="120"/>
      <w:jc w:val="right"/>
      <w:rPr>
        <w:rFonts w:hint="eastAsia" w:ascii="黑体" w:hAnsi="黑体" w:eastAsia="黑体" w:cs="Times New Roman"/>
        <w:kern w:val="2"/>
        <w:sz w:val="21"/>
        <w:szCs w:val="21"/>
        <w:lang w:val="en-US" w:eastAsia="zh-CN" w:bidi="ar-SA"/>
      </w:rPr>
    </w:pPr>
    <w:r>
      <w:rPr>
        <w:rFonts w:ascii="黑体" w:hAnsi="黑体" w:eastAsia="黑体" w:cs="Times New Roman"/>
        <w:kern w:val="2"/>
        <w:sz w:val="21"/>
        <w:szCs w:val="21"/>
        <w:lang w:val="en-US" w:eastAsia="zh-CN" w:bidi="ar-SA"/>
      </w:rPr>
      <w:t xml:space="preserve">DB 21/T </w:t>
    </w:r>
    <w:r>
      <w:rPr>
        <w:rFonts w:hint="eastAsia" w:ascii="黑体" w:hAnsi="黑体" w:eastAsia="黑体" w:cs="Times New Roman"/>
        <w:kern w:val="2"/>
        <w:sz w:val="21"/>
        <w:szCs w:val="21"/>
        <w:lang w:val="en-US" w:eastAsia="zh-CN" w:bidi="ar-SA"/>
      </w:rPr>
      <w:t>XXXX</w:t>
    </w:r>
    <w:r>
      <w:rPr>
        <w:rFonts w:ascii="黑体" w:hAnsi="黑体" w:eastAsia="黑体" w:cs="Times New Roman"/>
        <w:kern w:val="2"/>
        <w:sz w:val="21"/>
        <w:szCs w:val="21"/>
        <w:lang w:val="en-US" w:eastAsia="zh-CN" w:bidi="ar-SA"/>
      </w:rPr>
      <w:t>—202</w:t>
    </w:r>
    <w:r>
      <w:rPr>
        <w:rFonts w:hint="eastAsia" w:ascii="黑体" w:hAnsi="黑体" w:eastAsia="黑体" w:cs="Times New Roman"/>
        <w:kern w:val="2"/>
        <w:sz w:val="21"/>
        <w:szCs w:val="21"/>
        <w:lang w:val="en-US" w:eastAsia="zh-CN" w:bidi="ar-SA"/>
      </w:rPr>
      <w:t>5</w:t>
    </w:r>
  </w:p>
  <w:p w14:paraId="7CD04BE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BB28E"/>
    <w:multiLevelType w:val="multilevel"/>
    <w:tmpl w:val="323BB28E"/>
    <w:lvl w:ilvl="0" w:tentative="0">
      <w:start w:val="1"/>
      <w:numFmt w:val="decimal"/>
      <w:lvlText w:val="%1"/>
      <w:lvlJc w:val="left"/>
      <w:pPr>
        <w:ind w:left="0" w:firstLine="0"/>
      </w:pPr>
      <w:rPr>
        <w:rFonts w:hint="eastAsia"/>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293096E"/>
    <w:multiLevelType w:val="multilevel"/>
    <w:tmpl w:val="5293096E"/>
    <w:lvl w:ilvl="0" w:tentative="0">
      <w:start w:val="1"/>
      <w:numFmt w:val="decimal"/>
      <w:pStyle w:val="3"/>
      <w:lvlText w:val="%1"/>
      <w:lvlJc w:val="left"/>
      <w:pPr>
        <w:tabs>
          <w:tab w:val="left" w:pos="0"/>
        </w:tabs>
        <w:ind w:left="0" w:firstLine="0"/>
      </w:pPr>
      <w:rPr>
        <w:rFonts w:hint="default" w:ascii="黑体" w:hAnsi="黑体" w:eastAsia="黑体" w:cs="黑体"/>
        <w:sz w:val="21"/>
        <w:szCs w:val="21"/>
      </w:rPr>
    </w:lvl>
    <w:lvl w:ilvl="1" w:tentative="0">
      <w:start w:val="1"/>
      <w:numFmt w:val="decimal"/>
      <w:pStyle w:val="4"/>
      <w:suff w:val="space"/>
      <w:lvlText w:val="%1.%2"/>
      <w:lvlJc w:val="left"/>
      <w:pPr>
        <w:ind w:left="0" w:firstLine="0"/>
      </w:pPr>
      <w:rPr>
        <w:rFonts w:hint="default" w:ascii="黑体" w:hAnsi="黑体" w:eastAsia="黑体" w:cs="黑体"/>
        <w:sz w:val="21"/>
        <w:szCs w:val="21"/>
      </w:rPr>
    </w:lvl>
    <w:lvl w:ilvl="2" w:tentative="0">
      <w:start w:val="1"/>
      <w:numFmt w:val="decimal"/>
      <w:pStyle w:val="5"/>
      <w:lvlText w:val="%1.%2.%3"/>
      <w:lvlJc w:val="left"/>
      <w:pPr>
        <w:tabs>
          <w:tab w:val="left" w:pos="420"/>
        </w:tabs>
        <w:ind w:left="720" w:hanging="720"/>
      </w:pPr>
      <w:rPr>
        <w:rFonts w:hint="default" w:ascii="黑体" w:hAnsi="黑体" w:eastAsia="黑体" w:cs="黑体"/>
        <w:sz w:val="21"/>
        <w:szCs w:val="21"/>
      </w:rPr>
    </w:lvl>
    <w:lvl w:ilvl="3" w:tentative="0">
      <w:start w:val="1"/>
      <w:numFmt w:val="decimal"/>
      <w:pStyle w:val="6"/>
      <w:lvlText w:val="%1.%2.%3.%4"/>
      <w:lvlJc w:val="left"/>
      <w:pPr>
        <w:tabs>
          <w:tab w:val="left" w:pos="420"/>
        </w:tabs>
        <w:ind w:left="864" w:hanging="864"/>
      </w:pPr>
      <w:rPr>
        <w:rFonts w:hint="default" w:ascii="黑体" w:hAnsi="黑体" w:eastAsia="黑体" w:cs="黑体"/>
        <w:sz w:val="21"/>
        <w:szCs w:val="21"/>
      </w:rPr>
    </w:lvl>
    <w:lvl w:ilvl="4" w:tentative="0">
      <w:start w:val="1"/>
      <w:numFmt w:val="decimal"/>
      <w:pStyle w:val="7"/>
      <w:lvlText w:val="%1.%2.%3.%4.%5"/>
      <w:lvlJc w:val="left"/>
      <w:pPr>
        <w:tabs>
          <w:tab w:val="left" w:pos="420"/>
        </w:tabs>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OWRjMjk4YzcxZjIxOGJkYTAwYjJmYzM4ZDgxMzkifQ=="/>
    <w:docVar w:name="KSO_WPS_MARK_KEY" w:val="f4024adf-7e9b-4cb7-b5d7-f0ba853b3336"/>
  </w:docVars>
  <w:rsids>
    <w:rsidRoot w:val="0B16061E"/>
    <w:rsid w:val="001967B2"/>
    <w:rsid w:val="002D279B"/>
    <w:rsid w:val="00494CDC"/>
    <w:rsid w:val="00644B17"/>
    <w:rsid w:val="009A48C9"/>
    <w:rsid w:val="00B471C4"/>
    <w:rsid w:val="00B84F64"/>
    <w:rsid w:val="00BC0338"/>
    <w:rsid w:val="00FD4C7D"/>
    <w:rsid w:val="014C4DA3"/>
    <w:rsid w:val="016D70E5"/>
    <w:rsid w:val="025C1C3F"/>
    <w:rsid w:val="02A91D81"/>
    <w:rsid w:val="03011BBD"/>
    <w:rsid w:val="03903C1F"/>
    <w:rsid w:val="039D18E6"/>
    <w:rsid w:val="03C23AB1"/>
    <w:rsid w:val="04A86794"/>
    <w:rsid w:val="06897EFF"/>
    <w:rsid w:val="06FF01C2"/>
    <w:rsid w:val="07DC6755"/>
    <w:rsid w:val="09A6526C"/>
    <w:rsid w:val="0ADA4CDA"/>
    <w:rsid w:val="0AE71698"/>
    <w:rsid w:val="0B13248D"/>
    <w:rsid w:val="0B16061E"/>
    <w:rsid w:val="0B246449"/>
    <w:rsid w:val="0B550CF8"/>
    <w:rsid w:val="0E2A18CA"/>
    <w:rsid w:val="10AC760C"/>
    <w:rsid w:val="10EC7A09"/>
    <w:rsid w:val="11052878"/>
    <w:rsid w:val="116D21FA"/>
    <w:rsid w:val="123F1DBA"/>
    <w:rsid w:val="12435D4E"/>
    <w:rsid w:val="13086650"/>
    <w:rsid w:val="14535FF1"/>
    <w:rsid w:val="15057F29"/>
    <w:rsid w:val="151412DC"/>
    <w:rsid w:val="16124FC5"/>
    <w:rsid w:val="163065E9"/>
    <w:rsid w:val="16781249"/>
    <w:rsid w:val="17BD20FF"/>
    <w:rsid w:val="18A92683"/>
    <w:rsid w:val="1AF344C8"/>
    <w:rsid w:val="1BD96DDB"/>
    <w:rsid w:val="1C533032"/>
    <w:rsid w:val="1D6A0633"/>
    <w:rsid w:val="1D6F3E9B"/>
    <w:rsid w:val="1E256308"/>
    <w:rsid w:val="1E276524"/>
    <w:rsid w:val="1E28404A"/>
    <w:rsid w:val="20D34741"/>
    <w:rsid w:val="2190748C"/>
    <w:rsid w:val="21BE0F4D"/>
    <w:rsid w:val="252C08C4"/>
    <w:rsid w:val="253F05F7"/>
    <w:rsid w:val="25AB3597"/>
    <w:rsid w:val="25E51F2B"/>
    <w:rsid w:val="26561F2A"/>
    <w:rsid w:val="26C012C4"/>
    <w:rsid w:val="271C2272"/>
    <w:rsid w:val="29DB4666"/>
    <w:rsid w:val="2A9F38E6"/>
    <w:rsid w:val="2C550700"/>
    <w:rsid w:val="2CE35D0C"/>
    <w:rsid w:val="2D482013"/>
    <w:rsid w:val="2DF14458"/>
    <w:rsid w:val="2EA94D33"/>
    <w:rsid w:val="2ED55B28"/>
    <w:rsid w:val="2F0E4046"/>
    <w:rsid w:val="2F923A19"/>
    <w:rsid w:val="2FA50B1D"/>
    <w:rsid w:val="31445AD2"/>
    <w:rsid w:val="32BA67A9"/>
    <w:rsid w:val="359978AF"/>
    <w:rsid w:val="35AB1391"/>
    <w:rsid w:val="35C44201"/>
    <w:rsid w:val="37DA5F5D"/>
    <w:rsid w:val="37EB016A"/>
    <w:rsid w:val="382D42DF"/>
    <w:rsid w:val="388A1731"/>
    <w:rsid w:val="38D155B2"/>
    <w:rsid w:val="3A2A29D3"/>
    <w:rsid w:val="3B36545A"/>
    <w:rsid w:val="3DCC00F6"/>
    <w:rsid w:val="3E4F53BB"/>
    <w:rsid w:val="3F6F21CA"/>
    <w:rsid w:val="40AB66E9"/>
    <w:rsid w:val="410D4CAE"/>
    <w:rsid w:val="4134048C"/>
    <w:rsid w:val="41370D40"/>
    <w:rsid w:val="422E137F"/>
    <w:rsid w:val="428E0070"/>
    <w:rsid w:val="434D7F2B"/>
    <w:rsid w:val="457056AD"/>
    <w:rsid w:val="4580526F"/>
    <w:rsid w:val="47507FEA"/>
    <w:rsid w:val="48757D08"/>
    <w:rsid w:val="48AE6D76"/>
    <w:rsid w:val="48D569F9"/>
    <w:rsid w:val="48EE2DBF"/>
    <w:rsid w:val="4900334A"/>
    <w:rsid w:val="49B74350"/>
    <w:rsid w:val="49C36851"/>
    <w:rsid w:val="49EB5DA8"/>
    <w:rsid w:val="4B8D709D"/>
    <w:rsid w:val="4C15535E"/>
    <w:rsid w:val="4EB1136E"/>
    <w:rsid w:val="4F204746"/>
    <w:rsid w:val="50884351"/>
    <w:rsid w:val="51475FBA"/>
    <w:rsid w:val="515F3303"/>
    <w:rsid w:val="51B82A14"/>
    <w:rsid w:val="51DF2696"/>
    <w:rsid w:val="523C04B2"/>
    <w:rsid w:val="54A13EC9"/>
    <w:rsid w:val="54AA0D3A"/>
    <w:rsid w:val="553C395C"/>
    <w:rsid w:val="559529F1"/>
    <w:rsid w:val="55D60398"/>
    <w:rsid w:val="563D299C"/>
    <w:rsid w:val="567C07D4"/>
    <w:rsid w:val="570F2751"/>
    <w:rsid w:val="57360E16"/>
    <w:rsid w:val="58E467E4"/>
    <w:rsid w:val="593037D7"/>
    <w:rsid w:val="5A1D0FE5"/>
    <w:rsid w:val="5BC76675"/>
    <w:rsid w:val="5D9535FE"/>
    <w:rsid w:val="5E451748"/>
    <w:rsid w:val="5E624433"/>
    <w:rsid w:val="5EB6477F"/>
    <w:rsid w:val="5F430344"/>
    <w:rsid w:val="602F2A3B"/>
    <w:rsid w:val="60F15F42"/>
    <w:rsid w:val="61DB4C28"/>
    <w:rsid w:val="62593D9F"/>
    <w:rsid w:val="63A63014"/>
    <w:rsid w:val="63E43B3C"/>
    <w:rsid w:val="641F3867"/>
    <w:rsid w:val="653A7EB8"/>
    <w:rsid w:val="656071F2"/>
    <w:rsid w:val="6562740E"/>
    <w:rsid w:val="6582360D"/>
    <w:rsid w:val="659770B8"/>
    <w:rsid w:val="65D11E9E"/>
    <w:rsid w:val="65E10333"/>
    <w:rsid w:val="6759214B"/>
    <w:rsid w:val="67AF7FBD"/>
    <w:rsid w:val="680B1697"/>
    <w:rsid w:val="68655AB0"/>
    <w:rsid w:val="694806C9"/>
    <w:rsid w:val="69AE49D0"/>
    <w:rsid w:val="69FF347E"/>
    <w:rsid w:val="6B3929BF"/>
    <w:rsid w:val="6C1D4199"/>
    <w:rsid w:val="6DF660BB"/>
    <w:rsid w:val="6F3E67F6"/>
    <w:rsid w:val="6FC95D61"/>
    <w:rsid w:val="705C33D8"/>
    <w:rsid w:val="70812E3F"/>
    <w:rsid w:val="711E13C9"/>
    <w:rsid w:val="718A5D23"/>
    <w:rsid w:val="71A9619D"/>
    <w:rsid w:val="71B7463E"/>
    <w:rsid w:val="72331F17"/>
    <w:rsid w:val="727644F9"/>
    <w:rsid w:val="733777E5"/>
    <w:rsid w:val="739757DD"/>
    <w:rsid w:val="73A56E44"/>
    <w:rsid w:val="748051BB"/>
    <w:rsid w:val="74CA6543"/>
    <w:rsid w:val="75194990"/>
    <w:rsid w:val="7590142E"/>
    <w:rsid w:val="75CE1F56"/>
    <w:rsid w:val="77101177"/>
    <w:rsid w:val="794A7966"/>
    <w:rsid w:val="7A3C7DD6"/>
    <w:rsid w:val="7A4C392F"/>
    <w:rsid w:val="7AD52EC6"/>
    <w:rsid w:val="7BB51BEE"/>
    <w:rsid w:val="7DF12C86"/>
    <w:rsid w:val="7E3037AE"/>
    <w:rsid w:val="7F3E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420"/>
      </w:tabs>
      <w:adjustRightInd w:val="0"/>
      <w:snapToGrid w:val="0"/>
      <w:spacing w:before="100" w:beforeLines="100" w:after="100" w:afterLines="100"/>
      <w:outlineLvl w:val="0"/>
    </w:pPr>
    <w:rPr>
      <w:rFonts w:ascii="黑体" w:hAnsi="黑体" w:eastAsia="黑体"/>
      <w:snapToGrid w:val="0"/>
      <w:kern w:val="32"/>
    </w:rPr>
  </w:style>
  <w:style w:type="paragraph" w:styleId="4">
    <w:name w:val="heading 2"/>
    <w:basedOn w:val="1"/>
    <w:next w:val="1"/>
    <w:unhideWhenUsed/>
    <w:qFormat/>
    <w:uiPriority w:val="0"/>
    <w:pPr>
      <w:keepNext/>
      <w:keepLines/>
      <w:numPr>
        <w:ilvl w:val="1"/>
        <w:numId w:val="1"/>
      </w:numPr>
      <w:tabs>
        <w:tab w:val="left" w:pos="0"/>
        <w:tab w:val="left" w:pos="420"/>
        <w:tab w:val="left" w:pos="2100"/>
      </w:tabs>
      <w:snapToGrid w:val="0"/>
      <w:spacing w:before="50" w:beforeLines="50" w:after="50" w:afterLines="50"/>
      <w:outlineLvl w:val="1"/>
    </w:pPr>
    <w:rPr>
      <w:rFonts w:ascii="黑体" w:hAnsi="黑体" w:eastAsia="黑体"/>
      <w:snapToGrid w:val="0"/>
      <w:kern w:val="21"/>
    </w:rPr>
  </w:style>
  <w:style w:type="paragraph" w:styleId="5">
    <w:name w:val="heading 3"/>
    <w:basedOn w:val="1"/>
    <w:next w:val="1"/>
    <w:unhideWhenUsed/>
    <w:qFormat/>
    <w:uiPriority w:val="0"/>
    <w:pPr>
      <w:keepNext/>
      <w:keepLines/>
      <w:numPr>
        <w:ilvl w:val="2"/>
        <w:numId w:val="1"/>
      </w:numPr>
      <w:adjustRightInd w:val="0"/>
      <w:snapToGrid w:val="0"/>
      <w:spacing w:before="50" w:beforeLines="50" w:after="50" w:afterLines="50"/>
      <w:ind w:left="0" w:firstLine="0"/>
      <w:outlineLvl w:val="2"/>
    </w:pPr>
    <w:rPr>
      <w:rFonts w:ascii="黑体" w:hAnsi="黑体" w:eastAsia="黑体"/>
    </w:rPr>
  </w:style>
  <w:style w:type="paragraph" w:styleId="6">
    <w:name w:val="heading 4"/>
    <w:basedOn w:val="1"/>
    <w:next w:val="1"/>
    <w:qFormat/>
    <w:uiPriority w:val="9"/>
    <w:pPr>
      <w:keepNext/>
      <w:keepLines/>
      <w:numPr>
        <w:ilvl w:val="3"/>
        <w:numId w:val="1"/>
      </w:numPr>
      <w:adjustRightInd w:val="0"/>
      <w:snapToGrid w:val="0"/>
      <w:ind w:left="0" w:firstLine="0"/>
      <w:outlineLvl w:val="3"/>
    </w:pPr>
    <w:rPr>
      <w:rFonts w:ascii="黑体" w:hAnsi="黑体"/>
      <w:bCs/>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12">
    <w:name w:val="footer"/>
    <w:basedOn w:val="1"/>
    <w:link w:val="44"/>
    <w:qFormat/>
    <w:uiPriority w:val="99"/>
    <w:pPr>
      <w:snapToGrid w:val="0"/>
      <w:ind w:right="210" w:rightChars="100"/>
      <w:jc w:val="right"/>
    </w:pPr>
    <w:rPr>
      <w:sz w:val="18"/>
      <w:szCs w:val="18"/>
    </w:rPr>
  </w:style>
  <w:style w:type="paragraph" w:styleId="13">
    <w:name w:val="header"/>
    <w:basedOn w:val="1"/>
    <w:qFormat/>
    <w:uiPriority w:val="0"/>
    <w:pPr>
      <w:snapToGrid w:val="0"/>
      <w:jc w:val="left"/>
    </w:pPr>
    <w:rPr>
      <w:sz w:val="18"/>
      <w:szCs w:val="18"/>
    </w:rPr>
  </w:style>
  <w:style w:type="paragraph" w:styleId="14">
    <w:name w:val="toc 1"/>
    <w:basedOn w:val="1"/>
    <w:next w:val="1"/>
    <w:qFormat/>
    <w:uiPriority w:val="0"/>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qFormat/>
    <w:uiPriority w:val="0"/>
    <w:pPr>
      <w:spacing w:before="240" w:after="60"/>
      <w:jc w:val="center"/>
      <w:outlineLvl w:val="0"/>
    </w:pPr>
    <w:rPr>
      <w:rFonts w:ascii="Arial" w:hAnsi="Arial"/>
      <w:b/>
      <w:sz w:val="32"/>
    </w:rPr>
  </w:style>
  <w:style w:type="table" w:styleId="18">
    <w:name w:val="Table Grid"/>
    <w:basedOn w:val="1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章标题"/>
    <w:next w:val="2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一级条标题"/>
    <w:next w:val="2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
    <w:name w:val="二级条标题"/>
    <w:basedOn w:val="22"/>
    <w:next w:val="21"/>
    <w:qFormat/>
    <w:uiPriority w:val="0"/>
    <w:pPr>
      <w:numPr>
        <w:ilvl w:val="2"/>
        <w:numId w:val="2"/>
      </w:numPr>
      <w:spacing w:before="50" w:after="50"/>
      <w:outlineLvl w:val="3"/>
    </w:pPr>
  </w:style>
  <w:style w:type="paragraph" w:customStyle="1" w:styleId="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5">
    <w:name w:val="其他标准标志"/>
    <w:basedOn w:val="26"/>
    <w:qFormat/>
    <w:uiPriority w:val="0"/>
    <w:pPr>
      <w:framePr w:w="6101" w:wrap="around" w:vAnchor="page" w:hAnchor="page" w:x="4673" w:y="942"/>
    </w:pPr>
    <w:rPr>
      <w:w w:val="130"/>
    </w:rPr>
  </w:style>
  <w:style w:type="paragraph" w:customStyle="1" w:styleId="2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英文名称"/>
    <w:basedOn w:val="30"/>
    <w:qFormat/>
    <w:uiPriority w:val="0"/>
    <w:pPr>
      <w:framePr w:wrap="around"/>
      <w:spacing w:before="370" w:line="400" w:lineRule="exact"/>
    </w:pPr>
    <w:rPr>
      <w:rFonts w:ascii="Times New Roman"/>
      <w:sz w:val="28"/>
      <w:szCs w:val="28"/>
    </w:rPr>
  </w:style>
  <w:style w:type="paragraph" w:customStyle="1" w:styleId="32">
    <w:name w:val="封面标准文稿编辑信息"/>
    <w:basedOn w:val="33"/>
    <w:qFormat/>
    <w:uiPriority w:val="0"/>
    <w:pPr>
      <w:framePr w:wrap="around"/>
      <w:spacing w:before="180" w:line="180" w:lineRule="exact"/>
    </w:pPr>
    <w:rPr>
      <w:sz w:val="21"/>
    </w:rPr>
  </w:style>
  <w:style w:type="paragraph" w:customStyle="1" w:styleId="33">
    <w:name w:val="封面标准文稿类别"/>
    <w:basedOn w:val="34"/>
    <w:qFormat/>
    <w:uiPriority w:val="0"/>
    <w:pPr>
      <w:framePr w:wrap="around"/>
      <w:spacing w:after="160" w:line="240" w:lineRule="auto"/>
    </w:pPr>
    <w:rPr>
      <w:sz w:val="24"/>
    </w:rPr>
  </w:style>
  <w:style w:type="paragraph" w:customStyle="1" w:styleId="34">
    <w:name w:val="封面一致性程度标识"/>
    <w:basedOn w:val="31"/>
    <w:qFormat/>
    <w:uiPriority w:val="0"/>
    <w:pPr>
      <w:framePr w:wrap="around"/>
      <w:spacing w:before="440"/>
    </w:pPr>
    <w:rPr>
      <w:rFonts w:ascii="宋体" w:eastAsia="宋体"/>
    </w:rPr>
  </w:style>
  <w:style w:type="paragraph" w:customStyle="1" w:styleId="35">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36">
    <w:name w:val="其他实施日期"/>
    <w:basedOn w:val="37"/>
    <w:qFormat/>
    <w:uiPriority w:val="0"/>
    <w:pPr>
      <w:framePr w:wrap="around"/>
    </w:pPr>
  </w:style>
  <w:style w:type="paragraph" w:customStyle="1" w:styleId="37">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38">
    <w:name w:val="其他发布部门"/>
    <w:basedOn w:val="39"/>
    <w:qFormat/>
    <w:uiPriority w:val="0"/>
    <w:pPr>
      <w:framePr w:wrap="around" w:y="15310"/>
      <w:spacing w:line="0" w:lineRule="atLeast"/>
    </w:pPr>
    <w:rPr>
      <w:rFonts w:ascii="黑体" w:eastAsia="黑体"/>
      <w:b w:val="0"/>
    </w:rPr>
  </w:style>
  <w:style w:type="paragraph" w:customStyle="1" w:styleId="39">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40">
    <w:name w:val="发布"/>
    <w:qFormat/>
    <w:uiPriority w:val="0"/>
    <w:rPr>
      <w:rFonts w:ascii="黑体" w:eastAsia="黑体"/>
      <w:spacing w:val="85"/>
      <w:w w:val="100"/>
      <w:position w:val="3"/>
      <w:sz w:val="28"/>
      <w:szCs w:val="28"/>
    </w:rPr>
  </w:style>
  <w:style w:type="paragraph" w:customStyle="1" w:styleId="4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table" w:customStyle="1" w:styleId="43">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页脚 字符"/>
    <w:basedOn w:val="19"/>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5145</Words>
  <Characters>5513</Characters>
  <Lines>54</Lines>
  <Paragraphs>15</Paragraphs>
  <TotalTime>0</TotalTime>
  <ScaleCrop>false</ScaleCrop>
  <LinksUpToDate>false</LinksUpToDate>
  <CharactersWithSpaces>5666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2023-09-06T01:50:00Z</dcterms:created>
  <dc:creator>爱胃顺眼</dc:creator>
  <cp:lastModifiedBy>拉兹</cp:lastModifiedBy>
  <dcterms:modified xsi:type="dcterms:W3CDTF">2025-03-10T06:10:06Z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85509D669AF84AA6AC7DF2D707A3779A_11</vt:lpwstr>
  </property>
  <property fmtid="{D5CDD505-2E9C-101B-9397-08002B2CF9AE}" pid="4" name="KSOTemplateDocerSaveRecord">
    <vt:lpwstr>eyJoZGlkIjoiZTFlYWZiYzQ1MTI1YWY1OGRlN2RkZWE1YzE2MzJhNmUiLCJ1c2VySWQiOiIzNjMzNTc2NzIifQ==</vt:lpwstr>
  </property>
</Properties>
</file>